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3A076">
      <w:pPr>
        <w:jc w:val="center"/>
        <w:rPr>
          <w:rFonts w:hint="default" w:ascii="宋体" w:hAnsi="宋体"/>
          <w:b/>
          <w:bCs/>
          <w:color w:val="auto"/>
          <w:sz w:val="48"/>
          <w:szCs w:val="48"/>
          <w:highlight w:val="none"/>
        </w:rPr>
      </w:pPr>
      <w:r>
        <w:rPr>
          <w:rFonts w:ascii="宋体" w:hAnsi="宋体"/>
          <w:color w:val="auto"/>
          <w:highlight w:val="none"/>
        </w:rPr>
        <w:drawing>
          <wp:anchor distT="0" distB="0" distL="114300" distR="114300" simplePos="0" relativeHeight="251666432" behindDoc="0" locked="0" layoutInCell="1" allowOverlap="1">
            <wp:simplePos x="0" y="0"/>
            <wp:positionH relativeFrom="column">
              <wp:posOffset>2428875</wp:posOffset>
            </wp:positionH>
            <wp:positionV relativeFrom="paragraph">
              <wp:posOffset>-143510</wp:posOffset>
            </wp:positionV>
            <wp:extent cx="686435" cy="686435"/>
            <wp:effectExtent l="0" t="0" r="18415" b="18415"/>
            <wp:wrapSquare wrapText="left"/>
            <wp:docPr id="2" name="图片 5" descr="638238BB99A253FEB9BED4DA40F3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638238BB99A253FEB9BED4DA40F32CE"/>
                    <pic:cNvPicPr>
                      <a:picLocks noChangeAspect="1"/>
                    </pic:cNvPicPr>
                  </pic:nvPicPr>
                  <pic:blipFill>
                    <a:blip r:embed="rId35"/>
                    <a:stretch>
                      <a:fillRect/>
                    </a:stretch>
                  </pic:blipFill>
                  <pic:spPr>
                    <a:xfrm>
                      <a:off x="0" y="0"/>
                      <a:ext cx="686435" cy="686435"/>
                    </a:xfrm>
                    <a:prstGeom prst="rect">
                      <a:avLst/>
                    </a:prstGeom>
                    <a:noFill/>
                    <a:ln>
                      <a:noFill/>
                    </a:ln>
                  </pic:spPr>
                </pic:pic>
              </a:graphicData>
            </a:graphic>
          </wp:anchor>
        </w:drawing>
      </w:r>
    </w:p>
    <w:p w14:paraId="3E35BCB8">
      <w:pPr>
        <w:jc w:val="center"/>
        <w:rPr>
          <w:rFonts w:hint="eastAsia" w:ascii="宋体" w:hAnsi="宋体"/>
          <w:b/>
          <w:bCs/>
          <w:color w:val="auto"/>
          <w:sz w:val="48"/>
          <w:szCs w:val="48"/>
          <w:highlight w:val="none"/>
        </w:rPr>
      </w:pPr>
    </w:p>
    <w:p w14:paraId="67747837">
      <w:pPr>
        <w:jc w:val="center"/>
        <w:rPr>
          <w:rFonts w:hint="eastAsia" w:ascii="宋体" w:hAnsi="宋体"/>
          <w:b/>
          <w:bCs/>
          <w:color w:val="auto"/>
          <w:sz w:val="48"/>
          <w:szCs w:val="48"/>
          <w:highlight w:val="none"/>
        </w:rPr>
      </w:pPr>
      <w:r>
        <w:rPr>
          <w:rFonts w:hint="eastAsia" w:ascii="宋体" w:hAnsi="宋体"/>
          <w:b/>
          <w:bCs/>
          <w:color w:val="auto"/>
          <w:sz w:val="48"/>
          <w:szCs w:val="48"/>
          <w:highlight w:val="none"/>
        </w:rPr>
        <w:t>广西中信恒泰工程顾问有限公司</w:t>
      </w:r>
    </w:p>
    <w:p w14:paraId="557E4268">
      <w:pPr>
        <w:jc w:val="center"/>
        <w:rPr>
          <w:rFonts w:hint="eastAsia" w:ascii="宋体" w:hAnsi="宋体"/>
          <w:b/>
          <w:bCs/>
          <w:color w:val="auto"/>
          <w:sz w:val="30"/>
          <w:szCs w:val="30"/>
          <w:highlight w:val="none"/>
        </w:rPr>
      </w:pPr>
      <w:r>
        <w:rPr>
          <w:rFonts w:hint="eastAsia" w:ascii="宋体" w:hAnsi="宋体"/>
          <w:b/>
          <w:color w:val="auto"/>
          <w:sz w:val="30"/>
          <w:szCs w:val="30"/>
          <w:highlight w:val="none"/>
        </w:rPr>
        <w:t xml:space="preserve">Guangxi Zhongxinhengtai </w:t>
      </w:r>
      <w:r>
        <w:rPr>
          <w:rFonts w:hint="eastAsia" w:ascii="宋体" w:hAnsi="宋体"/>
          <w:b/>
          <w:caps/>
          <w:color w:val="auto"/>
          <w:sz w:val="30"/>
          <w:szCs w:val="30"/>
          <w:highlight w:val="none"/>
        </w:rPr>
        <w:t>e</w:t>
      </w:r>
      <w:r>
        <w:rPr>
          <w:rFonts w:hint="eastAsia" w:ascii="宋体" w:hAnsi="宋体"/>
          <w:b/>
          <w:color w:val="auto"/>
          <w:sz w:val="30"/>
          <w:szCs w:val="30"/>
          <w:highlight w:val="none"/>
        </w:rPr>
        <w:t xml:space="preserve">ngineering </w:t>
      </w:r>
      <w:r>
        <w:rPr>
          <w:rFonts w:hint="eastAsia" w:ascii="宋体" w:hAnsi="宋体"/>
          <w:b/>
          <w:caps/>
          <w:color w:val="auto"/>
          <w:sz w:val="30"/>
          <w:szCs w:val="30"/>
          <w:highlight w:val="none"/>
        </w:rPr>
        <w:t>c</w:t>
      </w:r>
      <w:r>
        <w:rPr>
          <w:rFonts w:hint="eastAsia" w:ascii="宋体" w:hAnsi="宋体"/>
          <w:b/>
          <w:color w:val="auto"/>
          <w:sz w:val="30"/>
          <w:szCs w:val="30"/>
          <w:highlight w:val="none"/>
        </w:rPr>
        <w:t xml:space="preserve">onsulting </w:t>
      </w:r>
      <w:r>
        <w:rPr>
          <w:rFonts w:hint="eastAsia" w:ascii="宋体" w:hAnsi="宋体"/>
          <w:b/>
          <w:caps/>
          <w:color w:val="auto"/>
          <w:sz w:val="30"/>
          <w:szCs w:val="30"/>
          <w:highlight w:val="none"/>
        </w:rPr>
        <w:t>c</w:t>
      </w:r>
      <w:r>
        <w:rPr>
          <w:rFonts w:hint="eastAsia" w:ascii="宋体" w:hAnsi="宋体"/>
          <w:b/>
          <w:color w:val="auto"/>
          <w:sz w:val="30"/>
          <w:szCs w:val="30"/>
          <w:highlight w:val="none"/>
        </w:rPr>
        <w:t xml:space="preserve">o., </w:t>
      </w:r>
      <w:r>
        <w:rPr>
          <w:rFonts w:hint="eastAsia" w:ascii="宋体" w:hAnsi="宋体"/>
          <w:b/>
          <w:caps/>
          <w:color w:val="auto"/>
          <w:sz w:val="30"/>
          <w:szCs w:val="30"/>
          <w:highlight w:val="none"/>
        </w:rPr>
        <w:t>l</w:t>
      </w:r>
      <w:r>
        <w:rPr>
          <w:rFonts w:hint="eastAsia" w:ascii="宋体" w:hAnsi="宋体"/>
          <w:b/>
          <w:color w:val="auto"/>
          <w:sz w:val="30"/>
          <w:szCs w:val="30"/>
          <w:highlight w:val="none"/>
        </w:rPr>
        <w:t>td</w:t>
      </w:r>
    </w:p>
    <w:p w14:paraId="44213C76">
      <w:pPr>
        <w:spacing w:after="120"/>
        <w:ind w:firstLine="400"/>
        <w:rPr>
          <w:rFonts w:hint="eastAsia" w:ascii="宋体" w:hAnsi="宋体"/>
          <w:color w:val="auto"/>
          <w:szCs w:val="21"/>
          <w:highlight w:val="none"/>
        </w:rPr>
      </w:pPr>
      <w:r>
        <w:rPr>
          <w:rFonts w:ascii="宋体" w:hAnsi="宋体"/>
          <w:color w:val="auto"/>
          <w:sz w:val="20"/>
          <w:highlight w:val="none"/>
          <w:u w:val="single"/>
        </w:rPr>
        <mc:AlternateContent>
          <mc:Choice Requires="wps">
            <w:drawing>
              <wp:anchor distT="0" distB="0" distL="114300" distR="114300" simplePos="0" relativeHeight="251665408" behindDoc="0" locked="0" layoutInCell="1" allowOverlap="1">
                <wp:simplePos x="0" y="0"/>
                <wp:positionH relativeFrom="column">
                  <wp:posOffset>85725</wp:posOffset>
                </wp:positionH>
                <wp:positionV relativeFrom="paragraph">
                  <wp:posOffset>58420</wp:posOffset>
                </wp:positionV>
                <wp:extent cx="5944235" cy="825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75pt;margin-top:4.6pt;height:0.65pt;width:468.05pt;z-index:251665408;mso-width-relative:page;mso-height-relative:page;" filled="f" stroked="t" coordsize="21600,21600" o:gfxdata="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tI3WvVAAAABwEAAA8AAAAAAAAAAQAgAAAAIgAAAGRycy9kb3du&#10;cmV2LnhtbFBLAQIUABQAAAAIAIdO4kCZeIBsAgIAAAAEAAAOAAAAAAAAAAEAIAAAACQBAABkcnMv&#10;ZTJvRG9jLnhtbFBLBQYAAAAABgAGAFkBAACYBQAAAAA=&#10;">
                <v:fill on="f" focussize="0,0"/>
                <v:stroke weight="2.25pt" color="#000000" joinstyle="round"/>
                <v:imagedata o:title=""/>
                <o:lock v:ext="edit" aspectratio="f"/>
              </v:line>
            </w:pict>
          </mc:Fallback>
        </mc:AlternateContent>
      </w:r>
      <w:r>
        <w:rPr>
          <w:rFonts w:hint="eastAsia" w:ascii="宋体" w:hAnsi="宋体"/>
          <w:b/>
          <w:bCs/>
          <w:color w:val="auto"/>
          <w:sz w:val="10"/>
          <w:highlight w:val="none"/>
        </w:rPr>
        <w:t xml:space="preserve">                                                                                                </w:t>
      </w:r>
    </w:p>
    <w:p w14:paraId="306E50D0">
      <w:pPr>
        <w:spacing w:line="360" w:lineRule="auto"/>
        <w:jc w:val="center"/>
        <w:rPr>
          <w:rFonts w:hint="eastAsia" w:ascii="宋体" w:hAnsi="宋体"/>
          <w:color w:val="auto"/>
          <w:highlight w:val="none"/>
        </w:rPr>
      </w:pPr>
    </w:p>
    <w:p w14:paraId="2499F0B8">
      <w:pPr>
        <w:spacing w:before="120" w:beforeLines="50"/>
        <w:jc w:val="center"/>
        <w:rPr>
          <w:rFonts w:ascii="宋体" w:hAnsi="宋体"/>
          <w:color w:val="auto"/>
          <w:sz w:val="52"/>
          <w:szCs w:val="52"/>
          <w:highlight w:val="none"/>
        </w:rPr>
      </w:pPr>
      <w:r>
        <w:rPr>
          <w:rFonts w:hint="eastAsia" w:ascii="宋体" w:hAnsi="宋体"/>
          <w:color w:val="auto"/>
          <w:sz w:val="52"/>
          <w:szCs w:val="52"/>
          <w:highlight w:val="none"/>
        </w:rPr>
        <w:t>政府采购公开招标文件</w:t>
      </w:r>
    </w:p>
    <w:p w14:paraId="3C58866A">
      <w:pPr>
        <w:spacing w:line="360" w:lineRule="auto"/>
        <w:jc w:val="center"/>
        <w:rPr>
          <w:rFonts w:hint="eastAsia" w:ascii="宋体" w:hAnsi="宋体" w:cs="方正小标宋简体"/>
          <w:b/>
          <w:color w:val="auto"/>
          <w:sz w:val="44"/>
          <w:szCs w:val="44"/>
          <w:highlight w:val="none"/>
        </w:rPr>
      </w:pPr>
      <w:r>
        <w:rPr>
          <w:rFonts w:hint="eastAsia" w:ascii="宋体" w:hAnsi="宋体"/>
          <w:color w:val="auto"/>
          <w:sz w:val="52"/>
          <w:szCs w:val="52"/>
          <w:highlight w:val="none"/>
        </w:rPr>
        <w:t>（</w:t>
      </w:r>
      <w:r>
        <w:rPr>
          <w:rFonts w:hint="eastAsia" w:ascii="宋体" w:hAnsi="宋体"/>
          <w:color w:val="auto"/>
          <w:sz w:val="52"/>
          <w:szCs w:val="52"/>
          <w:highlight w:val="none"/>
          <w:lang w:eastAsia="zh-CN"/>
        </w:rPr>
        <w:t>服务</w:t>
      </w:r>
      <w:r>
        <w:rPr>
          <w:rFonts w:hint="eastAsia" w:ascii="宋体" w:hAnsi="宋体"/>
          <w:color w:val="auto"/>
          <w:sz w:val="52"/>
          <w:szCs w:val="52"/>
          <w:highlight w:val="none"/>
        </w:rPr>
        <w:t>类）</w:t>
      </w:r>
    </w:p>
    <w:p w14:paraId="30CF4006">
      <w:pPr>
        <w:rPr>
          <w:rFonts w:hint="eastAsia"/>
          <w:color w:val="auto"/>
          <w:highlight w:val="none"/>
        </w:rPr>
      </w:pPr>
    </w:p>
    <w:p w14:paraId="74F55FDA">
      <w:pPr>
        <w:snapToGrid w:val="0"/>
        <w:spacing w:before="120" w:beforeLines="50" w:line="360" w:lineRule="auto"/>
        <w:jc w:val="center"/>
        <w:rPr>
          <w:rFonts w:hint="eastAsia" w:ascii="宋体" w:hAnsi="宋体"/>
          <w:color w:val="auto"/>
          <w:sz w:val="72"/>
          <w:szCs w:val="72"/>
          <w:highlight w:val="none"/>
        </w:rPr>
      </w:pPr>
      <w:r>
        <w:rPr>
          <w:rFonts w:hint="eastAsia" w:ascii="宋体" w:hAnsi="宋体"/>
          <w:color w:val="auto"/>
          <w:sz w:val="72"/>
          <w:szCs w:val="72"/>
          <w:highlight w:val="none"/>
        </w:rPr>
        <w:t>招 标 文 件</w:t>
      </w:r>
    </w:p>
    <w:p w14:paraId="51246807">
      <w:pPr>
        <w:rPr>
          <w:rFonts w:hint="eastAsia"/>
          <w:color w:val="auto"/>
          <w:highlight w:val="none"/>
        </w:rPr>
      </w:pPr>
    </w:p>
    <w:p w14:paraId="37512E63">
      <w:pPr>
        <w:snapToGrid w:val="0"/>
        <w:spacing w:before="120" w:beforeLines="50" w:line="360" w:lineRule="auto"/>
        <w:jc w:val="center"/>
        <w:rPr>
          <w:rFonts w:ascii="宋体" w:hAnsi="宋体"/>
          <w:b/>
          <w:color w:val="auto"/>
          <w:sz w:val="48"/>
          <w:szCs w:val="48"/>
          <w:highlight w:val="none"/>
        </w:rPr>
      </w:pPr>
      <w:r>
        <w:rPr>
          <w:rFonts w:hint="eastAsia" w:ascii="宋体" w:hAnsi="宋体"/>
          <w:b/>
          <w:color w:val="auto"/>
          <w:sz w:val="48"/>
          <w:szCs w:val="48"/>
          <w:highlight w:val="none"/>
        </w:rPr>
        <w:t>（全流程电子化采购）</w:t>
      </w:r>
    </w:p>
    <w:p w14:paraId="3AFB44E9">
      <w:pPr>
        <w:pStyle w:val="24"/>
        <w:snapToGrid w:val="0"/>
        <w:spacing w:line="360" w:lineRule="auto"/>
        <w:ind w:firstLine="1560" w:firstLineChars="518"/>
        <w:rPr>
          <w:rFonts w:hint="eastAsia" w:hAnsi="宋体"/>
          <w:b/>
          <w:bCs/>
          <w:color w:val="auto"/>
          <w:sz w:val="30"/>
          <w:szCs w:val="30"/>
          <w:highlight w:val="none"/>
        </w:rPr>
      </w:pPr>
    </w:p>
    <w:p w14:paraId="5082D30F">
      <w:pPr>
        <w:pStyle w:val="24"/>
        <w:snapToGrid w:val="0"/>
        <w:spacing w:line="360" w:lineRule="auto"/>
        <w:ind w:firstLine="1560" w:firstLineChars="518"/>
        <w:rPr>
          <w:rFonts w:hint="eastAsia" w:hAnsi="宋体"/>
          <w:b/>
          <w:bCs/>
          <w:color w:val="auto"/>
          <w:sz w:val="30"/>
          <w:szCs w:val="30"/>
          <w:highlight w:val="none"/>
        </w:rPr>
      </w:pPr>
    </w:p>
    <w:p w14:paraId="77E8AE9D">
      <w:pPr>
        <w:pStyle w:val="24"/>
        <w:snapToGrid w:val="0"/>
        <w:spacing w:line="360" w:lineRule="auto"/>
        <w:ind w:firstLine="1419" w:firstLineChars="471"/>
        <w:rPr>
          <w:rFonts w:hint="eastAsia" w:hAnsi="宋体" w:eastAsia="宋体"/>
          <w:b/>
          <w:bCs/>
          <w:color w:val="auto"/>
          <w:sz w:val="30"/>
          <w:szCs w:val="30"/>
          <w:highlight w:val="none"/>
          <w:lang w:val="en-US" w:eastAsia="zh-CN"/>
        </w:rPr>
      </w:pPr>
      <w:r>
        <w:rPr>
          <w:rFonts w:hint="eastAsia" w:hAnsi="宋体"/>
          <w:b/>
          <w:bCs/>
          <w:color w:val="auto"/>
          <w:sz w:val="30"/>
          <w:szCs w:val="30"/>
          <w:highlight w:val="none"/>
        </w:rPr>
        <w:t>项目</w:t>
      </w:r>
      <w:r>
        <w:rPr>
          <w:rFonts w:hint="eastAsia" w:hAnsi="宋体" w:cs="Courier New"/>
          <w:b/>
          <w:bCs/>
          <w:color w:val="auto"/>
          <w:w w:val="95"/>
          <w:sz w:val="30"/>
          <w:szCs w:val="30"/>
          <w:highlight w:val="none"/>
        </w:rPr>
        <w:t>名称</w:t>
      </w:r>
      <w:r>
        <w:rPr>
          <w:rFonts w:hint="eastAsia" w:hAnsi="宋体"/>
          <w:b/>
          <w:bCs/>
          <w:color w:val="auto"/>
          <w:sz w:val="30"/>
          <w:szCs w:val="30"/>
          <w:highlight w:val="none"/>
        </w:rPr>
        <w:t>：</w:t>
      </w:r>
      <w:r>
        <w:rPr>
          <w:rFonts w:hint="eastAsia" w:hAnsi="宋体"/>
          <w:b/>
          <w:bCs/>
          <w:color w:val="auto"/>
          <w:sz w:val="30"/>
          <w:szCs w:val="30"/>
          <w:highlight w:val="none"/>
          <w:lang w:eastAsia="zh-CN"/>
        </w:rPr>
        <w:t>蒙山县2026年公共绿地绿化日常养护服务项目</w:t>
      </w:r>
    </w:p>
    <w:p w14:paraId="75A575DF">
      <w:pPr>
        <w:pStyle w:val="24"/>
        <w:snapToGrid w:val="0"/>
        <w:spacing w:line="360" w:lineRule="auto"/>
        <w:ind w:firstLine="1482" w:firstLineChars="518"/>
        <w:rPr>
          <w:rFonts w:hint="eastAsia" w:hAnsi="宋体" w:eastAsia="宋体"/>
          <w:b/>
          <w:bCs/>
          <w:color w:val="auto"/>
          <w:sz w:val="30"/>
          <w:szCs w:val="30"/>
          <w:highlight w:val="none"/>
          <w:lang w:eastAsia="zh-CN"/>
        </w:rPr>
      </w:pPr>
      <w:r>
        <w:rPr>
          <w:rFonts w:hint="eastAsia" w:hAnsi="宋体" w:cs="Courier New"/>
          <w:b/>
          <w:bCs/>
          <w:color w:val="auto"/>
          <w:w w:val="95"/>
          <w:sz w:val="30"/>
          <w:szCs w:val="30"/>
          <w:highlight w:val="none"/>
        </w:rPr>
        <w:t>项目</w:t>
      </w:r>
      <w:r>
        <w:rPr>
          <w:rFonts w:hint="eastAsia" w:hAnsi="宋体"/>
          <w:b/>
          <w:bCs/>
          <w:color w:val="auto"/>
          <w:sz w:val="30"/>
          <w:szCs w:val="30"/>
          <w:highlight w:val="none"/>
        </w:rPr>
        <w:t>编号</w:t>
      </w:r>
      <w:r>
        <w:rPr>
          <w:rFonts w:hint="eastAsia" w:hAnsi="宋体" w:cs="Courier New"/>
          <w:b/>
          <w:bCs/>
          <w:color w:val="auto"/>
          <w:w w:val="95"/>
          <w:sz w:val="30"/>
          <w:szCs w:val="30"/>
          <w:highlight w:val="none"/>
        </w:rPr>
        <w:t>：</w:t>
      </w:r>
    </w:p>
    <w:p w14:paraId="61EF1D0B">
      <w:pPr>
        <w:pStyle w:val="24"/>
        <w:snapToGrid w:val="0"/>
        <w:spacing w:line="360" w:lineRule="auto"/>
        <w:ind w:firstLine="1482" w:firstLineChars="518"/>
        <w:rPr>
          <w:rFonts w:hint="eastAsia" w:hAnsi="宋体" w:eastAsia="宋体"/>
          <w:b/>
          <w:bCs/>
          <w:color w:val="auto"/>
          <w:w w:val="95"/>
          <w:sz w:val="30"/>
          <w:szCs w:val="30"/>
          <w:highlight w:val="none"/>
          <w:lang w:val="en-US" w:eastAsia="zh-CN"/>
        </w:rPr>
      </w:pPr>
      <w:r>
        <w:rPr>
          <w:rFonts w:hint="eastAsia" w:hAnsi="宋体"/>
          <w:b/>
          <w:bCs/>
          <w:color w:val="auto"/>
          <w:w w:val="95"/>
          <w:sz w:val="30"/>
          <w:szCs w:val="30"/>
          <w:highlight w:val="none"/>
        </w:rPr>
        <w:t>采购人：</w:t>
      </w:r>
      <w:r>
        <w:rPr>
          <w:rFonts w:hint="eastAsia" w:hAnsi="宋体"/>
          <w:b/>
          <w:bCs/>
          <w:color w:val="auto"/>
          <w:w w:val="95"/>
          <w:sz w:val="30"/>
          <w:szCs w:val="30"/>
          <w:highlight w:val="none"/>
          <w:lang w:eastAsia="zh-CN"/>
        </w:rPr>
        <w:t>蒙山县园林绿化管理所</w:t>
      </w:r>
    </w:p>
    <w:p w14:paraId="32DC13EA">
      <w:pPr>
        <w:pStyle w:val="24"/>
        <w:snapToGrid w:val="0"/>
        <w:spacing w:line="360" w:lineRule="auto"/>
        <w:ind w:firstLine="1482" w:firstLineChars="518"/>
        <w:rPr>
          <w:rFonts w:hint="eastAsia" w:hAnsi="宋体"/>
          <w:b/>
          <w:bCs/>
          <w:color w:val="auto"/>
          <w:w w:val="95"/>
          <w:sz w:val="30"/>
          <w:szCs w:val="30"/>
          <w:highlight w:val="none"/>
        </w:rPr>
      </w:pPr>
      <w:r>
        <w:rPr>
          <w:rFonts w:hint="eastAsia" w:hAnsi="宋体"/>
          <w:b/>
          <w:bCs/>
          <w:color w:val="auto"/>
          <w:w w:val="95"/>
          <w:sz w:val="30"/>
          <w:szCs w:val="30"/>
          <w:highlight w:val="none"/>
        </w:rPr>
        <w:t>采购代理机构：广西中信恒泰工程顾问有限公司</w:t>
      </w:r>
    </w:p>
    <w:p w14:paraId="2F236183">
      <w:pPr>
        <w:rPr>
          <w:rFonts w:hint="eastAsia"/>
          <w:color w:val="auto"/>
          <w:highlight w:val="none"/>
        </w:rPr>
      </w:pPr>
    </w:p>
    <w:p w14:paraId="6D1A198F">
      <w:pPr>
        <w:spacing w:line="360" w:lineRule="auto"/>
        <w:jc w:val="center"/>
        <w:rPr>
          <w:rFonts w:hint="eastAsia" w:hAnsi="宋体"/>
          <w:b/>
          <w:bCs/>
          <w:color w:val="auto"/>
          <w:w w:val="95"/>
          <w:sz w:val="30"/>
          <w:szCs w:val="30"/>
          <w:highlight w:val="none"/>
          <w:lang w:eastAsia="zh-CN"/>
        </w:rPr>
        <w:sectPr>
          <w:headerReference r:id="rId4" w:type="first"/>
          <w:footerReference r:id="rId6" w:type="first"/>
          <w:headerReference r:id="rId3" w:type="default"/>
          <w:footerReference r:id="rId5" w:type="default"/>
          <w:pgSz w:w="11910" w:h="16840"/>
          <w:pgMar w:top="1304" w:right="1247" w:bottom="1304" w:left="1247" w:header="720" w:footer="720" w:gutter="0"/>
          <w:pgNumType w:start="0"/>
          <w:cols w:space="720" w:num="1"/>
          <w:titlePg/>
          <w:docGrid w:linePitch="286" w:charSpace="0"/>
        </w:sectPr>
      </w:pPr>
      <w:r>
        <w:rPr>
          <w:rFonts w:hint="eastAsia" w:hAnsi="宋体"/>
          <w:b/>
          <w:bCs/>
          <w:color w:val="auto"/>
          <w:w w:val="95"/>
          <w:sz w:val="30"/>
          <w:szCs w:val="30"/>
          <w:highlight w:val="none"/>
          <w:lang w:eastAsia="zh-CN"/>
        </w:rPr>
        <w:t>202</w:t>
      </w:r>
      <w:r>
        <w:rPr>
          <w:rFonts w:hint="eastAsia" w:hAnsi="宋体"/>
          <w:b/>
          <w:bCs/>
          <w:color w:val="auto"/>
          <w:w w:val="95"/>
          <w:sz w:val="30"/>
          <w:szCs w:val="30"/>
          <w:highlight w:val="none"/>
          <w:lang w:val="en-US" w:eastAsia="zh-CN"/>
        </w:rPr>
        <w:t>6</w:t>
      </w:r>
      <w:r>
        <w:rPr>
          <w:rFonts w:hint="eastAsia" w:hAnsi="宋体"/>
          <w:b/>
          <w:bCs/>
          <w:color w:val="auto"/>
          <w:w w:val="95"/>
          <w:sz w:val="30"/>
          <w:szCs w:val="30"/>
          <w:highlight w:val="none"/>
          <w:lang w:eastAsia="zh-CN"/>
        </w:rPr>
        <w:t>年</w:t>
      </w:r>
      <w:r>
        <w:rPr>
          <w:rFonts w:hint="eastAsia" w:hAnsi="宋体"/>
          <w:b/>
          <w:bCs/>
          <w:color w:val="auto"/>
          <w:w w:val="95"/>
          <w:sz w:val="30"/>
          <w:szCs w:val="30"/>
          <w:highlight w:val="none"/>
          <w:lang w:val="en-US" w:eastAsia="zh-CN"/>
        </w:rPr>
        <w:t xml:space="preserve"> </w:t>
      </w:r>
      <w:r>
        <w:rPr>
          <w:rFonts w:hint="eastAsia" w:hAnsi="宋体"/>
          <w:b/>
          <w:bCs/>
          <w:color w:val="auto"/>
          <w:w w:val="95"/>
          <w:sz w:val="30"/>
          <w:szCs w:val="30"/>
          <w:highlight w:val="none"/>
          <w:lang w:eastAsia="zh-CN"/>
        </w:rPr>
        <w:t>月</w:t>
      </w:r>
    </w:p>
    <w:p w14:paraId="22A89588">
      <w:pPr>
        <w:spacing w:line="360" w:lineRule="auto"/>
        <w:jc w:val="center"/>
        <w:rPr>
          <w:rFonts w:hint="eastAsia" w:ascii="宋体" w:hAnsi="宋体" w:cs="宋体"/>
          <w:b/>
          <w:color w:val="auto"/>
          <w:sz w:val="44"/>
          <w:szCs w:val="44"/>
        </w:rPr>
      </w:pPr>
      <w:r>
        <w:rPr>
          <w:rFonts w:hint="eastAsia" w:ascii="宋体" w:hAnsi="宋体" w:cs="宋体"/>
          <w:b/>
          <w:color w:val="auto"/>
          <w:sz w:val="44"/>
          <w:szCs w:val="44"/>
        </w:rPr>
        <w:t>目 录</w:t>
      </w:r>
    </w:p>
    <w:p w14:paraId="31DED0CA">
      <w:pPr>
        <w:pStyle w:val="32"/>
        <w:tabs>
          <w:tab w:val="right" w:leader="dot" w:pos="9188"/>
          <w:tab w:val="clear" w:pos="8398"/>
        </w:tabs>
        <w:spacing w:line="360" w:lineRule="auto"/>
        <w:rPr>
          <w:color w:val="auto"/>
          <w:sz w:val="28"/>
          <w:szCs w:val="28"/>
        </w:rPr>
      </w:pPr>
      <w:r>
        <w:rPr>
          <w:rFonts w:hint="eastAsia" w:cs="宋体"/>
          <w:b w:val="0"/>
          <w:color w:val="auto"/>
          <w:sz w:val="28"/>
          <w:szCs w:val="28"/>
        </w:rPr>
        <w:fldChar w:fldCharType="begin"/>
      </w:r>
      <w:r>
        <w:rPr>
          <w:rFonts w:hint="eastAsia" w:cs="宋体"/>
          <w:b w:val="0"/>
          <w:color w:val="auto"/>
          <w:sz w:val="28"/>
          <w:szCs w:val="28"/>
        </w:rPr>
        <w:instrText xml:space="preserve"> TOC \o "1-2" \h \z \u </w:instrText>
      </w:r>
      <w:r>
        <w:rPr>
          <w:rFonts w:hint="eastAsia" w:cs="宋体"/>
          <w:b w:val="0"/>
          <w:color w:val="auto"/>
          <w:sz w:val="28"/>
          <w:szCs w:val="28"/>
        </w:rPr>
        <w:fldChar w:fldCharType="separate"/>
      </w:r>
      <w:r>
        <w:rPr>
          <w:rFonts w:hint="eastAsia" w:cs="宋体"/>
          <w:color w:val="auto"/>
          <w:sz w:val="28"/>
          <w:szCs w:val="28"/>
        </w:rPr>
        <w:fldChar w:fldCharType="begin"/>
      </w:r>
      <w:r>
        <w:rPr>
          <w:rFonts w:hint="eastAsia" w:cs="宋体"/>
          <w:color w:val="auto"/>
          <w:sz w:val="28"/>
          <w:szCs w:val="28"/>
        </w:rPr>
        <w:instrText xml:space="preserve"> HYPERLINK \l _Toc17904 </w:instrText>
      </w:r>
      <w:r>
        <w:rPr>
          <w:rFonts w:hint="eastAsia" w:cs="宋体"/>
          <w:color w:val="auto"/>
          <w:sz w:val="28"/>
          <w:szCs w:val="28"/>
        </w:rPr>
        <w:fldChar w:fldCharType="separate"/>
      </w:r>
      <w:r>
        <w:rPr>
          <w:rFonts w:hint="eastAsia" w:ascii="宋体" w:hAnsi="宋体" w:cs="宋体"/>
          <w:color w:val="auto"/>
          <w:sz w:val="28"/>
          <w:szCs w:val="28"/>
        </w:rPr>
        <w:t xml:space="preserve">第一章 </w:t>
      </w:r>
      <w:r>
        <w:rPr>
          <w:rFonts w:hint="eastAsia" w:cs="宋体"/>
          <w:color w:val="auto"/>
          <w:sz w:val="28"/>
          <w:szCs w:val="28"/>
          <w:lang w:val="en-US" w:eastAsia="zh-CN"/>
        </w:rPr>
        <w:t xml:space="preserve"> </w:t>
      </w:r>
      <w:r>
        <w:rPr>
          <w:rFonts w:hint="eastAsia" w:ascii="宋体" w:hAnsi="宋体" w:cs="宋体"/>
          <w:color w:val="auto"/>
          <w:sz w:val="28"/>
          <w:szCs w:val="28"/>
        </w:rPr>
        <w:t>招标公告</w:t>
      </w:r>
      <w:r>
        <w:rPr>
          <w:color w:val="auto"/>
          <w:sz w:val="28"/>
          <w:szCs w:val="28"/>
        </w:rPr>
        <w:tab/>
      </w:r>
      <w:r>
        <w:rPr>
          <w:color w:val="auto"/>
          <w:sz w:val="28"/>
          <w:szCs w:val="28"/>
        </w:rPr>
        <w:fldChar w:fldCharType="begin"/>
      </w:r>
      <w:r>
        <w:rPr>
          <w:color w:val="auto"/>
          <w:sz w:val="28"/>
          <w:szCs w:val="28"/>
        </w:rPr>
        <w:instrText xml:space="preserve"> PAGEREF _Toc17904 \h </w:instrText>
      </w:r>
      <w:r>
        <w:rPr>
          <w:color w:val="auto"/>
          <w:sz w:val="28"/>
          <w:szCs w:val="28"/>
        </w:rPr>
        <w:fldChar w:fldCharType="separate"/>
      </w:r>
      <w:r>
        <w:rPr>
          <w:color w:val="auto"/>
          <w:sz w:val="28"/>
          <w:szCs w:val="28"/>
        </w:rPr>
        <w:t>2</w:t>
      </w:r>
      <w:r>
        <w:rPr>
          <w:color w:val="auto"/>
          <w:sz w:val="28"/>
          <w:szCs w:val="28"/>
        </w:rPr>
        <w:fldChar w:fldCharType="end"/>
      </w:r>
      <w:r>
        <w:rPr>
          <w:rFonts w:hint="eastAsia" w:cs="宋体"/>
          <w:color w:val="auto"/>
          <w:sz w:val="28"/>
          <w:szCs w:val="28"/>
        </w:rPr>
        <w:fldChar w:fldCharType="end"/>
      </w:r>
    </w:p>
    <w:p w14:paraId="50EFBAAD">
      <w:pPr>
        <w:pStyle w:val="32"/>
        <w:tabs>
          <w:tab w:val="right" w:leader="dot" w:pos="9188"/>
          <w:tab w:val="clear" w:pos="8398"/>
        </w:tabs>
        <w:spacing w:line="360" w:lineRule="auto"/>
        <w:rPr>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\l _Toc21521 </w:instrText>
      </w:r>
      <w:r>
        <w:rPr>
          <w:rFonts w:hint="eastAsia" w:ascii="宋体" w:hAnsi="宋体" w:cs="宋体"/>
          <w:color w:val="auto"/>
          <w:sz w:val="28"/>
          <w:szCs w:val="28"/>
        </w:rPr>
        <w:fldChar w:fldCharType="separate"/>
      </w:r>
      <w:r>
        <w:rPr>
          <w:rFonts w:hint="eastAsia" w:ascii="宋体" w:hAnsi="宋体" w:cs="宋体"/>
          <w:bCs/>
          <w:color w:val="auto"/>
          <w:sz w:val="28"/>
          <w:szCs w:val="28"/>
        </w:rPr>
        <w:t>第二章  采购需求</w:t>
      </w:r>
      <w:r>
        <w:rPr>
          <w:color w:val="auto"/>
          <w:sz w:val="28"/>
          <w:szCs w:val="28"/>
        </w:rPr>
        <w:tab/>
      </w:r>
      <w:r>
        <w:rPr>
          <w:color w:val="auto"/>
          <w:sz w:val="28"/>
          <w:szCs w:val="28"/>
        </w:rPr>
        <w:fldChar w:fldCharType="begin"/>
      </w:r>
      <w:r>
        <w:rPr>
          <w:color w:val="auto"/>
          <w:sz w:val="28"/>
          <w:szCs w:val="28"/>
        </w:rPr>
        <w:instrText xml:space="preserve"> PAGEREF _Toc21521 \h </w:instrText>
      </w:r>
      <w:r>
        <w:rPr>
          <w:color w:val="auto"/>
          <w:sz w:val="28"/>
          <w:szCs w:val="28"/>
        </w:rPr>
        <w:fldChar w:fldCharType="separate"/>
      </w:r>
      <w:r>
        <w:rPr>
          <w:color w:val="auto"/>
          <w:sz w:val="28"/>
          <w:szCs w:val="28"/>
        </w:rPr>
        <w:t>6</w:t>
      </w:r>
      <w:r>
        <w:rPr>
          <w:color w:val="auto"/>
          <w:sz w:val="28"/>
          <w:szCs w:val="28"/>
        </w:rPr>
        <w:fldChar w:fldCharType="end"/>
      </w:r>
      <w:r>
        <w:rPr>
          <w:rFonts w:hint="eastAsia" w:ascii="宋体" w:hAnsi="宋体" w:cs="宋体"/>
          <w:color w:val="auto"/>
          <w:sz w:val="28"/>
          <w:szCs w:val="28"/>
        </w:rPr>
        <w:fldChar w:fldCharType="end"/>
      </w:r>
    </w:p>
    <w:p w14:paraId="288349D5">
      <w:pPr>
        <w:pStyle w:val="32"/>
        <w:tabs>
          <w:tab w:val="right" w:leader="dot" w:pos="9188"/>
          <w:tab w:val="clear" w:pos="8398"/>
        </w:tabs>
        <w:spacing w:line="360" w:lineRule="auto"/>
        <w:rPr>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\l _Toc2468 </w:instrText>
      </w:r>
      <w:r>
        <w:rPr>
          <w:rFonts w:hint="eastAsia" w:ascii="宋体" w:hAnsi="宋体" w:cs="宋体"/>
          <w:color w:val="auto"/>
          <w:sz w:val="28"/>
          <w:szCs w:val="28"/>
        </w:rPr>
        <w:fldChar w:fldCharType="separate"/>
      </w:r>
      <w:r>
        <w:rPr>
          <w:rFonts w:hint="eastAsia" w:ascii="宋体" w:hAnsi="宋体" w:cs="宋体"/>
          <w:color w:val="auto"/>
          <w:sz w:val="28"/>
          <w:szCs w:val="28"/>
        </w:rPr>
        <w:t>第三章  投标人须知</w:t>
      </w:r>
      <w:r>
        <w:rPr>
          <w:color w:val="auto"/>
          <w:sz w:val="28"/>
          <w:szCs w:val="28"/>
        </w:rPr>
        <w:tab/>
      </w:r>
      <w:r>
        <w:rPr>
          <w:color w:val="auto"/>
          <w:sz w:val="28"/>
          <w:szCs w:val="28"/>
        </w:rPr>
        <w:fldChar w:fldCharType="begin"/>
      </w:r>
      <w:r>
        <w:rPr>
          <w:color w:val="auto"/>
          <w:sz w:val="28"/>
          <w:szCs w:val="28"/>
        </w:rPr>
        <w:instrText xml:space="preserve"> PAGEREF _Toc2468 \h </w:instrText>
      </w:r>
      <w:r>
        <w:rPr>
          <w:color w:val="auto"/>
          <w:sz w:val="28"/>
          <w:szCs w:val="28"/>
        </w:rPr>
        <w:fldChar w:fldCharType="separate"/>
      </w:r>
      <w:r>
        <w:rPr>
          <w:color w:val="auto"/>
          <w:sz w:val="28"/>
          <w:szCs w:val="28"/>
        </w:rPr>
        <w:t>53</w:t>
      </w:r>
      <w:r>
        <w:rPr>
          <w:color w:val="auto"/>
          <w:sz w:val="28"/>
          <w:szCs w:val="28"/>
        </w:rPr>
        <w:fldChar w:fldCharType="end"/>
      </w:r>
      <w:r>
        <w:rPr>
          <w:rFonts w:hint="eastAsia" w:ascii="宋体" w:hAnsi="宋体" w:cs="宋体"/>
          <w:color w:val="auto"/>
          <w:sz w:val="28"/>
          <w:szCs w:val="28"/>
        </w:rPr>
        <w:fldChar w:fldCharType="end"/>
      </w:r>
    </w:p>
    <w:p w14:paraId="76AEF238">
      <w:pPr>
        <w:pStyle w:val="32"/>
        <w:tabs>
          <w:tab w:val="right" w:leader="dot" w:pos="9188"/>
          <w:tab w:val="clear" w:pos="8398"/>
        </w:tabs>
        <w:spacing w:line="360" w:lineRule="auto"/>
        <w:rPr>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\l _Toc4469 </w:instrText>
      </w:r>
      <w:r>
        <w:rPr>
          <w:rFonts w:hint="eastAsia" w:ascii="宋体" w:hAnsi="宋体" w:cs="宋体"/>
          <w:color w:val="auto"/>
          <w:sz w:val="28"/>
          <w:szCs w:val="28"/>
        </w:rPr>
        <w:fldChar w:fldCharType="separate"/>
      </w:r>
      <w:r>
        <w:rPr>
          <w:rFonts w:hint="eastAsia" w:ascii="宋体" w:hAnsi="宋体" w:cs="宋体"/>
          <w:color w:val="auto"/>
          <w:sz w:val="28"/>
          <w:szCs w:val="28"/>
        </w:rPr>
        <w:t>第四章  评标方法及评标标准</w:t>
      </w:r>
      <w:r>
        <w:rPr>
          <w:color w:val="auto"/>
          <w:sz w:val="28"/>
          <w:szCs w:val="28"/>
        </w:rPr>
        <w:tab/>
      </w:r>
      <w:r>
        <w:rPr>
          <w:color w:val="auto"/>
          <w:sz w:val="28"/>
          <w:szCs w:val="28"/>
        </w:rPr>
        <w:fldChar w:fldCharType="begin"/>
      </w:r>
      <w:r>
        <w:rPr>
          <w:color w:val="auto"/>
          <w:sz w:val="28"/>
          <w:szCs w:val="28"/>
        </w:rPr>
        <w:instrText xml:space="preserve"> PAGEREF _Toc4469 \h </w:instrText>
      </w:r>
      <w:r>
        <w:rPr>
          <w:color w:val="auto"/>
          <w:sz w:val="28"/>
          <w:szCs w:val="28"/>
        </w:rPr>
        <w:fldChar w:fldCharType="separate"/>
      </w:r>
      <w:r>
        <w:rPr>
          <w:color w:val="auto"/>
          <w:sz w:val="28"/>
          <w:szCs w:val="28"/>
        </w:rPr>
        <w:t>73</w:t>
      </w:r>
      <w:r>
        <w:rPr>
          <w:color w:val="auto"/>
          <w:sz w:val="28"/>
          <w:szCs w:val="28"/>
        </w:rPr>
        <w:fldChar w:fldCharType="end"/>
      </w:r>
      <w:r>
        <w:rPr>
          <w:rFonts w:hint="eastAsia" w:ascii="宋体" w:hAnsi="宋体" w:cs="宋体"/>
          <w:color w:val="auto"/>
          <w:sz w:val="28"/>
          <w:szCs w:val="28"/>
        </w:rPr>
        <w:fldChar w:fldCharType="end"/>
      </w:r>
    </w:p>
    <w:p w14:paraId="43B14A21">
      <w:pPr>
        <w:pStyle w:val="32"/>
        <w:tabs>
          <w:tab w:val="right" w:leader="dot" w:pos="9188"/>
          <w:tab w:val="clear" w:pos="8398"/>
        </w:tabs>
        <w:spacing w:line="360" w:lineRule="auto"/>
        <w:rPr>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\l _Toc26388 </w:instrText>
      </w:r>
      <w:r>
        <w:rPr>
          <w:rFonts w:hint="eastAsia" w:ascii="宋体" w:hAnsi="宋体" w:cs="宋体"/>
          <w:color w:val="auto"/>
          <w:sz w:val="28"/>
          <w:szCs w:val="28"/>
        </w:rPr>
        <w:fldChar w:fldCharType="separate"/>
      </w:r>
      <w:r>
        <w:rPr>
          <w:rFonts w:hint="eastAsia" w:ascii="宋体" w:hAnsi="宋体" w:cs="宋体"/>
          <w:color w:val="auto"/>
          <w:sz w:val="28"/>
          <w:szCs w:val="28"/>
        </w:rPr>
        <w:t>第五章  拟签订的合同文本</w:t>
      </w:r>
      <w:r>
        <w:rPr>
          <w:color w:val="auto"/>
          <w:sz w:val="28"/>
          <w:szCs w:val="28"/>
        </w:rPr>
        <w:tab/>
      </w:r>
      <w:r>
        <w:rPr>
          <w:color w:val="auto"/>
          <w:sz w:val="28"/>
          <w:szCs w:val="28"/>
        </w:rPr>
        <w:fldChar w:fldCharType="begin"/>
      </w:r>
      <w:r>
        <w:rPr>
          <w:color w:val="auto"/>
          <w:sz w:val="28"/>
          <w:szCs w:val="28"/>
        </w:rPr>
        <w:instrText xml:space="preserve"> PAGEREF _Toc26388 \h </w:instrText>
      </w:r>
      <w:r>
        <w:rPr>
          <w:color w:val="auto"/>
          <w:sz w:val="28"/>
          <w:szCs w:val="28"/>
        </w:rPr>
        <w:fldChar w:fldCharType="separate"/>
      </w:r>
      <w:r>
        <w:rPr>
          <w:color w:val="auto"/>
          <w:sz w:val="28"/>
          <w:szCs w:val="28"/>
        </w:rPr>
        <w:t>83</w:t>
      </w:r>
      <w:r>
        <w:rPr>
          <w:color w:val="auto"/>
          <w:sz w:val="28"/>
          <w:szCs w:val="28"/>
        </w:rPr>
        <w:fldChar w:fldCharType="end"/>
      </w:r>
      <w:r>
        <w:rPr>
          <w:rFonts w:hint="eastAsia" w:ascii="宋体" w:hAnsi="宋体" w:cs="宋体"/>
          <w:color w:val="auto"/>
          <w:sz w:val="28"/>
          <w:szCs w:val="28"/>
        </w:rPr>
        <w:fldChar w:fldCharType="end"/>
      </w:r>
    </w:p>
    <w:p w14:paraId="6655CD10">
      <w:pPr>
        <w:pStyle w:val="32"/>
        <w:tabs>
          <w:tab w:val="right" w:leader="dot" w:pos="9188"/>
          <w:tab w:val="clear" w:pos="8398"/>
        </w:tabs>
        <w:spacing w:line="360" w:lineRule="auto"/>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\l _Toc10994 </w:instrText>
      </w:r>
      <w:r>
        <w:rPr>
          <w:rFonts w:hint="eastAsia" w:ascii="宋体" w:hAnsi="宋体" w:cs="宋体"/>
          <w:color w:val="auto"/>
          <w:sz w:val="28"/>
          <w:szCs w:val="28"/>
        </w:rPr>
        <w:fldChar w:fldCharType="separate"/>
      </w:r>
      <w:r>
        <w:rPr>
          <w:rFonts w:hint="eastAsia" w:ascii="宋体" w:hAnsi="宋体" w:cs="宋体"/>
          <w:color w:val="auto"/>
          <w:sz w:val="28"/>
          <w:szCs w:val="28"/>
        </w:rPr>
        <w:t>第六章</w:t>
      </w:r>
      <w:r>
        <w:rPr>
          <w:rFonts w:hint="eastAsia" w:ascii="宋体" w:hAnsi="宋体" w:cs="宋体"/>
          <w:color w:val="auto"/>
          <w:sz w:val="28"/>
          <w:szCs w:val="28"/>
          <w:lang w:val="en-US" w:eastAsia="zh-CN"/>
        </w:rPr>
        <w:t xml:space="preserve">  </w:t>
      </w:r>
      <w:r>
        <w:rPr>
          <w:rFonts w:hint="eastAsia" w:ascii="宋体" w:hAnsi="宋体" w:cs="宋体"/>
          <w:color w:val="auto"/>
          <w:sz w:val="28"/>
          <w:szCs w:val="28"/>
        </w:rPr>
        <w:t>投标文件格式</w:t>
      </w:r>
      <w:r>
        <w:rPr>
          <w:color w:val="auto"/>
          <w:sz w:val="28"/>
          <w:szCs w:val="28"/>
        </w:rPr>
        <w:tab/>
      </w:r>
      <w:r>
        <w:rPr>
          <w:color w:val="auto"/>
          <w:sz w:val="28"/>
          <w:szCs w:val="28"/>
        </w:rPr>
        <w:fldChar w:fldCharType="begin"/>
      </w:r>
      <w:r>
        <w:rPr>
          <w:color w:val="auto"/>
          <w:sz w:val="28"/>
          <w:szCs w:val="28"/>
        </w:rPr>
        <w:instrText xml:space="preserve"> PAGEREF _Toc10994 \h </w:instrText>
      </w:r>
      <w:r>
        <w:rPr>
          <w:color w:val="auto"/>
          <w:sz w:val="28"/>
          <w:szCs w:val="28"/>
        </w:rPr>
        <w:fldChar w:fldCharType="separate"/>
      </w:r>
      <w:r>
        <w:rPr>
          <w:color w:val="auto"/>
          <w:sz w:val="28"/>
          <w:szCs w:val="28"/>
        </w:rPr>
        <w:t>131</w:t>
      </w:r>
      <w:r>
        <w:rPr>
          <w:color w:val="auto"/>
          <w:sz w:val="28"/>
          <w:szCs w:val="28"/>
        </w:rPr>
        <w:fldChar w:fldCharType="end"/>
      </w:r>
      <w:r>
        <w:rPr>
          <w:rFonts w:hint="eastAsia" w:ascii="宋体" w:hAnsi="宋体" w:cs="宋体"/>
          <w:color w:val="auto"/>
          <w:sz w:val="28"/>
          <w:szCs w:val="28"/>
        </w:rPr>
        <w:fldChar w:fldCharType="end"/>
      </w:r>
    </w:p>
    <w:p w14:paraId="47A5CF0A">
      <w:pPr>
        <w:tabs>
          <w:tab w:val="right" w:leader="dot" w:pos="8789"/>
        </w:tabs>
        <w:snapToGrid w:val="0"/>
        <w:spacing w:line="500" w:lineRule="atLeast"/>
        <w:rPr>
          <w:rFonts w:hint="eastAsia" w:ascii="宋体" w:hAnsi="宋体" w:cs="宋体"/>
          <w:color w:val="auto"/>
          <w:sz w:val="24"/>
        </w:rPr>
      </w:pPr>
      <w:r>
        <w:rPr>
          <w:rFonts w:hint="eastAsia" w:ascii="宋体" w:hAnsi="宋体" w:cs="宋体"/>
          <w:color w:val="auto"/>
          <w:szCs w:val="28"/>
        </w:rPr>
        <w:fldChar w:fldCharType="end"/>
      </w:r>
    </w:p>
    <w:p w14:paraId="30F7FF8D">
      <w:pPr>
        <w:spacing w:before="120" w:beforeLines="50" w:line="480" w:lineRule="exact"/>
        <w:rPr>
          <w:rFonts w:hint="eastAsia" w:ascii="宋体" w:hAnsi="宋体" w:cs="宋体"/>
          <w:color w:val="auto"/>
          <w:sz w:val="30"/>
        </w:rPr>
      </w:pPr>
    </w:p>
    <w:p w14:paraId="6825EB5F">
      <w:pPr>
        <w:rPr>
          <w:rFonts w:hint="eastAsia" w:ascii="宋体" w:hAnsi="宋体" w:cs="宋体"/>
          <w:color w:val="auto"/>
        </w:rPr>
      </w:pPr>
    </w:p>
    <w:p w14:paraId="481DD496">
      <w:pPr>
        <w:spacing w:before="120" w:beforeLines="50" w:line="480" w:lineRule="exact"/>
        <w:rPr>
          <w:rFonts w:hint="eastAsia" w:ascii="宋体" w:hAnsi="宋体" w:cs="宋体"/>
          <w:color w:val="auto"/>
          <w:sz w:val="30"/>
        </w:rPr>
      </w:pPr>
    </w:p>
    <w:p w14:paraId="3A1C8699">
      <w:pPr>
        <w:spacing w:before="120" w:beforeLines="50" w:line="480" w:lineRule="exact"/>
        <w:rPr>
          <w:rFonts w:hint="eastAsia" w:ascii="宋体" w:hAnsi="宋体" w:cs="宋体"/>
          <w:color w:val="auto"/>
          <w:sz w:val="30"/>
        </w:rPr>
      </w:pPr>
    </w:p>
    <w:p w14:paraId="4B8B6726">
      <w:pPr>
        <w:pStyle w:val="17"/>
        <w:rPr>
          <w:rFonts w:hint="eastAsia" w:ascii="宋体" w:hAnsi="宋体" w:cs="宋体"/>
          <w:b/>
          <w:bCs/>
          <w:color w:val="auto"/>
        </w:rPr>
      </w:pPr>
      <w:bookmarkStart w:id="0" w:name="_Toc254970489"/>
      <w:bookmarkStart w:id="1" w:name="_Toc254970630"/>
    </w:p>
    <w:p w14:paraId="3F88C2A7">
      <w:pPr>
        <w:pStyle w:val="3"/>
        <w:keepNext w:val="0"/>
        <w:keepLines w:val="0"/>
        <w:numPr>
          <w:ilvl w:val="0"/>
          <w:numId w:val="5"/>
        </w:numPr>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rPr>
      </w:pPr>
      <w:r>
        <w:rPr>
          <w:rFonts w:hint="eastAsia" w:ascii="宋体" w:hAnsi="宋体" w:cs="宋体"/>
          <w:b w:val="0"/>
          <w:bCs w:val="0"/>
          <w:color w:val="auto"/>
        </w:rPr>
        <w:br w:type="page"/>
      </w:r>
      <w:bookmarkEnd w:id="0"/>
      <w:bookmarkEnd w:id="1"/>
      <w:bookmarkStart w:id="2" w:name="_Toc31257"/>
      <w:bookmarkStart w:id="3" w:name="_Toc14477"/>
      <w:bookmarkStart w:id="4" w:name="_Toc4088"/>
      <w:bookmarkStart w:id="5" w:name="_Toc29553"/>
      <w:bookmarkStart w:id="6" w:name="_Toc17563"/>
      <w:bookmarkStart w:id="7" w:name="_Toc28359001"/>
      <w:bookmarkStart w:id="8" w:name="_Toc15668"/>
      <w:bookmarkStart w:id="9" w:name="_Toc17904"/>
      <w:bookmarkStart w:id="10" w:name="_Toc35393789"/>
      <w:bookmarkStart w:id="11" w:name="_Toc1730"/>
      <w:r>
        <w:rPr>
          <w:rFonts w:hint="eastAsia" w:ascii="宋体" w:hAnsi="宋体" w:cs="宋体"/>
          <w:color w:val="auto"/>
        </w:rPr>
        <w:t>招标公告</w:t>
      </w:r>
      <w:bookmarkEnd w:id="2"/>
      <w:bookmarkEnd w:id="3"/>
      <w:bookmarkEnd w:id="4"/>
      <w:bookmarkEnd w:id="5"/>
      <w:bookmarkEnd w:id="6"/>
      <w:bookmarkEnd w:id="7"/>
      <w:bookmarkEnd w:id="8"/>
      <w:bookmarkEnd w:id="9"/>
      <w:bookmarkEnd w:id="10"/>
      <w:bookmarkEnd w:id="11"/>
    </w:p>
    <w:p w14:paraId="43EACF86">
      <w:pPr>
        <w:spacing w:line="500" w:lineRule="exact"/>
        <w:jc w:val="center"/>
        <w:rPr>
          <w:rFonts w:hint="eastAsia" w:ascii="宋体" w:hAnsi="宋体" w:cs="宋体"/>
          <w:b/>
          <w:color w:val="auto"/>
          <w:sz w:val="32"/>
          <w:szCs w:val="32"/>
        </w:rPr>
      </w:pPr>
      <w:r>
        <w:rPr>
          <w:rFonts w:hint="eastAsia" w:ascii="宋体" w:hAnsi="宋体" w:cs="宋体"/>
          <w:b/>
          <w:color w:val="auto"/>
          <w:sz w:val="32"/>
          <w:szCs w:val="32"/>
        </w:rPr>
        <w:t>广西中信恒泰工程顾问有限公司关于</w:t>
      </w:r>
      <w:r>
        <w:rPr>
          <w:rFonts w:hint="eastAsia" w:ascii="宋体" w:hAnsi="宋体" w:cs="宋体"/>
          <w:b/>
          <w:color w:val="auto"/>
          <w:sz w:val="32"/>
          <w:szCs w:val="32"/>
          <w:lang w:eastAsia="zh-CN"/>
        </w:rPr>
        <w:t>蒙山县2026年公共绿地绿化日常养护服务项目</w:t>
      </w:r>
      <w:r>
        <w:rPr>
          <w:rFonts w:hint="eastAsia" w:ascii="宋体" w:hAnsi="宋体" w:cs="宋体"/>
          <w:b/>
          <w:color w:val="auto"/>
          <w:sz w:val="32"/>
          <w:szCs w:val="32"/>
        </w:rPr>
        <w:t>（项目编号：</w:t>
      </w:r>
      <w:r>
        <w:rPr>
          <w:rFonts w:hint="eastAsia" w:ascii="宋体" w:hAnsi="宋体" w:cs="宋体"/>
          <w:b/>
          <w:color w:val="auto"/>
          <w:sz w:val="32"/>
          <w:szCs w:val="32"/>
          <w:lang w:eastAsia="zh-CN"/>
        </w:rPr>
        <w:t xml:space="preserve">  </w:t>
      </w:r>
      <w:r>
        <w:rPr>
          <w:rFonts w:hint="eastAsia" w:ascii="宋体" w:hAnsi="宋体" w:cs="宋体"/>
          <w:b/>
          <w:color w:val="auto"/>
          <w:sz w:val="32"/>
          <w:szCs w:val="32"/>
        </w:rPr>
        <w:t>）</w:t>
      </w:r>
      <w:r>
        <w:rPr>
          <w:rFonts w:hint="eastAsia" w:ascii="宋体" w:hAnsi="宋体" w:cs="宋体"/>
          <w:b/>
          <w:color w:val="auto"/>
          <w:sz w:val="32"/>
          <w:szCs w:val="32"/>
          <w:lang w:eastAsia="zh-CN"/>
        </w:rPr>
        <w:t>公开</w:t>
      </w:r>
      <w:r>
        <w:rPr>
          <w:rFonts w:hint="eastAsia" w:ascii="宋体" w:hAnsi="宋体" w:cs="宋体"/>
          <w:b/>
          <w:color w:val="auto"/>
          <w:sz w:val="32"/>
          <w:szCs w:val="32"/>
        </w:rPr>
        <w:t>招标公告</w:t>
      </w:r>
    </w:p>
    <w:p w14:paraId="71BFDA47">
      <w:pPr>
        <w:pBdr>
          <w:top w:val="single" w:color="auto" w:sz="4" w:space="1"/>
          <w:left w:val="single" w:color="auto" w:sz="4" w:space="4"/>
          <w:bottom w:val="single" w:color="auto" w:sz="4" w:space="1"/>
          <w:right w:val="single" w:color="auto" w:sz="4" w:space="4"/>
        </w:pBdr>
        <w:spacing w:line="500" w:lineRule="exact"/>
        <w:rPr>
          <w:rFonts w:hint="eastAsia" w:ascii="宋体" w:hAnsi="宋体" w:cs="宋体"/>
          <w:color w:val="auto"/>
          <w:szCs w:val="21"/>
        </w:rPr>
      </w:pPr>
      <w:r>
        <w:rPr>
          <w:rFonts w:hint="eastAsia" w:ascii="宋体" w:hAnsi="宋体" w:cs="宋体"/>
          <w:color w:val="auto"/>
          <w:szCs w:val="21"/>
        </w:rPr>
        <w:t>项目概况</w:t>
      </w:r>
    </w:p>
    <w:p w14:paraId="5FD92838">
      <w:pPr>
        <w:pBdr>
          <w:top w:val="single" w:color="auto" w:sz="4" w:space="1"/>
          <w:left w:val="single" w:color="auto" w:sz="4" w:space="4"/>
          <w:bottom w:val="single" w:color="auto" w:sz="4" w:space="1"/>
          <w:right w:val="single" w:color="auto" w:sz="4" w:space="4"/>
        </w:pBdr>
        <w:spacing w:line="500" w:lineRule="exact"/>
        <w:ind w:firstLine="420" w:firstLineChars="200"/>
        <w:rPr>
          <w:rFonts w:hint="eastAsia" w:ascii="宋体" w:hAnsi="宋体" w:cs="宋体"/>
          <w:color w:val="auto"/>
          <w:szCs w:val="21"/>
        </w:rPr>
      </w:pPr>
      <w:r>
        <w:rPr>
          <w:rFonts w:hint="eastAsia" w:ascii="宋体" w:hAnsi="宋体" w:cs="宋体"/>
          <w:color w:val="auto"/>
          <w:szCs w:val="21"/>
          <w:u w:val="single"/>
          <w:lang w:eastAsia="zh-CN"/>
        </w:rPr>
        <w:t>蒙山县2026年公共绿地绿化日常养护服务项目</w:t>
      </w:r>
      <w:r>
        <w:rPr>
          <w:rFonts w:hint="eastAsia" w:ascii="宋体" w:hAnsi="宋体" w:cs="宋体"/>
          <w:color w:val="auto"/>
          <w:szCs w:val="21"/>
        </w:rPr>
        <w:t>的潜在投标人应在广西政府采购云平台（https://www.gcy.zfcg.gxzf.gov.cn</w:t>
      </w:r>
      <w:r>
        <w:rPr>
          <w:rFonts w:hint="eastAsia" w:ascii="宋体" w:hAnsi="宋体" w:cs="宋体"/>
          <w:color w:val="auto"/>
          <w:szCs w:val="21"/>
          <w:lang w:eastAsia="zh-CN"/>
        </w:rPr>
        <w:t>）</w:t>
      </w:r>
      <w:r>
        <w:rPr>
          <w:rFonts w:hint="eastAsia" w:ascii="宋体" w:hAnsi="宋体" w:cs="宋体"/>
          <w:color w:val="auto"/>
          <w:szCs w:val="21"/>
        </w:rPr>
        <w:t>获取招标文件，并于202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 xml:space="preserve">  </w:t>
      </w:r>
      <w:r>
        <w:rPr>
          <w:rFonts w:hint="eastAsia" w:ascii="宋体" w:hAnsi="宋体" w:cs="宋体"/>
          <w:bCs/>
          <w:color w:val="auto"/>
          <w:szCs w:val="21"/>
        </w:rPr>
        <w:t>月</w:t>
      </w:r>
      <w:r>
        <w:rPr>
          <w:rFonts w:hint="eastAsia" w:ascii="宋体" w:hAnsi="宋体" w:cs="宋体"/>
          <w:bCs/>
          <w:color w:val="auto"/>
          <w:szCs w:val="21"/>
          <w:lang w:val="en-US" w:eastAsia="zh-CN"/>
        </w:rPr>
        <w:t xml:space="preserve">  </w:t>
      </w:r>
      <w:r>
        <w:rPr>
          <w:rFonts w:hint="eastAsia" w:ascii="宋体" w:hAnsi="宋体" w:cs="宋体"/>
          <w:bCs/>
          <w:color w:val="auto"/>
          <w:szCs w:val="21"/>
        </w:rPr>
        <w:t>日9时30分（北京时间）前递交投标文件</w:t>
      </w:r>
      <w:r>
        <w:rPr>
          <w:rFonts w:hint="eastAsia" w:ascii="宋体" w:hAnsi="宋体" w:cs="宋体"/>
          <w:color w:val="auto"/>
          <w:szCs w:val="21"/>
        </w:rPr>
        <w:t>。</w:t>
      </w:r>
    </w:p>
    <w:p w14:paraId="54FD235D">
      <w:pPr>
        <w:spacing w:line="500" w:lineRule="exact"/>
        <w:ind w:firstLine="422" w:firstLineChars="200"/>
        <w:rPr>
          <w:rFonts w:hint="eastAsia" w:ascii="宋体" w:hAnsi="宋体" w:cs="宋体"/>
          <w:b/>
          <w:bCs/>
          <w:color w:val="auto"/>
          <w:szCs w:val="21"/>
        </w:rPr>
      </w:pPr>
      <w:bookmarkStart w:id="12" w:name="_Toc28359002"/>
      <w:bookmarkStart w:id="13" w:name="_Toc35393790"/>
      <w:bookmarkStart w:id="14" w:name="_Toc28359079"/>
      <w:bookmarkStart w:id="15" w:name="_Toc35393621"/>
      <w:bookmarkStart w:id="16" w:name="_Hlk24379207"/>
      <w:r>
        <w:rPr>
          <w:rFonts w:hint="eastAsia" w:ascii="宋体" w:hAnsi="宋体" w:cs="宋体"/>
          <w:b/>
          <w:bCs/>
          <w:color w:val="auto"/>
          <w:szCs w:val="21"/>
        </w:rPr>
        <w:t>一、项目基本情况</w:t>
      </w:r>
      <w:bookmarkEnd w:id="12"/>
      <w:bookmarkEnd w:id="13"/>
      <w:bookmarkEnd w:id="14"/>
      <w:bookmarkEnd w:id="15"/>
    </w:p>
    <w:bookmarkEnd w:id="16"/>
    <w:p w14:paraId="7409F0A6">
      <w:pPr>
        <w:spacing w:line="5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 xml:space="preserve"> </w:t>
      </w:r>
    </w:p>
    <w:p w14:paraId="6DEAC7E7">
      <w:pPr>
        <w:spacing w:line="500" w:lineRule="exact"/>
        <w:ind w:firstLine="420" w:firstLineChars="200"/>
        <w:rPr>
          <w:rFonts w:hint="eastAsia" w:ascii="宋体" w:hAnsi="宋体" w:eastAsia="宋体" w:cs="宋体"/>
          <w:color w:val="auto"/>
          <w:spacing w:val="2"/>
          <w:sz w:val="20"/>
          <w:szCs w:val="20"/>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蒙山县2026年公共绿地绿化日常养护服务项目</w:t>
      </w:r>
    </w:p>
    <w:p w14:paraId="50351BB7">
      <w:pPr>
        <w:spacing w:line="50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预算金额：人民币</w:t>
      </w:r>
      <w:r>
        <w:rPr>
          <w:rFonts w:hint="eastAsia" w:ascii="宋体" w:hAnsi="宋体" w:cs="宋体"/>
          <w:color w:val="auto"/>
          <w:szCs w:val="21"/>
          <w:highlight w:val="none"/>
          <w:lang w:val="en-US" w:eastAsia="zh-CN"/>
        </w:rPr>
        <w:t>伍佰零壹万陆仟元整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¥5016000.00</w:t>
      </w:r>
      <w:r>
        <w:rPr>
          <w:rFonts w:hint="eastAsia" w:ascii="宋体" w:hAnsi="宋体" w:eastAsia="宋体" w:cs="宋体"/>
          <w:color w:val="auto"/>
          <w:szCs w:val="21"/>
          <w:highlight w:val="none"/>
          <w:lang w:eastAsia="zh-CN"/>
        </w:rPr>
        <w:t>）</w:t>
      </w:r>
    </w:p>
    <w:p w14:paraId="553AA386">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最高限价：人民币</w:t>
      </w:r>
      <w:r>
        <w:rPr>
          <w:rFonts w:hint="eastAsia" w:ascii="宋体" w:hAnsi="宋体" w:cs="宋体"/>
          <w:color w:val="auto"/>
          <w:szCs w:val="21"/>
          <w:highlight w:val="none"/>
          <w:lang w:val="en-US" w:eastAsia="zh-CN"/>
        </w:rPr>
        <w:t>伍佰零壹万陆仟元整</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5016000.00</w:t>
      </w:r>
      <w:r>
        <w:rPr>
          <w:rFonts w:hint="eastAsia" w:ascii="宋体" w:hAnsi="宋体" w:cs="宋体"/>
          <w:color w:val="auto"/>
          <w:szCs w:val="21"/>
          <w:highlight w:val="none"/>
          <w:lang w:eastAsia="zh-CN"/>
        </w:rPr>
        <w:t>）</w:t>
      </w:r>
    </w:p>
    <w:p w14:paraId="404981BB">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47"/>
        <w:tblW w:w="9591" w:type="dxa"/>
        <w:tblInd w:w="29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6"/>
        <w:gridCol w:w="3763"/>
        <w:gridCol w:w="1362"/>
        <w:gridCol w:w="3850"/>
      </w:tblGrid>
      <w:tr w14:paraId="655CB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0F97C4D8">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763" w:type="dxa"/>
            <w:tcBorders>
              <w:top w:val="single" w:color="auto" w:sz="4" w:space="0"/>
              <w:left w:val="single" w:color="auto" w:sz="4" w:space="0"/>
              <w:bottom w:val="single" w:color="auto" w:sz="4" w:space="0"/>
              <w:right w:val="single" w:color="auto" w:sz="4" w:space="0"/>
            </w:tcBorders>
            <w:noWrap w:val="0"/>
            <w:vAlign w:val="center"/>
          </w:tcPr>
          <w:p w14:paraId="0181E274">
            <w:pPr>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标的名称</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66C611ED">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3850" w:type="dxa"/>
            <w:tcBorders>
              <w:top w:val="single" w:color="auto" w:sz="4" w:space="0"/>
              <w:left w:val="single" w:color="auto" w:sz="4" w:space="0"/>
              <w:bottom w:val="single" w:color="auto" w:sz="4" w:space="0"/>
              <w:right w:val="single" w:color="auto" w:sz="4" w:space="0"/>
            </w:tcBorders>
            <w:noWrap w:val="0"/>
            <w:vAlign w:val="center"/>
          </w:tcPr>
          <w:p w14:paraId="7FFE0F88">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简要技术需求或者服务要求</w:t>
            </w:r>
          </w:p>
        </w:tc>
      </w:tr>
      <w:tr w14:paraId="7778B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 w:type="dxa"/>
            <w:tcBorders>
              <w:top w:val="single" w:color="auto" w:sz="4" w:space="0"/>
              <w:left w:val="single" w:color="auto" w:sz="4" w:space="0"/>
              <w:bottom w:val="single" w:color="auto" w:sz="4" w:space="0"/>
              <w:right w:val="single" w:color="auto" w:sz="4" w:space="0"/>
            </w:tcBorders>
            <w:noWrap w:val="0"/>
            <w:vAlign w:val="center"/>
          </w:tcPr>
          <w:p w14:paraId="5E4E136F">
            <w:pPr>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63" w:type="dxa"/>
            <w:tcBorders>
              <w:top w:val="single" w:color="auto" w:sz="4" w:space="0"/>
              <w:left w:val="single" w:color="auto" w:sz="4" w:space="0"/>
              <w:bottom w:val="single" w:color="auto" w:sz="4" w:space="0"/>
              <w:right w:val="single" w:color="auto" w:sz="4" w:space="0"/>
            </w:tcBorders>
            <w:noWrap w:val="0"/>
            <w:vAlign w:val="center"/>
          </w:tcPr>
          <w:p w14:paraId="6186F0D2">
            <w:pPr>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蒙山县2026年公共绿地绿化日常养护服务项目</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570442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1项</w:t>
            </w:r>
          </w:p>
        </w:tc>
        <w:tc>
          <w:tcPr>
            <w:tcW w:w="3850" w:type="dxa"/>
            <w:tcBorders>
              <w:top w:val="single" w:color="auto" w:sz="4" w:space="0"/>
              <w:left w:val="single" w:color="auto" w:sz="4" w:space="0"/>
              <w:right w:val="single" w:color="auto" w:sz="4" w:space="0"/>
            </w:tcBorders>
            <w:noWrap w:val="0"/>
            <w:vAlign w:val="center"/>
          </w:tcPr>
          <w:p w14:paraId="7CB7057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详见本招标文件第二章“采购需求”</w:t>
            </w:r>
          </w:p>
        </w:tc>
      </w:tr>
    </w:tbl>
    <w:p w14:paraId="27DD532E">
      <w:pPr>
        <w:spacing w:line="500" w:lineRule="exact"/>
        <w:ind w:firstLine="420" w:firstLineChars="200"/>
        <w:rPr>
          <w:rFonts w:hint="eastAsia" w:ascii="宋体" w:hAnsi="宋体" w:eastAsia="宋体" w:cs="宋体"/>
          <w:color w:val="auto"/>
          <w:szCs w:val="21"/>
          <w:highlight w:val="none"/>
          <w:lang w:val="en-US" w:eastAsia="zh-CN"/>
        </w:rPr>
      </w:pPr>
      <w:bookmarkStart w:id="17" w:name="交付时间1"/>
      <w:r>
        <w:rPr>
          <w:rFonts w:hint="eastAsia" w:ascii="宋体" w:hAnsi="宋体" w:cs="宋体"/>
          <w:color w:val="auto"/>
          <w:szCs w:val="21"/>
          <w:highlight w:val="none"/>
          <w:lang w:val="en-US" w:eastAsia="zh-CN"/>
        </w:rPr>
        <w:t>合同履行期限</w:t>
      </w:r>
      <w:r>
        <w:rPr>
          <w:rFonts w:hint="eastAsia" w:ascii="宋体" w:hAnsi="宋体" w:eastAsia="宋体" w:cs="宋体"/>
          <w:color w:val="auto"/>
          <w:szCs w:val="21"/>
          <w:highlight w:val="none"/>
          <w:lang w:val="en-US" w:eastAsia="zh-CN"/>
        </w:rPr>
        <w:t>：详见本招标文件第二章“采购需求”。</w:t>
      </w:r>
    </w:p>
    <w:bookmarkEnd w:id="17"/>
    <w:p w14:paraId="1CC632CA">
      <w:pPr>
        <w:spacing w:line="5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w:t>
      </w:r>
      <w:r>
        <w:rPr>
          <w:rFonts w:hint="eastAsia" w:ascii="宋体" w:hAnsi="宋体" w:cs="宋体"/>
          <w:color w:val="auto"/>
          <w:szCs w:val="21"/>
          <w:highlight w:val="none"/>
          <w:lang w:val="en-US" w:eastAsia="zh-CN"/>
        </w:rPr>
        <w:t>不</w:t>
      </w:r>
      <w:r>
        <w:rPr>
          <w:rFonts w:hint="eastAsia" w:ascii="宋体" w:hAnsi="宋体" w:eastAsia="宋体" w:cs="宋体"/>
          <w:color w:val="auto"/>
          <w:szCs w:val="21"/>
          <w:highlight w:val="none"/>
          <w:lang w:val="en-US" w:eastAsia="zh-CN"/>
        </w:rPr>
        <w:t>接受联合体投标。</w:t>
      </w:r>
    </w:p>
    <w:p w14:paraId="746FAE93">
      <w:pPr>
        <w:spacing w:line="500" w:lineRule="exact"/>
        <w:ind w:firstLine="422" w:firstLineChars="200"/>
        <w:rPr>
          <w:rFonts w:hint="eastAsia" w:ascii="宋体" w:hAnsi="宋体" w:cs="宋体"/>
          <w:b/>
          <w:bCs/>
          <w:color w:val="auto"/>
          <w:szCs w:val="21"/>
        </w:rPr>
      </w:pPr>
      <w:bookmarkStart w:id="18" w:name="_Toc28359003"/>
      <w:bookmarkStart w:id="19" w:name="_Toc35393622"/>
      <w:bookmarkStart w:id="20" w:name="_Toc28359080"/>
      <w:bookmarkStart w:id="21" w:name="_Toc35393791"/>
      <w:r>
        <w:rPr>
          <w:rFonts w:hint="eastAsia" w:ascii="宋体" w:hAnsi="宋体" w:cs="宋体"/>
          <w:b/>
          <w:bCs/>
          <w:color w:val="auto"/>
          <w:szCs w:val="21"/>
        </w:rPr>
        <w:t>二、申请人的资格要求：</w:t>
      </w:r>
      <w:bookmarkEnd w:id="18"/>
      <w:bookmarkEnd w:id="19"/>
      <w:bookmarkEnd w:id="20"/>
      <w:bookmarkEnd w:id="21"/>
    </w:p>
    <w:p w14:paraId="7C8BE9A8">
      <w:pPr>
        <w:spacing w:line="500" w:lineRule="exact"/>
        <w:ind w:firstLine="420" w:firstLineChars="200"/>
        <w:rPr>
          <w:rFonts w:hint="eastAsia" w:ascii="宋体" w:hAnsi="宋体" w:cs="宋体"/>
          <w:color w:val="auto"/>
          <w:szCs w:val="21"/>
        </w:rPr>
      </w:pPr>
      <w:bookmarkStart w:id="22" w:name="采购人资格"/>
      <w:bookmarkStart w:id="23" w:name="_Hlk51746371"/>
      <w:bookmarkStart w:id="24" w:name="_Toc28359081"/>
      <w:bookmarkStart w:id="25" w:name="_Toc35393792"/>
      <w:bookmarkStart w:id="26" w:name="_Toc35393623"/>
      <w:bookmarkStart w:id="27" w:name="_Toc28359004"/>
      <w:r>
        <w:rPr>
          <w:rFonts w:hint="eastAsia" w:ascii="宋体" w:hAnsi="宋体" w:cs="宋体"/>
          <w:color w:val="auto"/>
          <w:szCs w:val="21"/>
        </w:rPr>
        <w:t>1.满足《中华人民共和国政府采购法》第二十二条规定；</w:t>
      </w:r>
    </w:p>
    <w:p w14:paraId="56F2D3CD">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2.落实政府采购政策需满足的资格要求：非专门面向中小企业采购的项目；</w:t>
      </w:r>
    </w:p>
    <w:p w14:paraId="6100A06D">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3.本项目的特定资格要求：无。</w:t>
      </w:r>
    </w:p>
    <w:bookmarkEnd w:id="22"/>
    <w:bookmarkEnd w:id="23"/>
    <w:p w14:paraId="603DF8FD">
      <w:pPr>
        <w:spacing w:line="500" w:lineRule="exact"/>
        <w:ind w:firstLine="422" w:firstLineChars="200"/>
        <w:rPr>
          <w:rFonts w:hint="eastAsia" w:ascii="宋体" w:hAnsi="宋体" w:cs="宋体"/>
          <w:b/>
          <w:bCs/>
          <w:color w:val="auto"/>
          <w:szCs w:val="21"/>
        </w:rPr>
      </w:pPr>
      <w:r>
        <w:rPr>
          <w:rFonts w:hint="eastAsia" w:ascii="宋体" w:hAnsi="宋体" w:cs="宋体"/>
          <w:b/>
          <w:bCs/>
          <w:color w:val="auto"/>
          <w:szCs w:val="21"/>
        </w:rPr>
        <w:t>三、获取招标文件</w:t>
      </w:r>
      <w:bookmarkEnd w:id="24"/>
      <w:bookmarkEnd w:id="25"/>
      <w:bookmarkEnd w:id="26"/>
      <w:bookmarkEnd w:id="27"/>
    </w:p>
    <w:p w14:paraId="1F6032B8">
      <w:pPr>
        <w:spacing w:line="5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1.时间：</w:t>
      </w:r>
      <w:r>
        <w:rPr>
          <w:rFonts w:hint="eastAsia"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u w:val="single"/>
        </w:rPr>
        <w:t>年</w:t>
      </w:r>
      <w:r>
        <w:rPr>
          <w:rFonts w:hint="eastAsia" w:ascii="宋体" w:hAnsi="宋体" w:cs="宋体"/>
          <w:color w:val="auto"/>
          <w:szCs w:val="21"/>
          <w:u w:val="single"/>
          <w:lang w:val="en-US" w:eastAsia="zh-CN"/>
        </w:rPr>
        <w:t xml:space="preserve">  </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日</w:t>
      </w:r>
      <w:r>
        <w:rPr>
          <w:rFonts w:hint="eastAsia" w:ascii="宋体" w:hAnsi="宋体" w:cs="宋体"/>
          <w:bCs/>
          <w:color w:val="auto"/>
          <w:kern w:val="0"/>
          <w:szCs w:val="21"/>
        </w:rPr>
        <w:t>至</w:t>
      </w:r>
      <w:r>
        <w:rPr>
          <w:rFonts w:hint="eastAsia"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u w:val="single"/>
        </w:rPr>
        <w:t>年</w:t>
      </w:r>
      <w:r>
        <w:rPr>
          <w:rFonts w:hint="eastAsia" w:ascii="宋体" w:hAnsi="宋体" w:cs="宋体"/>
          <w:color w:val="auto"/>
          <w:szCs w:val="21"/>
          <w:u w:val="single"/>
          <w:lang w:val="en-US" w:eastAsia="zh-CN"/>
        </w:rPr>
        <w:t xml:space="preserve">  </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日</w:t>
      </w:r>
      <w:r>
        <w:rPr>
          <w:rFonts w:hint="eastAsia" w:ascii="宋体" w:hAnsi="宋体" w:cs="宋体"/>
          <w:bCs/>
          <w:color w:val="auto"/>
          <w:kern w:val="0"/>
          <w:szCs w:val="21"/>
        </w:rPr>
        <w:t>，每天上午</w:t>
      </w:r>
      <w:r>
        <w:rPr>
          <w:rFonts w:hint="eastAsia" w:ascii="宋体" w:hAnsi="宋体" w:cs="宋体"/>
          <w:bCs/>
          <w:color w:val="auto"/>
          <w:kern w:val="0"/>
          <w:szCs w:val="21"/>
          <w:u w:val="single"/>
        </w:rPr>
        <w:t>0:00至12:00</w:t>
      </w:r>
      <w:r>
        <w:rPr>
          <w:rFonts w:hint="eastAsia" w:ascii="宋体" w:hAnsi="宋体" w:cs="宋体"/>
          <w:bCs/>
          <w:color w:val="auto"/>
          <w:kern w:val="0"/>
          <w:szCs w:val="21"/>
        </w:rPr>
        <w:t>，</w:t>
      </w:r>
      <w:r>
        <w:rPr>
          <w:rFonts w:hint="eastAsia" w:ascii="宋体" w:hAnsi="宋体" w:cs="宋体"/>
          <w:bCs/>
          <w:color w:val="auto"/>
          <w:kern w:val="0"/>
          <w:szCs w:val="21"/>
          <w:u w:val="single"/>
        </w:rPr>
        <w:t>下午12:00至23:59</w:t>
      </w:r>
      <w:r>
        <w:rPr>
          <w:rFonts w:hint="eastAsia" w:ascii="宋体" w:hAnsi="宋体" w:cs="宋体"/>
          <w:bCs/>
          <w:color w:val="auto"/>
          <w:kern w:val="0"/>
          <w:szCs w:val="21"/>
        </w:rPr>
        <w:t>（北京时间</w:t>
      </w:r>
      <w:r>
        <w:rPr>
          <w:rFonts w:hint="eastAsia" w:ascii="宋体" w:hAnsi="宋体" w:cs="宋体"/>
          <w:color w:val="auto"/>
          <w:szCs w:val="21"/>
        </w:rPr>
        <w:t>，法定节假日除外</w:t>
      </w:r>
      <w:r>
        <w:rPr>
          <w:rFonts w:hint="eastAsia" w:ascii="宋体" w:hAnsi="宋体" w:cs="宋体"/>
          <w:bCs/>
          <w:color w:val="auto"/>
          <w:kern w:val="0"/>
          <w:szCs w:val="21"/>
        </w:rPr>
        <w:t>）。</w:t>
      </w:r>
    </w:p>
    <w:p w14:paraId="0F17863C">
      <w:pPr>
        <w:spacing w:line="5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2.地点：广西政府采购云平台（https://www.gcy.zfcg.gxzf.gov.cn</w:t>
      </w:r>
      <w:r>
        <w:rPr>
          <w:rFonts w:hint="eastAsia" w:ascii="宋体" w:hAnsi="宋体" w:cs="宋体"/>
          <w:bCs/>
          <w:color w:val="auto"/>
          <w:kern w:val="0"/>
          <w:szCs w:val="21"/>
          <w:lang w:eastAsia="zh-CN"/>
        </w:rPr>
        <w:t>）</w:t>
      </w:r>
    </w:p>
    <w:p w14:paraId="51A3B40F">
      <w:pPr>
        <w:spacing w:line="5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3.方式：网上下载。本项目不发放纸质文件，投标人可登录广西政府采购云平台（https://www.gcy.zfcg.gxzf.gov.cn</w:t>
      </w:r>
      <w:r>
        <w:rPr>
          <w:rFonts w:hint="eastAsia" w:ascii="宋体" w:hAnsi="宋体" w:cs="宋体"/>
          <w:bCs/>
          <w:color w:val="auto"/>
          <w:kern w:val="0"/>
          <w:szCs w:val="21"/>
          <w:lang w:eastAsia="zh-CN"/>
        </w:rPr>
        <w:t>）</w:t>
      </w:r>
      <w:r>
        <w:rPr>
          <w:rFonts w:hint="eastAsia" w:ascii="宋体" w:hAnsi="宋体" w:cs="宋体"/>
          <w:bCs/>
          <w:color w:val="auto"/>
          <w:kern w:val="0"/>
          <w:szCs w:val="21"/>
        </w:rPr>
        <w:t>在线申请获取</w:t>
      </w:r>
      <w:r>
        <w:rPr>
          <w:rFonts w:hint="eastAsia" w:ascii="宋体" w:hAnsi="宋体" w:cs="宋体"/>
          <w:bCs/>
          <w:color w:val="auto"/>
          <w:kern w:val="0"/>
          <w:szCs w:val="21"/>
          <w:lang w:eastAsia="zh-CN"/>
        </w:rPr>
        <w:t>招标</w:t>
      </w:r>
      <w:r>
        <w:rPr>
          <w:rFonts w:hint="eastAsia" w:ascii="宋体" w:hAnsi="宋体" w:cs="宋体"/>
          <w:bCs/>
          <w:color w:val="auto"/>
          <w:kern w:val="0"/>
          <w:szCs w:val="21"/>
        </w:rPr>
        <w:t>文件（进入“项目采购”应用，在获取</w:t>
      </w:r>
      <w:r>
        <w:rPr>
          <w:rFonts w:hint="eastAsia" w:ascii="宋体" w:hAnsi="宋体" w:cs="宋体"/>
          <w:bCs/>
          <w:color w:val="auto"/>
          <w:kern w:val="0"/>
          <w:szCs w:val="21"/>
          <w:lang w:eastAsia="zh-CN"/>
        </w:rPr>
        <w:t>招标</w:t>
      </w:r>
      <w:r>
        <w:rPr>
          <w:rFonts w:hint="eastAsia" w:ascii="宋体" w:hAnsi="宋体" w:cs="宋体"/>
          <w:bCs/>
          <w:color w:val="auto"/>
          <w:kern w:val="0"/>
          <w:szCs w:val="21"/>
        </w:rPr>
        <w:t>文件菜单中选择项目，申请获取</w:t>
      </w:r>
      <w:r>
        <w:rPr>
          <w:rFonts w:hint="eastAsia" w:ascii="宋体" w:hAnsi="宋体" w:cs="宋体"/>
          <w:bCs/>
          <w:color w:val="auto"/>
          <w:kern w:val="0"/>
          <w:szCs w:val="21"/>
          <w:lang w:eastAsia="zh-CN"/>
        </w:rPr>
        <w:t>招标</w:t>
      </w:r>
      <w:r>
        <w:rPr>
          <w:rFonts w:hint="eastAsia" w:ascii="宋体" w:hAnsi="宋体" w:cs="宋体"/>
          <w:bCs/>
          <w:color w:val="auto"/>
          <w:kern w:val="0"/>
          <w:szCs w:val="21"/>
        </w:rPr>
        <w:t>文件），电子投标文件制作需要基于广西政府采购云平台获取的招标文件编制。</w:t>
      </w:r>
    </w:p>
    <w:p w14:paraId="4D231162">
      <w:pPr>
        <w:spacing w:line="500" w:lineRule="exact"/>
        <w:ind w:firstLine="420" w:firstLineChars="200"/>
        <w:rPr>
          <w:rFonts w:hint="eastAsia" w:ascii="宋体" w:hAnsi="宋体" w:cs="宋体"/>
          <w:color w:val="auto"/>
          <w:szCs w:val="21"/>
        </w:rPr>
      </w:pPr>
      <w:r>
        <w:rPr>
          <w:rFonts w:hint="eastAsia" w:ascii="宋体" w:hAnsi="宋体" w:cs="宋体"/>
          <w:bCs/>
          <w:color w:val="auto"/>
          <w:kern w:val="0"/>
          <w:szCs w:val="21"/>
        </w:rPr>
        <w:t>4.售价：</w:t>
      </w:r>
      <w:r>
        <w:rPr>
          <w:rFonts w:hint="eastAsia" w:ascii="宋体" w:hAnsi="宋体" w:cs="宋体"/>
          <w:color w:val="auto"/>
          <w:szCs w:val="21"/>
        </w:rPr>
        <w:t>0元</w:t>
      </w:r>
    </w:p>
    <w:p w14:paraId="74773980">
      <w:pPr>
        <w:spacing w:line="500" w:lineRule="exact"/>
        <w:ind w:firstLine="422" w:firstLineChars="200"/>
        <w:rPr>
          <w:rFonts w:hint="eastAsia" w:ascii="宋体" w:hAnsi="宋体" w:cs="宋体"/>
          <w:b/>
          <w:bCs/>
          <w:color w:val="auto"/>
          <w:szCs w:val="21"/>
        </w:rPr>
      </w:pPr>
      <w:bookmarkStart w:id="28" w:name="_Toc28359082"/>
      <w:bookmarkStart w:id="29" w:name="_Toc28359005"/>
      <w:bookmarkStart w:id="30" w:name="_Toc35393793"/>
      <w:bookmarkStart w:id="31" w:name="_Toc35393624"/>
      <w:r>
        <w:rPr>
          <w:rFonts w:hint="eastAsia" w:ascii="宋体" w:hAnsi="宋体" w:cs="宋体"/>
          <w:b/>
          <w:bCs/>
          <w:color w:val="auto"/>
          <w:szCs w:val="21"/>
        </w:rPr>
        <w:t>四、提交投标文件</w:t>
      </w:r>
      <w:bookmarkEnd w:id="28"/>
      <w:bookmarkEnd w:id="29"/>
      <w:r>
        <w:rPr>
          <w:rFonts w:hint="eastAsia" w:ascii="宋体" w:hAnsi="宋体" w:cs="宋体"/>
          <w:b/>
          <w:bCs/>
          <w:color w:val="auto"/>
          <w:szCs w:val="21"/>
        </w:rPr>
        <w:t>截止时间、开标时间和地点</w:t>
      </w:r>
      <w:bookmarkEnd w:id="30"/>
      <w:bookmarkEnd w:id="31"/>
    </w:p>
    <w:p w14:paraId="619A38B5">
      <w:pPr>
        <w:spacing w:line="500" w:lineRule="exact"/>
        <w:ind w:firstLine="420" w:firstLineChars="200"/>
        <w:rPr>
          <w:rFonts w:hint="eastAsia" w:ascii="宋体" w:hAnsi="宋体" w:cs="宋体"/>
          <w:color w:val="auto"/>
          <w:szCs w:val="21"/>
        </w:rPr>
      </w:pPr>
      <w:bookmarkStart w:id="32" w:name="_Toc35393794"/>
      <w:bookmarkStart w:id="33" w:name="_Toc35393625"/>
      <w:bookmarkStart w:id="34" w:name="_Toc28359007"/>
      <w:bookmarkStart w:id="35" w:name="_Toc28359084"/>
      <w:r>
        <w:rPr>
          <w:rFonts w:hint="eastAsia" w:ascii="宋体" w:hAnsi="宋体" w:cs="宋体"/>
          <w:color w:val="auto"/>
          <w:szCs w:val="21"/>
        </w:rPr>
        <w:t>1.提交投标文件截止时间：202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 xml:space="preserve">  </w:t>
      </w:r>
      <w:r>
        <w:rPr>
          <w:rFonts w:hint="eastAsia" w:ascii="宋体" w:hAnsi="宋体" w:cs="宋体"/>
          <w:color w:val="auto"/>
          <w:szCs w:val="21"/>
        </w:rPr>
        <w:t>月</w:t>
      </w:r>
      <w:r>
        <w:rPr>
          <w:rFonts w:hint="eastAsia" w:ascii="宋体" w:hAnsi="宋体" w:cs="宋体"/>
          <w:color w:val="auto"/>
          <w:szCs w:val="21"/>
          <w:lang w:val="en-US" w:eastAsia="zh-CN"/>
        </w:rPr>
        <w:t xml:space="preserve">  </w:t>
      </w:r>
      <w:r>
        <w:rPr>
          <w:rFonts w:hint="eastAsia" w:ascii="宋体" w:hAnsi="宋体" w:cs="宋体"/>
          <w:color w:val="auto"/>
          <w:szCs w:val="21"/>
        </w:rPr>
        <w:t>日9时30分（北京时间）</w:t>
      </w:r>
    </w:p>
    <w:p w14:paraId="1568F6A0">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2.投标地点：广西政府采购云平台（https://www.gcy.zfcg.gxzf.gov.cn</w:t>
      </w:r>
      <w:r>
        <w:rPr>
          <w:rFonts w:hint="eastAsia" w:ascii="宋体" w:hAnsi="宋体" w:cs="宋体"/>
          <w:color w:val="auto"/>
          <w:szCs w:val="21"/>
          <w:lang w:eastAsia="zh-CN"/>
        </w:rPr>
        <w:t>）</w:t>
      </w:r>
      <w:r>
        <w:rPr>
          <w:rFonts w:hint="eastAsia" w:ascii="宋体" w:hAnsi="宋体" w:cs="宋体"/>
          <w:color w:val="auto"/>
          <w:szCs w:val="21"/>
        </w:rPr>
        <w:t>。</w:t>
      </w:r>
    </w:p>
    <w:p w14:paraId="4F32A6BC">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3.开标时间：202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 xml:space="preserve">  </w:t>
      </w:r>
      <w:r>
        <w:rPr>
          <w:rFonts w:hint="eastAsia" w:ascii="宋体" w:hAnsi="宋体" w:cs="宋体"/>
          <w:color w:val="auto"/>
          <w:szCs w:val="21"/>
        </w:rPr>
        <w:t>月</w:t>
      </w:r>
      <w:r>
        <w:rPr>
          <w:rFonts w:hint="eastAsia" w:ascii="宋体" w:hAnsi="宋体" w:cs="宋体"/>
          <w:color w:val="auto"/>
          <w:szCs w:val="21"/>
          <w:lang w:val="en-US" w:eastAsia="zh-CN"/>
        </w:rPr>
        <w:t xml:space="preserve">  </w:t>
      </w:r>
      <w:r>
        <w:rPr>
          <w:rFonts w:hint="eastAsia" w:ascii="宋体" w:hAnsi="宋体" w:cs="宋体"/>
          <w:color w:val="auto"/>
          <w:szCs w:val="21"/>
        </w:rPr>
        <w:t>日9时30分（北京时间）</w:t>
      </w:r>
    </w:p>
    <w:p w14:paraId="64A68BFE">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4.开标地点：本项目将在“广西政府采购云平台”电子开标大厅解密、开标。</w:t>
      </w:r>
    </w:p>
    <w:p w14:paraId="4F3CB961">
      <w:pPr>
        <w:spacing w:line="500" w:lineRule="exact"/>
        <w:ind w:firstLine="422" w:firstLineChars="200"/>
        <w:rPr>
          <w:rFonts w:hint="eastAsia" w:ascii="宋体" w:hAnsi="宋体" w:cs="宋体"/>
          <w:b/>
          <w:bCs/>
          <w:color w:val="auto"/>
          <w:szCs w:val="21"/>
        </w:rPr>
      </w:pPr>
      <w:r>
        <w:rPr>
          <w:rFonts w:hint="eastAsia" w:ascii="宋体" w:hAnsi="宋体" w:cs="宋体"/>
          <w:b/>
          <w:bCs/>
          <w:color w:val="auto"/>
          <w:szCs w:val="21"/>
        </w:rPr>
        <w:t>五、公告期限</w:t>
      </w:r>
      <w:bookmarkEnd w:id="32"/>
      <w:bookmarkEnd w:id="33"/>
      <w:bookmarkEnd w:id="34"/>
      <w:bookmarkEnd w:id="35"/>
    </w:p>
    <w:p w14:paraId="13042359">
      <w:pPr>
        <w:spacing w:line="5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6DEE4940">
      <w:pPr>
        <w:spacing w:line="500" w:lineRule="exact"/>
        <w:ind w:firstLine="422" w:firstLineChars="200"/>
        <w:rPr>
          <w:rFonts w:hint="eastAsia" w:ascii="宋体" w:hAnsi="宋体" w:cs="宋体"/>
          <w:b/>
          <w:bCs/>
          <w:color w:val="auto"/>
          <w:szCs w:val="21"/>
        </w:rPr>
      </w:pPr>
      <w:bookmarkStart w:id="36" w:name="_Toc35393795"/>
      <w:bookmarkStart w:id="37" w:name="_Toc35393626"/>
      <w:r>
        <w:rPr>
          <w:rFonts w:hint="eastAsia" w:ascii="宋体" w:hAnsi="宋体" w:cs="宋体"/>
          <w:b/>
          <w:bCs/>
          <w:color w:val="auto"/>
          <w:szCs w:val="21"/>
        </w:rPr>
        <w:t>六、其他补充事宜</w:t>
      </w:r>
      <w:bookmarkEnd w:id="36"/>
      <w:bookmarkEnd w:id="37"/>
    </w:p>
    <w:p w14:paraId="0B187C56">
      <w:pPr>
        <w:keepNext w:val="0"/>
        <w:keepLines w:val="0"/>
        <w:pageBreakBefore w:val="0"/>
        <w:kinsoku/>
        <w:wordWrap/>
        <w:overflowPunct/>
        <w:topLinePunct w:val="0"/>
        <w:bidi w:val="0"/>
        <w:spacing w:line="480" w:lineRule="exact"/>
        <w:ind w:left="0" w:leftChars="0" w:firstLine="420" w:firstLineChars="200"/>
        <w:textAlignment w:val="auto"/>
        <w:rPr>
          <w:rFonts w:hint="default" w:ascii="宋体" w:hAnsi="宋体" w:eastAsia="宋体" w:cs="宋体"/>
          <w:color w:val="auto"/>
          <w:sz w:val="21"/>
          <w:szCs w:val="21"/>
          <w:highlight w:val="none"/>
          <w:lang w:val="en-US" w:eastAsia="zh-CN"/>
        </w:rPr>
      </w:pPr>
      <w:bookmarkStart w:id="38" w:name="_Hlk37429585"/>
      <w:bookmarkStart w:id="39" w:name="_Hlk37429595"/>
      <w:bookmarkStart w:id="40" w:name="_Toc28359008"/>
      <w:bookmarkStart w:id="41" w:name="_Toc35393796"/>
      <w:bookmarkStart w:id="42" w:name="_Toc35393627"/>
      <w:bookmarkStart w:id="43" w:name="_Toc28359085"/>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投标保证金（人民币）</w:t>
      </w:r>
      <w:r>
        <w:rPr>
          <w:rFonts w:hint="eastAsia" w:ascii="宋体" w:hAnsi="宋体" w:cs="宋体"/>
          <w:color w:val="auto"/>
          <w:kern w:val="0"/>
          <w:sz w:val="21"/>
          <w:szCs w:val="21"/>
          <w:highlight w:val="none"/>
          <w:lang w:val="en-US" w:eastAsia="zh-CN"/>
        </w:rPr>
        <w:t>5000</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lang w:val="en-US" w:eastAsia="zh-CN"/>
        </w:rPr>
        <w:t>元</w:t>
      </w:r>
    </w:p>
    <w:p w14:paraId="58D0366D">
      <w:pPr>
        <w:keepNext w:val="0"/>
        <w:keepLines w:val="0"/>
        <w:pageBreakBefore w:val="0"/>
        <w:kinsoku/>
        <w:wordWrap/>
        <w:overflowPunct/>
        <w:topLinePunct w:val="0"/>
        <w:bidi w:val="0"/>
        <w:spacing w:line="48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的缴纳方式：以银行转账、支票、汇票、本票或者金融机构、担保机构出具的保函等非现金形式提交。采用银行转账方式的，在投标截止时间前交至蒙山县公共资源交易中心指定账户并且到账。缴纳投标保证金指定账户的信息：</w:t>
      </w:r>
    </w:p>
    <w:p w14:paraId="7F2714AC">
      <w:pPr>
        <w:keepNext w:val="0"/>
        <w:keepLines w:val="0"/>
        <w:pageBreakBefore w:val="0"/>
        <w:kinsoku/>
        <w:wordWrap/>
        <w:overflowPunct/>
        <w:topLinePunct w:val="0"/>
        <w:bidi w:val="0"/>
        <w:spacing w:line="48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开户名称：蒙山县公共资源交易中心</w:t>
      </w:r>
    </w:p>
    <w:p w14:paraId="0C1421B0">
      <w:pPr>
        <w:keepNext w:val="0"/>
        <w:keepLines w:val="0"/>
        <w:pageBreakBefore w:val="0"/>
        <w:kinsoku/>
        <w:wordWrap/>
        <w:overflowPunct/>
        <w:topLinePunct w:val="0"/>
        <w:bidi w:val="0"/>
        <w:spacing w:line="48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开户银行：广西蒙山农村商业银行股份有限公司营业部</w:t>
      </w:r>
    </w:p>
    <w:p w14:paraId="07205F1D">
      <w:pPr>
        <w:keepNext w:val="0"/>
        <w:keepLines w:val="0"/>
        <w:pageBreakBefore w:val="0"/>
        <w:kinsoku/>
        <w:wordWrap/>
        <w:overflowPunct/>
        <w:topLinePunct w:val="0"/>
        <w:bidi w:val="0"/>
        <w:spacing w:line="48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银行账号：423612010130955986</w:t>
      </w:r>
    </w:p>
    <w:p w14:paraId="0DE175CB">
      <w:pPr>
        <w:keepNext w:val="0"/>
        <w:keepLines w:val="0"/>
        <w:pageBreakBefore w:val="0"/>
        <w:kinsoku/>
        <w:wordWrap/>
        <w:overflowPunct/>
        <w:topLinePunct w:val="0"/>
        <w:bidi w:val="0"/>
        <w:spacing w:line="48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采用支票、汇票、本票或者保函等方式的，在投标截止时间前，投标人必须递交单独密封的支票、汇票、本票或者保函等原件给蒙山县公共资源交易中心。</w:t>
      </w:r>
      <w:r>
        <w:rPr>
          <w:rFonts w:hint="eastAsia" w:ascii="宋体" w:hAnsi="宋体" w:eastAsia="宋体" w:cs="宋体"/>
          <w:b/>
          <w:bCs/>
          <w:color w:val="auto"/>
          <w:kern w:val="0"/>
          <w:sz w:val="21"/>
          <w:szCs w:val="21"/>
          <w:highlight w:val="none"/>
        </w:rPr>
        <w:t>否则视为无效投标保证金</w:t>
      </w:r>
      <w:r>
        <w:rPr>
          <w:rFonts w:hint="eastAsia" w:ascii="宋体" w:hAnsi="宋体" w:eastAsia="宋体" w:cs="宋体"/>
          <w:color w:val="auto"/>
          <w:kern w:val="0"/>
          <w:sz w:val="21"/>
          <w:szCs w:val="21"/>
          <w:highlight w:val="none"/>
        </w:rPr>
        <w:t>。</w:t>
      </w:r>
    </w:p>
    <w:p w14:paraId="06DF1DEC">
      <w:pPr>
        <w:spacing w:line="500" w:lineRule="exact"/>
        <w:ind w:firstLine="420" w:firstLineChars="200"/>
        <w:rPr>
          <w:rFonts w:hint="eastAsia"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D1B301">
      <w:pPr>
        <w:spacing w:line="5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根据财政部《关于在政府采购活动中查询及使用信用记录有关问题的通知》（财库〔2016〕125号）的规定，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ACCF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00" w:lineRule="exact"/>
        <w:ind w:left="0" w:right="0" w:firstLine="420" w:firstLineChars="200"/>
        <w:jc w:val="left"/>
        <w:rPr>
          <w:rFonts w:hint="eastAsia" w:ascii="宋体" w:hAnsi="宋体" w:eastAsia="宋体" w:cs="宋体"/>
          <w:color w:val="auto"/>
          <w:kern w:val="0"/>
          <w:szCs w:val="21"/>
        </w:rPr>
      </w:pPr>
      <w:r>
        <w:rPr>
          <w:rFonts w:hint="eastAsia" w:ascii="宋体" w:hAnsi="宋体" w:cs="宋体"/>
          <w:color w:val="auto"/>
          <w:kern w:val="0"/>
          <w:szCs w:val="21"/>
        </w:rPr>
        <w:t>4.网上查询地址：</w:t>
      </w:r>
      <w:bookmarkEnd w:id="38"/>
      <w:r>
        <w:rPr>
          <w:rFonts w:hint="eastAsia" w:ascii="宋体" w:hAnsi="宋体" w:cs="宋体"/>
          <w:color w:val="auto"/>
          <w:szCs w:val="21"/>
          <w:highlight w:val="none"/>
        </w:rPr>
        <w:t>中国政府采购网（http://www.ccgp.gov.cn）、广西壮族自治区政府采购网（http://zfcg.gxzf.gov.cn）、全国公共资源交易平台（广西▪蒙山）</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http://ggzy.jgswj.gxzf.gov.cn/msxggzy/</w:t>
      </w:r>
      <w:r>
        <w:rPr>
          <w:rFonts w:hint="eastAsia" w:ascii="宋体" w:hAnsi="宋体" w:cs="宋体"/>
          <w:color w:val="auto"/>
          <w:szCs w:val="21"/>
          <w:highlight w:val="none"/>
          <w:lang w:eastAsia="zh-CN"/>
        </w:rPr>
        <w:t>）</w:t>
      </w:r>
      <w:r>
        <w:rPr>
          <w:rFonts w:hint="eastAsia" w:ascii="宋体" w:hAnsi="宋体" w:eastAsia="宋体" w:cs="宋体"/>
          <w:color w:val="auto"/>
          <w:kern w:val="0"/>
          <w:szCs w:val="21"/>
          <w:lang w:val="en-US" w:eastAsia="zh-CN"/>
        </w:rPr>
        <w:t>。</w:t>
      </w:r>
    </w:p>
    <w:bookmarkEnd w:id="39"/>
    <w:p w14:paraId="5964474A">
      <w:pPr>
        <w:spacing w:line="500" w:lineRule="exact"/>
        <w:ind w:firstLine="424" w:firstLineChars="202"/>
        <w:rPr>
          <w:rFonts w:hint="eastAsia" w:ascii="宋体" w:hAnsi="宋体" w:cs="宋体"/>
          <w:color w:val="auto"/>
          <w:kern w:val="0"/>
          <w:szCs w:val="21"/>
        </w:rPr>
      </w:pPr>
      <w:bookmarkStart w:id="44" w:name="_Hlk37429674"/>
      <w:r>
        <w:rPr>
          <w:rFonts w:hint="eastAsia" w:ascii="宋体" w:hAnsi="宋体" w:cs="宋体"/>
          <w:color w:val="auto"/>
          <w:kern w:val="0"/>
          <w:szCs w:val="21"/>
        </w:rPr>
        <w:t>5.本项目需要</w:t>
      </w:r>
      <w:r>
        <w:rPr>
          <w:rFonts w:hint="eastAsia" w:ascii="宋体" w:hAnsi="宋体" w:cs="宋体"/>
          <w:color w:val="auto"/>
          <w:szCs w:val="21"/>
        </w:rPr>
        <w:t>落实的政府采</w:t>
      </w:r>
      <w:r>
        <w:rPr>
          <w:rFonts w:hint="eastAsia" w:ascii="宋体" w:hAnsi="宋体" w:cs="宋体"/>
          <w:color w:val="auto"/>
          <w:kern w:val="0"/>
          <w:szCs w:val="21"/>
        </w:rPr>
        <w:t>购政策</w:t>
      </w:r>
    </w:p>
    <w:bookmarkEnd w:id="44"/>
    <w:p w14:paraId="2E8916FE">
      <w:pPr>
        <w:widowControl/>
        <w:spacing w:line="50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547107FE">
      <w:pPr>
        <w:widowControl/>
        <w:spacing w:line="50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14:paraId="0A18C148">
      <w:pPr>
        <w:widowControl/>
        <w:spacing w:line="50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（3）政府采购促进残疾人就业政策。</w:t>
      </w:r>
    </w:p>
    <w:p w14:paraId="4DA982C0">
      <w:pPr>
        <w:widowControl/>
        <w:spacing w:line="50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（4）政府采购支持监狱企业发展。</w:t>
      </w:r>
    </w:p>
    <w:p w14:paraId="52B41CA3">
      <w:pPr>
        <w:widowControl/>
        <w:spacing w:line="500" w:lineRule="exact"/>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（5）扶持不发达地区和少数民族地区政策。</w:t>
      </w:r>
    </w:p>
    <w:p w14:paraId="14F80EC9">
      <w:pPr>
        <w:widowControl/>
        <w:spacing w:line="500" w:lineRule="exact"/>
        <w:ind w:firstLine="420" w:firstLineChars="200"/>
        <w:jc w:val="left"/>
        <w:rPr>
          <w:rFonts w:hint="eastAsia" w:ascii="宋体" w:hAnsi="宋体" w:cs="宋体"/>
          <w:color w:val="auto"/>
          <w:szCs w:val="21"/>
        </w:rPr>
      </w:pPr>
      <w:r>
        <w:rPr>
          <w:rFonts w:hint="eastAsia" w:ascii="宋体" w:hAnsi="宋体" w:cs="宋体"/>
          <w:color w:val="auto"/>
          <w:kern w:val="0"/>
          <w:szCs w:val="21"/>
        </w:rPr>
        <w:t>6.投标人</w:t>
      </w:r>
      <w:r>
        <w:rPr>
          <w:rFonts w:hint="eastAsia" w:ascii="宋体" w:hAnsi="宋体" w:cs="宋体"/>
          <w:color w:val="auto"/>
          <w:szCs w:val="21"/>
        </w:rPr>
        <w:t>投标注意事项</w:t>
      </w:r>
    </w:p>
    <w:p w14:paraId="3E81115A">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（1）本项目为全流程电子化采购项目，通过广西政府采购云平台（https://www.gcy.zfcg.gxzf.gov.cn</w:t>
      </w:r>
      <w:r>
        <w:rPr>
          <w:rFonts w:hint="eastAsia" w:ascii="宋体" w:hAnsi="宋体" w:cs="宋体"/>
          <w:color w:val="auto"/>
          <w:szCs w:val="21"/>
          <w:lang w:eastAsia="zh-CN"/>
        </w:rPr>
        <w:t>）</w:t>
      </w:r>
      <w:r>
        <w:rPr>
          <w:rFonts w:hint="eastAsia" w:ascii="宋体" w:hAnsi="宋体" w:cs="宋体"/>
          <w:color w:val="auto"/>
          <w:szCs w:val="21"/>
        </w:rPr>
        <w:t>实行在线电子投标，投标人应先安装“</w:t>
      </w:r>
      <w:r>
        <w:rPr>
          <w:rFonts w:hint="eastAsia" w:ascii="宋体" w:hAnsi="宋体" w:cs="宋体"/>
          <w:color w:val="auto"/>
          <w:kern w:val="0"/>
          <w:szCs w:val="21"/>
        </w:rPr>
        <w:t>广西政府采购云</w:t>
      </w:r>
      <w:r>
        <w:rPr>
          <w:rFonts w:hint="eastAsia" w:ascii="宋体" w:hAnsi="宋体" w:cs="宋体"/>
          <w:color w:val="auto"/>
          <w:szCs w:val="21"/>
        </w:rPr>
        <w:t>电子投标客户端”（请自行前往广西政府采购云平台进行下载），并按照本项目招标文件和</w:t>
      </w:r>
      <w:r>
        <w:rPr>
          <w:rFonts w:hint="eastAsia" w:ascii="宋体" w:hAnsi="宋体" w:cs="宋体"/>
          <w:color w:val="auto"/>
          <w:kern w:val="0"/>
          <w:szCs w:val="21"/>
        </w:rPr>
        <w:t>广西政府采购云平台</w:t>
      </w:r>
      <w:r>
        <w:rPr>
          <w:rFonts w:hint="eastAsia" w:ascii="宋体" w:hAnsi="宋体" w:cs="宋体"/>
          <w:color w:val="auto"/>
          <w:szCs w:val="21"/>
        </w:rPr>
        <w:t>的要求编制、加密后在投标截止时间前通过网络上传至</w:t>
      </w:r>
      <w:r>
        <w:rPr>
          <w:rFonts w:hint="eastAsia" w:ascii="宋体" w:hAnsi="宋体" w:cs="宋体"/>
          <w:color w:val="auto"/>
          <w:kern w:val="0"/>
          <w:szCs w:val="21"/>
        </w:rPr>
        <w:t>广西政府采购云平台</w:t>
      </w:r>
      <w:r>
        <w:rPr>
          <w:rFonts w:hint="eastAsia" w:ascii="宋体" w:hAnsi="宋体" w:cs="宋体"/>
          <w:color w:val="auto"/>
          <w:szCs w:val="21"/>
        </w:rPr>
        <w:t>（加密的电子投标文件是指后缀名为“jmbs”的文件），</w:t>
      </w:r>
      <w:r>
        <w:rPr>
          <w:rFonts w:hint="eastAsia" w:ascii="宋体" w:hAnsi="宋体" w:cs="宋体"/>
          <w:b/>
          <w:color w:val="auto"/>
          <w:szCs w:val="21"/>
        </w:rPr>
        <w:t>投标人在</w:t>
      </w:r>
      <w:r>
        <w:rPr>
          <w:rFonts w:hint="eastAsia" w:ascii="宋体" w:hAnsi="宋体" w:cs="宋体"/>
          <w:color w:val="auto"/>
          <w:kern w:val="0"/>
          <w:szCs w:val="21"/>
        </w:rPr>
        <w:t>广西政府采购云平台</w:t>
      </w:r>
      <w:r>
        <w:rPr>
          <w:rFonts w:hint="eastAsia" w:ascii="宋体" w:hAnsi="宋体" w:cs="宋体"/>
          <w:b/>
          <w:color w:val="auto"/>
          <w:szCs w:val="21"/>
        </w:rPr>
        <w:t>提交电子投标文件时，请填写参加远程开标活</w:t>
      </w:r>
      <w:r>
        <w:rPr>
          <w:rFonts w:hint="eastAsia" w:ascii="宋体" w:hAnsi="宋体" w:cs="宋体"/>
          <w:b/>
          <w:color w:val="auto"/>
          <w:szCs w:val="21"/>
          <w:lang w:eastAsia="zh-CN"/>
        </w:rPr>
        <w:t>动的</w:t>
      </w:r>
      <w:r>
        <w:rPr>
          <w:rFonts w:hint="eastAsia" w:ascii="宋体" w:hAnsi="宋体" w:cs="宋体"/>
          <w:b/>
          <w:color w:val="auto"/>
          <w:szCs w:val="21"/>
        </w:rPr>
        <w:t>经办人联系方式。</w:t>
      </w:r>
      <w:r>
        <w:rPr>
          <w:rFonts w:hint="eastAsia" w:ascii="宋体" w:hAnsi="宋体" w:cs="宋体"/>
          <w:color w:val="auto"/>
          <w:szCs w:val="21"/>
        </w:rPr>
        <w:t>投标人登录</w:t>
      </w:r>
      <w:r>
        <w:rPr>
          <w:rFonts w:hint="eastAsia" w:ascii="宋体" w:hAnsi="宋体" w:cs="宋体"/>
          <w:color w:val="auto"/>
          <w:kern w:val="0"/>
          <w:szCs w:val="21"/>
        </w:rPr>
        <w:t>广西政府采购云平台</w:t>
      </w:r>
      <w:r>
        <w:rPr>
          <w:rFonts w:hint="eastAsia" w:ascii="宋体" w:hAnsi="宋体" w:cs="宋体"/>
          <w:color w:val="auto"/>
          <w:szCs w:val="21"/>
        </w:rPr>
        <w:t>，依次进入“服务中心－项目采购－操作流程－电子招投标－政府采购项目电子交易管理操作指南－供应商”查看电子投标具体操作流程。</w:t>
      </w:r>
    </w:p>
    <w:p w14:paraId="21FB50E8">
      <w:pPr>
        <w:widowControl/>
        <w:spacing w:line="500" w:lineRule="exact"/>
        <w:ind w:firstLine="420" w:firstLineChars="200"/>
        <w:jc w:val="left"/>
        <w:rPr>
          <w:rFonts w:hint="eastAsia" w:ascii="宋体" w:hAnsi="宋体" w:cs="宋体"/>
          <w:color w:val="auto"/>
          <w:szCs w:val="21"/>
        </w:rPr>
      </w:pPr>
      <w:r>
        <w:rPr>
          <w:rFonts w:hint="eastAsia" w:ascii="宋体" w:hAnsi="宋体" w:cs="宋体"/>
          <w:color w:val="auto"/>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auto"/>
          <w:kern w:val="0"/>
          <w:szCs w:val="21"/>
        </w:rPr>
        <w:t>广西政府采购云平台，</w:t>
      </w:r>
      <w:r>
        <w:rPr>
          <w:rFonts w:hint="eastAsia" w:ascii="宋体" w:hAnsi="宋体" w:cs="宋体"/>
          <w:color w:val="auto"/>
          <w:szCs w:val="21"/>
        </w:rPr>
        <w:t>依次进入“服务中心－入驻与配置”中查看CA数字证书办理操作流程）。</w:t>
      </w:r>
    </w:p>
    <w:p w14:paraId="3BDD626E">
      <w:pPr>
        <w:snapToGrid w:val="0"/>
        <w:spacing w:line="5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6A3FE460">
      <w:pPr>
        <w:spacing w:line="500" w:lineRule="exact"/>
        <w:ind w:firstLine="424" w:firstLineChars="202"/>
        <w:rPr>
          <w:rFonts w:hint="eastAsia" w:ascii="宋体" w:hAnsi="宋体" w:cs="宋体"/>
          <w:bCs/>
          <w:color w:val="auto"/>
          <w:szCs w:val="21"/>
        </w:rPr>
      </w:pPr>
      <w:r>
        <w:rPr>
          <w:rFonts w:hint="eastAsia" w:ascii="宋体" w:hAnsi="宋体" w:cs="宋体"/>
          <w:color w:val="auto"/>
          <w:szCs w:val="21"/>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kern w:val="0"/>
          <w:szCs w:val="21"/>
        </w:rPr>
        <w:t>广西政府采购云平台</w:t>
      </w:r>
      <w:r>
        <w:rPr>
          <w:rFonts w:hint="eastAsia" w:ascii="宋体" w:hAnsi="宋体" w:cs="宋体"/>
          <w:bCs/>
          <w:color w:val="auto"/>
          <w:szCs w:val="21"/>
        </w:rPr>
        <w:t>将予以拒收。</w:t>
      </w:r>
    </w:p>
    <w:p w14:paraId="3DBC3455">
      <w:pPr>
        <w:widowControl/>
        <w:numPr>
          <w:ilvl w:val="0"/>
          <w:numId w:val="6"/>
        </w:numPr>
        <w:spacing w:line="500" w:lineRule="exact"/>
        <w:ind w:firstLine="420" w:firstLineChars="200"/>
        <w:jc w:val="left"/>
        <w:rPr>
          <w:rFonts w:hint="eastAsia" w:ascii="宋体" w:hAnsi="宋体" w:cs="宋体"/>
          <w:color w:val="auto"/>
          <w:szCs w:val="21"/>
        </w:rPr>
      </w:pPr>
      <w:r>
        <w:rPr>
          <w:rFonts w:hint="eastAsia" w:ascii="宋体" w:hAnsi="宋体" w:cs="宋体"/>
          <w:color w:val="auto"/>
          <w:szCs w:val="21"/>
        </w:rPr>
        <w:t>采购意向公开链接：https://zfcg.gxzf.gov.cn/luban/detail?parentId=66485&amp;articleId=ann_YKGCmT6AJQ11GIHjygeTdtD5ndTMr3NGt5TILBJnhQo=&amp;utm=app-announcement-front.39c2d9bb.0.0.c66bb800742b11f1bb37a93ff8b15b8a</w:t>
      </w:r>
    </w:p>
    <w:p w14:paraId="6B72D541">
      <w:pPr>
        <w:widowControl/>
        <w:numPr>
          <w:ilvl w:val="0"/>
          <w:numId w:val="6"/>
        </w:numPr>
        <w:spacing w:line="500" w:lineRule="exact"/>
        <w:ind w:firstLine="420" w:firstLineChars="200"/>
        <w:jc w:val="left"/>
        <w:rPr>
          <w:rFonts w:hint="eastAsia" w:ascii="宋体" w:hAnsi="宋体" w:cs="宋体"/>
          <w:color w:val="auto"/>
          <w:szCs w:val="21"/>
        </w:rPr>
      </w:pPr>
      <w:r>
        <w:rPr>
          <w:rFonts w:hint="eastAsia" w:ascii="宋体" w:hAnsi="宋体" w:cs="宋体"/>
          <w:color w:val="auto"/>
          <w:szCs w:val="21"/>
        </w:rPr>
        <w:t>本项目采用远程异地评标</w:t>
      </w:r>
      <w:r>
        <w:rPr>
          <w:rFonts w:hint="eastAsia" w:ascii="宋体" w:hAnsi="宋体" w:cs="宋体"/>
          <w:color w:val="auto"/>
          <w:szCs w:val="21"/>
          <w:lang w:eastAsia="zh-CN"/>
        </w:rPr>
        <w:t>。</w:t>
      </w:r>
    </w:p>
    <w:p w14:paraId="2B2325EC">
      <w:pPr>
        <w:spacing w:line="500" w:lineRule="exact"/>
        <w:ind w:firstLine="422" w:firstLineChars="200"/>
        <w:rPr>
          <w:rFonts w:hint="eastAsia" w:ascii="宋体" w:hAnsi="宋体" w:cs="宋体"/>
          <w:b/>
          <w:bCs/>
          <w:color w:val="auto"/>
          <w:szCs w:val="21"/>
        </w:rPr>
      </w:pPr>
      <w:r>
        <w:rPr>
          <w:rFonts w:hint="eastAsia" w:ascii="宋体" w:hAnsi="宋体" w:cs="宋体"/>
          <w:b/>
          <w:bCs/>
          <w:color w:val="auto"/>
          <w:szCs w:val="21"/>
        </w:rPr>
        <w:t>七、对本次招标提出询问，请按以下方式联系。</w:t>
      </w:r>
      <w:bookmarkEnd w:id="40"/>
      <w:bookmarkEnd w:id="41"/>
      <w:bookmarkEnd w:id="42"/>
      <w:bookmarkEnd w:id="43"/>
    </w:p>
    <w:p w14:paraId="59B0B1A8">
      <w:pPr>
        <w:spacing w:line="500" w:lineRule="exact"/>
        <w:ind w:firstLine="424" w:firstLineChars="202"/>
        <w:rPr>
          <w:rFonts w:hint="eastAsia" w:ascii="宋体" w:hAnsi="宋体" w:cs="宋体"/>
          <w:bCs/>
          <w:color w:val="auto"/>
          <w:szCs w:val="21"/>
        </w:rPr>
      </w:pPr>
      <w:bookmarkStart w:id="45" w:name="_Toc28359086"/>
      <w:bookmarkStart w:id="46" w:name="_Toc28359009"/>
      <w:r>
        <w:rPr>
          <w:rFonts w:hint="eastAsia" w:ascii="宋体" w:hAnsi="宋体" w:cs="宋体"/>
          <w:bCs/>
          <w:color w:val="auto"/>
          <w:szCs w:val="21"/>
        </w:rPr>
        <w:t>1.采购人信息</w:t>
      </w:r>
    </w:p>
    <w:p w14:paraId="4F64C1CA">
      <w:pPr>
        <w:spacing w:line="500" w:lineRule="exact"/>
        <w:ind w:firstLine="424" w:firstLineChars="202"/>
        <w:rPr>
          <w:rFonts w:hint="eastAsia" w:ascii="宋体" w:hAnsi="宋体" w:cs="宋体"/>
          <w:bCs/>
          <w:color w:val="auto"/>
          <w:szCs w:val="21"/>
          <w:lang w:eastAsia="zh-CN"/>
        </w:rPr>
      </w:pPr>
      <w:r>
        <w:rPr>
          <w:rFonts w:hint="eastAsia" w:ascii="宋体" w:hAnsi="宋体" w:cs="宋体"/>
          <w:bCs/>
          <w:color w:val="auto"/>
          <w:szCs w:val="21"/>
        </w:rPr>
        <w:t>名</w:t>
      </w:r>
      <w:r>
        <w:rPr>
          <w:rFonts w:hint="eastAsia" w:ascii="宋体" w:hAnsi="宋体" w:cs="宋体"/>
          <w:bCs/>
          <w:color w:val="auto"/>
          <w:szCs w:val="21"/>
          <w:lang w:eastAsia="zh-CN"/>
        </w:rPr>
        <w:t>称： 蒙山县园林绿化管理所</w:t>
      </w:r>
    </w:p>
    <w:p w14:paraId="1448A0A3">
      <w:pPr>
        <w:spacing w:line="500" w:lineRule="exact"/>
        <w:ind w:firstLine="424" w:firstLineChars="202"/>
        <w:rPr>
          <w:rFonts w:hint="eastAsia" w:ascii="宋体" w:hAnsi="宋体" w:cs="宋体"/>
          <w:bCs/>
          <w:color w:val="auto"/>
          <w:szCs w:val="21"/>
          <w:lang w:eastAsia="zh-CN"/>
        </w:rPr>
      </w:pPr>
      <w:r>
        <w:rPr>
          <w:rFonts w:hint="eastAsia" w:ascii="宋体" w:hAnsi="宋体" w:cs="宋体"/>
          <w:bCs/>
          <w:color w:val="auto"/>
          <w:szCs w:val="21"/>
          <w:lang w:eastAsia="zh-CN"/>
        </w:rPr>
        <w:t>地址：蒙山镇永安街旧县巷</w:t>
      </w:r>
    </w:p>
    <w:p w14:paraId="4A6E5D32">
      <w:pPr>
        <w:spacing w:line="500" w:lineRule="exact"/>
        <w:ind w:firstLine="424" w:firstLineChars="202"/>
        <w:rPr>
          <w:rFonts w:hint="eastAsia" w:ascii="宋体" w:hAnsi="宋体" w:cs="宋体"/>
          <w:bCs/>
          <w:color w:val="auto"/>
          <w:szCs w:val="21"/>
          <w:lang w:eastAsia="zh-CN"/>
        </w:rPr>
      </w:pPr>
      <w:r>
        <w:rPr>
          <w:rFonts w:hint="eastAsia" w:ascii="宋体" w:hAnsi="宋体" w:cs="宋体"/>
          <w:bCs/>
          <w:color w:val="auto"/>
          <w:szCs w:val="21"/>
          <w:lang w:eastAsia="zh-CN"/>
        </w:rPr>
        <w:t>项目联系人：</w:t>
      </w:r>
      <w:r>
        <w:rPr>
          <w:rFonts w:hint="default" w:ascii="宋体" w:hAnsi="宋体" w:cs="宋体"/>
          <w:bCs/>
          <w:color w:val="auto"/>
          <w:szCs w:val="21"/>
          <w:lang w:val="en-US" w:eastAsia="zh-CN"/>
        </w:rPr>
        <w:t>吕艳婷</w:t>
      </w:r>
    </w:p>
    <w:p w14:paraId="5BF61A2C">
      <w:pPr>
        <w:spacing w:line="500" w:lineRule="exact"/>
        <w:ind w:firstLine="424" w:firstLineChars="202"/>
        <w:rPr>
          <w:rFonts w:hint="eastAsia" w:ascii="宋体" w:hAnsi="宋体" w:eastAsia="宋体" w:cs="宋体"/>
          <w:bCs/>
          <w:color w:val="auto"/>
          <w:szCs w:val="21"/>
          <w:lang w:eastAsia="zh-CN"/>
        </w:rPr>
      </w:pPr>
      <w:r>
        <w:rPr>
          <w:rFonts w:hint="eastAsia" w:ascii="宋体" w:hAnsi="宋体" w:cs="宋体"/>
          <w:bCs/>
          <w:color w:val="auto"/>
          <w:szCs w:val="21"/>
        </w:rPr>
        <w:t>联系电话：</w:t>
      </w:r>
      <w:bookmarkEnd w:id="45"/>
      <w:bookmarkEnd w:id="46"/>
      <w:r>
        <w:rPr>
          <w:rFonts w:hint="eastAsia" w:ascii="宋体" w:hAnsi="宋体" w:cs="宋体"/>
          <w:bCs/>
          <w:color w:val="auto"/>
          <w:szCs w:val="21"/>
          <w:lang w:val="en-US" w:eastAsia="zh-CN"/>
        </w:rPr>
        <w:t xml:space="preserve"> </w:t>
      </w:r>
      <w:r>
        <w:rPr>
          <w:rFonts w:hint="eastAsia" w:ascii="宋体" w:hAnsi="宋体" w:cs="宋体"/>
          <w:sz w:val="24"/>
          <w:lang w:val="en-US" w:eastAsia="zh-CN"/>
        </w:rPr>
        <w:t>0774-6280252</w:t>
      </w:r>
    </w:p>
    <w:p w14:paraId="2B9AD07C">
      <w:pPr>
        <w:spacing w:line="500" w:lineRule="exact"/>
        <w:ind w:firstLine="424" w:firstLineChars="202"/>
        <w:rPr>
          <w:rFonts w:hint="eastAsia" w:ascii="宋体" w:hAnsi="宋体" w:cs="宋体"/>
          <w:bCs/>
          <w:color w:val="auto"/>
          <w:szCs w:val="21"/>
        </w:rPr>
      </w:pPr>
      <w:r>
        <w:rPr>
          <w:rFonts w:hint="eastAsia" w:ascii="宋体" w:hAnsi="宋体" w:cs="宋体"/>
          <w:bCs/>
          <w:color w:val="auto"/>
          <w:szCs w:val="21"/>
        </w:rPr>
        <w:t>2.采购代理机构信息</w:t>
      </w:r>
    </w:p>
    <w:p w14:paraId="280175B6">
      <w:pPr>
        <w:spacing w:line="500" w:lineRule="exact"/>
        <w:ind w:firstLine="424" w:firstLineChars="202"/>
        <w:rPr>
          <w:rFonts w:hint="eastAsia" w:ascii="宋体" w:hAnsi="宋体" w:cs="宋体"/>
          <w:bCs/>
          <w:color w:val="auto"/>
          <w:szCs w:val="21"/>
        </w:rPr>
      </w:pPr>
      <w:r>
        <w:rPr>
          <w:rFonts w:hint="eastAsia" w:ascii="宋体" w:hAnsi="宋体" w:cs="宋体"/>
          <w:bCs/>
          <w:color w:val="auto"/>
          <w:szCs w:val="21"/>
        </w:rPr>
        <w:t>名 称：广西中信恒泰工程顾问有限公司</w:t>
      </w:r>
    </w:p>
    <w:p w14:paraId="205224A0">
      <w:pPr>
        <w:spacing w:line="500" w:lineRule="exact"/>
        <w:ind w:firstLine="424" w:firstLineChars="202"/>
        <w:rPr>
          <w:rFonts w:hint="eastAsia" w:ascii="宋体" w:hAnsi="宋体" w:cs="宋体"/>
          <w:bCs/>
          <w:color w:val="auto"/>
          <w:szCs w:val="21"/>
        </w:rPr>
      </w:pPr>
      <w:r>
        <w:rPr>
          <w:rFonts w:hint="eastAsia" w:ascii="宋体" w:hAnsi="宋体" w:cs="宋体"/>
          <w:bCs/>
          <w:color w:val="auto"/>
          <w:szCs w:val="21"/>
        </w:rPr>
        <w:t>地址：广西南宁市青秀区云景路69号南宁轨道大厦B</w:t>
      </w:r>
      <w:r>
        <w:rPr>
          <w:rFonts w:hint="eastAsia" w:ascii="宋体" w:hAnsi="宋体" w:cs="宋体"/>
          <w:bCs/>
          <w:color w:val="auto"/>
          <w:szCs w:val="21"/>
          <w:lang w:val="en-US" w:eastAsia="zh-CN"/>
        </w:rPr>
        <w:t>座8</w:t>
      </w:r>
      <w:r>
        <w:rPr>
          <w:rFonts w:hint="eastAsia" w:ascii="宋体" w:hAnsi="宋体" w:cs="宋体"/>
          <w:bCs/>
          <w:color w:val="auto"/>
          <w:szCs w:val="21"/>
        </w:rPr>
        <w:t>层</w:t>
      </w:r>
    </w:p>
    <w:p w14:paraId="3CD03B39">
      <w:pPr>
        <w:spacing w:line="500" w:lineRule="exact"/>
        <w:ind w:firstLine="424" w:firstLineChars="202"/>
        <w:rPr>
          <w:rFonts w:hint="eastAsia" w:ascii="宋体" w:hAnsi="宋体" w:eastAsia="宋体" w:cs="宋体"/>
          <w:bCs/>
          <w:color w:val="auto"/>
          <w:szCs w:val="21"/>
          <w:lang w:eastAsia="zh-CN"/>
        </w:rPr>
      </w:pPr>
      <w:r>
        <w:rPr>
          <w:rFonts w:hint="eastAsia" w:ascii="宋体" w:hAnsi="宋体" w:cs="宋体"/>
          <w:bCs/>
          <w:color w:val="auto"/>
          <w:szCs w:val="21"/>
        </w:rPr>
        <w:t>联系方式：</w:t>
      </w:r>
      <w:r>
        <w:rPr>
          <w:rFonts w:hint="eastAsia" w:ascii="宋体" w:hAnsi="宋体" w:cs="宋体"/>
          <w:bCs/>
          <w:color w:val="auto"/>
          <w:szCs w:val="21"/>
          <w:lang w:eastAsia="zh-CN"/>
        </w:rPr>
        <w:t>0771-5776253</w:t>
      </w:r>
    </w:p>
    <w:p w14:paraId="452E7307">
      <w:pPr>
        <w:spacing w:line="500" w:lineRule="exact"/>
        <w:ind w:firstLine="424" w:firstLineChars="202"/>
        <w:rPr>
          <w:rFonts w:hint="eastAsia" w:ascii="宋体" w:hAnsi="宋体" w:cs="宋体"/>
          <w:bCs/>
          <w:color w:val="auto"/>
          <w:szCs w:val="21"/>
        </w:rPr>
      </w:pPr>
      <w:r>
        <w:rPr>
          <w:rFonts w:hint="eastAsia" w:ascii="宋体" w:hAnsi="宋体" w:cs="宋体"/>
          <w:bCs/>
          <w:color w:val="auto"/>
          <w:szCs w:val="21"/>
        </w:rPr>
        <w:t>3.项目联系方式</w:t>
      </w:r>
    </w:p>
    <w:p w14:paraId="2B8A0A5C">
      <w:pPr>
        <w:spacing w:line="500" w:lineRule="exact"/>
        <w:ind w:firstLine="424" w:firstLineChars="202"/>
        <w:rPr>
          <w:rFonts w:hint="eastAsia" w:ascii="宋体" w:hAnsi="宋体" w:eastAsia="宋体" w:cs="宋体"/>
          <w:bCs/>
          <w:color w:val="auto"/>
          <w:szCs w:val="21"/>
          <w:lang w:eastAsia="zh-CN"/>
        </w:rPr>
      </w:pPr>
      <w:r>
        <w:rPr>
          <w:rFonts w:hint="eastAsia" w:ascii="宋体" w:hAnsi="宋体" w:cs="宋体"/>
          <w:bCs/>
          <w:color w:val="auto"/>
          <w:szCs w:val="21"/>
        </w:rPr>
        <w:t>项目联系人：</w:t>
      </w:r>
      <w:r>
        <w:rPr>
          <w:rFonts w:hint="eastAsia" w:ascii="宋体" w:hAnsi="宋体" w:cs="宋体"/>
          <w:bCs/>
          <w:color w:val="auto"/>
          <w:szCs w:val="21"/>
          <w:lang w:eastAsia="zh-CN"/>
        </w:rPr>
        <w:t>黄红琳</w:t>
      </w:r>
    </w:p>
    <w:p w14:paraId="63B22158">
      <w:pPr>
        <w:spacing w:line="500" w:lineRule="exact"/>
        <w:ind w:firstLine="424" w:firstLineChars="202"/>
        <w:rPr>
          <w:rFonts w:hint="eastAsia" w:ascii="宋体" w:hAnsi="宋体" w:eastAsia="宋体" w:cs="宋体"/>
          <w:color w:val="auto"/>
          <w:szCs w:val="21"/>
          <w:lang w:eastAsia="zh-CN"/>
        </w:rPr>
      </w:pPr>
      <w:r>
        <w:rPr>
          <w:rFonts w:hint="eastAsia" w:ascii="宋体" w:hAnsi="宋体" w:cs="宋体"/>
          <w:bCs/>
          <w:color w:val="auto"/>
          <w:szCs w:val="21"/>
        </w:rPr>
        <w:t>电话：</w:t>
      </w:r>
      <w:r>
        <w:rPr>
          <w:rFonts w:hint="eastAsia" w:ascii="宋体" w:hAnsi="宋体" w:cs="宋体"/>
          <w:bCs/>
          <w:color w:val="auto"/>
          <w:szCs w:val="21"/>
          <w:lang w:eastAsia="zh-CN"/>
        </w:rPr>
        <w:t>0771-5776253</w:t>
      </w:r>
    </w:p>
    <w:p w14:paraId="2E40D6C5">
      <w:pPr>
        <w:spacing w:line="500" w:lineRule="exact"/>
        <w:ind w:firstLine="5460" w:firstLineChars="2600"/>
        <w:jc w:val="righ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采购人：</w:t>
      </w:r>
      <w:r>
        <w:rPr>
          <w:rFonts w:hint="eastAsia" w:ascii="宋体" w:hAnsi="宋体" w:cs="宋体"/>
          <w:bCs/>
          <w:color w:val="auto"/>
          <w:szCs w:val="21"/>
          <w:lang w:eastAsia="zh-CN"/>
        </w:rPr>
        <w:t>蒙山县园林绿化管理所</w:t>
      </w:r>
    </w:p>
    <w:p w14:paraId="56FA42C1">
      <w:pPr>
        <w:spacing w:line="500" w:lineRule="exact"/>
        <w:jc w:val="right"/>
        <w:rPr>
          <w:rFonts w:hint="eastAsia" w:ascii="宋体" w:hAnsi="宋体" w:cs="宋体"/>
          <w:color w:val="auto"/>
          <w:szCs w:val="21"/>
        </w:rPr>
      </w:pPr>
      <w:r>
        <w:rPr>
          <w:rFonts w:hint="eastAsia" w:ascii="宋体" w:hAnsi="宋体" w:cs="宋体"/>
          <w:color w:val="auto"/>
          <w:szCs w:val="21"/>
          <w:lang w:val="en-US" w:eastAsia="zh-CN"/>
        </w:rPr>
        <w:t>采购代理机构：</w:t>
      </w:r>
      <w:r>
        <w:rPr>
          <w:rFonts w:hint="eastAsia" w:ascii="宋体" w:hAnsi="宋体" w:cs="宋体"/>
          <w:color w:val="auto"/>
          <w:szCs w:val="21"/>
        </w:rPr>
        <w:t>广西中信恒泰工程顾问有限公司</w:t>
      </w:r>
    </w:p>
    <w:p w14:paraId="4D2025FC">
      <w:pPr>
        <w:tabs>
          <w:tab w:val="left" w:pos="0"/>
          <w:tab w:val="left" w:pos="3165"/>
          <w:tab w:val="center" w:pos="4153"/>
        </w:tabs>
        <w:wordWrap w:val="0"/>
        <w:autoSpaceDE w:val="0"/>
        <w:autoSpaceDN w:val="0"/>
        <w:adjustRightInd w:val="0"/>
        <w:spacing w:line="500" w:lineRule="exact"/>
        <w:jc w:val="right"/>
        <w:rPr>
          <w:rFonts w:hint="eastAsia" w:ascii="宋体" w:hAnsi="宋体" w:cs="宋体"/>
          <w:b/>
          <w:bCs/>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 xml:space="preserve">  </w:t>
      </w:r>
      <w:r>
        <w:rPr>
          <w:rFonts w:hint="eastAsia" w:ascii="宋体" w:hAnsi="宋体" w:cs="宋体"/>
          <w:color w:val="auto"/>
          <w:szCs w:val="21"/>
        </w:rPr>
        <w:t>月</w:t>
      </w:r>
      <w:r>
        <w:rPr>
          <w:rFonts w:hint="eastAsia" w:ascii="宋体" w:hAnsi="宋体" w:cs="宋体"/>
          <w:color w:val="auto"/>
          <w:szCs w:val="21"/>
          <w:lang w:val="en-US" w:eastAsia="zh-CN"/>
        </w:rPr>
        <w:t xml:space="preserve">  </w:t>
      </w:r>
      <w:r>
        <w:rPr>
          <w:rFonts w:hint="eastAsia" w:ascii="宋体" w:hAnsi="宋体" w:cs="宋体"/>
          <w:color w:val="auto"/>
          <w:szCs w:val="21"/>
        </w:rPr>
        <w:t>日</w:t>
      </w:r>
    </w:p>
    <w:p w14:paraId="004CE247">
      <w:pPr>
        <w:jc w:val="center"/>
        <w:outlineLvl w:val="0"/>
        <w:rPr>
          <w:rFonts w:hint="eastAsia" w:ascii="宋体" w:hAnsi="宋体" w:cs="宋体"/>
          <w:color w:val="auto"/>
        </w:rPr>
      </w:pPr>
      <w:r>
        <w:rPr>
          <w:rFonts w:hint="eastAsia" w:ascii="宋体" w:hAnsi="宋体" w:cs="宋体"/>
          <w:color w:val="auto"/>
        </w:rPr>
        <w:br w:type="page"/>
      </w:r>
      <w:bookmarkStart w:id="47" w:name="_Toc11700"/>
      <w:bookmarkStart w:id="48" w:name="_Toc21521"/>
      <w:bookmarkStart w:id="49" w:name="_Toc9484"/>
      <w:bookmarkStart w:id="50" w:name="_Toc16307"/>
      <w:bookmarkStart w:id="51" w:name="_Toc21094"/>
      <w:bookmarkStart w:id="52" w:name="_Toc18863"/>
      <w:bookmarkStart w:id="53" w:name="_Toc22529"/>
      <w:bookmarkStart w:id="54" w:name="_Toc31818"/>
      <w:r>
        <w:rPr>
          <w:rFonts w:hint="eastAsia" w:ascii="宋体" w:hAnsi="宋体" w:cs="宋体"/>
          <w:b/>
          <w:bCs/>
          <w:color w:val="auto"/>
          <w:sz w:val="44"/>
          <w:szCs w:val="44"/>
        </w:rPr>
        <w:t>第二章  采购需求</w:t>
      </w:r>
      <w:bookmarkEnd w:id="47"/>
      <w:bookmarkEnd w:id="48"/>
      <w:bookmarkEnd w:id="49"/>
      <w:bookmarkEnd w:id="50"/>
      <w:bookmarkEnd w:id="51"/>
      <w:bookmarkEnd w:id="52"/>
      <w:bookmarkEnd w:id="53"/>
      <w:bookmarkEnd w:id="54"/>
    </w:p>
    <w:p w14:paraId="37EF1419">
      <w:pPr>
        <w:spacing w:line="500" w:lineRule="exact"/>
        <w:jc w:val="left"/>
        <w:rPr>
          <w:rFonts w:hint="eastAsia" w:ascii="宋体" w:hAnsi="宋体" w:cs="宋体"/>
          <w:color w:val="auto"/>
          <w:szCs w:val="21"/>
        </w:rPr>
      </w:pPr>
      <w:bookmarkStart w:id="55" w:name="_Toc254970631"/>
      <w:bookmarkStart w:id="56" w:name="_Toc254970490"/>
      <w:r>
        <w:rPr>
          <w:rFonts w:hint="eastAsia" w:ascii="宋体" w:hAnsi="宋体" w:cs="宋体"/>
          <w:color w:val="auto"/>
          <w:szCs w:val="21"/>
        </w:rPr>
        <w:t>说明：</w:t>
      </w:r>
    </w:p>
    <w:p w14:paraId="6B624421">
      <w:pPr>
        <w:spacing w:line="500" w:lineRule="exact"/>
        <w:ind w:firstLine="424" w:firstLineChars="202"/>
        <w:jc w:val="left"/>
        <w:rPr>
          <w:rFonts w:hint="eastAsia" w:ascii="宋体" w:hAnsi="宋体" w:cs="宋体"/>
          <w:color w:val="auto"/>
          <w:szCs w:val="21"/>
        </w:rPr>
      </w:pPr>
      <w:r>
        <w:rPr>
          <w:rFonts w:hint="eastAsia" w:ascii="宋体" w:hAnsi="宋体" w:cs="宋体"/>
          <w:color w:val="auto"/>
        </w:rPr>
        <w:t>1.</w:t>
      </w:r>
      <w:r>
        <w:rPr>
          <w:rFonts w:hint="eastAsia" w:ascii="宋体" w:hAnsi="宋体" w:cs="宋体"/>
          <w:color w:val="auto"/>
          <w:szCs w:val="21"/>
        </w:rPr>
        <w:t>“实质性要求”是指招标文件中已经指明不满足则投标无效的条款，或者不能负偏离的条款，或者采购需求中带“▲”的条款。</w:t>
      </w:r>
    </w:p>
    <w:p w14:paraId="441F81C6">
      <w:pPr>
        <w:spacing w:line="500" w:lineRule="exact"/>
        <w:ind w:firstLine="424" w:firstLineChars="202"/>
        <w:jc w:val="left"/>
        <w:rPr>
          <w:rFonts w:hint="eastAsia" w:ascii="宋体" w:hAnsi="宋体" w:cs="宋体"/>
          <w:color w:val="auto"/>
        </w:rPr>
      </w:pPr>
      <w:r>
        <w:rPr>
          <w:rFonts w:hint="eastAsia" w:ascii="宋体" w:hAnsi="宋体" w:cs="宋体"/>
          <w:color w:val="auto"/>
          <w:szCs w:val="21"/>
        </w:rPr>
        <w:t>3.</w:t>
      </w:r>
      <w:r>
        <w:rPr>
          <w:rFonts w:hint="eastAsia" w:ascii="宋体" w:hAnsi="宋体" w:cs="宋体"/>
          <w:color w:val="auto"/>
        </w:rPr>
        <w:t>投标人必须自行为其投标产品侵犯他人的知识产权或者专利成果的行为承担相应法律责任。</w:t>
      </w:r>
    </w:p>
    <w:p w14:paraId="1EB5E73F">
      <w:pPr>
        <w:spacing w:line="500" w:lineRule="exact"/>
        <w:ind w:firstLine="426" w:firstLineChars="202"/>
        <w:jc w:val="left"/>
        <w:rPr>
          <w:rFonts w:hint="eastAsia" w:ascii="宋体" w:hAnsi="宋体" w:cs="宋体"/>
          <w:color w:val="auto"/>
          <w:szCs w:val="21"/>
        </w:rPr>
      </w:pPr>
      <w:r>
        <w:rPr>
          <w:rFonts w:hint="eastAsia" w:ascii="宋体" w:hAnsi="宋体" w:cs="宋体"/>
          <w:b/>
          <w:color w:val="auto"/>
          <w:szCs w:val="21"/>
        </w:rPr>
        <w:t>4.采购内容的中小企业划分标准所属行业名称：</w:t>
      </w:r>
      <w:r>
        <w:rPr>
          <w:rFonts w:hint="eastAsia" w:ascii="宋体" w:hAnsi="宋体" w:eastAsia="宋体" w:cs="宋体"/>
          <w:color w:val="auto"/>
          <w:szCs w:val="21"/>
          <w:lang w:eastAsia="en-US"/>
        </w:rPr>
        <w:t>其他未列明行业</w:t>
      </w:r>
      <w:r>
        <w:rPr>
          <w:rFonts w:hint="eastAsia" w:ascii="宋体" w:hAnsi="宋体" w:cs="宋体"/>
          <w:b/>
          <w:bCs/>
          <w:color w:val="auto"/>
          <w:kern w:val="0"/>
          <w:szCs w:val="21"/>
          <w:highlight w:val="none"/>
          <w:lang w:bidi="ar"/>
        </w:rPr>
        <w:t>。</w:t>
      </w:r>
    </w:p>
    <w:p w14:paraId="4E0DE74B">
      <w:pPr>
        <w:spacing w:line="500" w:lineRule="exact"/>
        <w:ind w:firstLine="424" w:firstLineChars="202"/>
        <w:jc w:val="left"/>
        <w:rPr>
          <w:rFonts w:hint="eastAsia" w:ascii="宋体" w:hAnsi="宋体" w:cs="宋体"/>
          <w:bCs/>
          <w:color w:val="auto"/>
          <w:szCs w:val="21"/>
        </w:rPr>
      </w:pPr>
      <w:r>
        <w:rPr>
          <w:rFonts w:hint="eastAsia" w:ascii="宋体" w:hAnsi="宋体" w:cs="宋体"/>
          <w:bCs/>
          <w:color w:val="auto"/>
          <w:szCs w:val="21"/>
        </w:rPr>
        <w:t>5.本项目为服务采购，无核心产品。</w:t>
      </w:r>
    </w:p>
    <w:p w14:paraId="73F30921">
      <w:pPr>
        <w:spacing w:line="500" w:lineRule="exact"/>
        <w:ind w:firstLine="426" w:firstLineChars="202"/>
        <w:jc w:val="left"/>
        <w:rPr>
          <w:rFonts w:hint="eastAsia" w:ascii="宋体" w:hAnsi="宋体" w:cs="宋体"/>
          <w:color w:val="auto"/>
          <w:szCs w:val="21"/>
          <w:lang w:eastAsia="zh-CN"/>
        </w:rPr>
      </w:pPr>
      <w:r>
        <w:rPr>
          <w:rFonts w:hint="eastAsia" w:ascii="宋体" w:hAnsi="宋体" w:cs="宋体"/>
          <w:b/>
          <w:color w:val="auto"/>
          <w:szCs w:val="21"/>
        </w:rPr>
        <w:t>6.采购预算</w:t>
      </w:r>
      <w:r>
        <w:rPr>
          <w:rFonts w:hint="eastAsia" w:ascii="宋体" w:hAnsi="宋体" w:cs="宋体"/>
          <w:b/>
          <w:color w:val="auto"/>
          <w:szCs w:val="21"/>
          <w:lang w:eastAsia="zh-CN"/>
        </w:rPr>
        <w:t>及最高限价</w:t>
      </w:r>
      <w:r>
        <w:rPr>
          <w:rFonts w:hint="eastAsia" w:ascii="宋体" w:hAnsi="宋体" w:cs="宋体"/>
          <w:bCs/>
          <w:color w:val="auto"/>
          <w:szCs w:val="21"/>
        </w:rPr>
        <w:t>：</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伍佰零壹万陆仟元整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¥5016000.00</w:t>
      </w:r>
      <w:r>
        <w:rPr>
          <w:rFonts w:hint="eastAsia" w:ascii="宋体" w:hAnsi="宋体" w:eastAsia="宋体" w:cs="宋体"/>
          <w:color w:val="auto"/>
          <w:szCs w:val="21"/>
          <w:highlight w:val="none"/>
          <w:lang w:eastAsia="zh-CN"/>
        </w:rPr>
        <w:t>）</w:t>
      </w:r>
    </w:p>
    <w:p w14:paraId="0C367E1E">
      <w:pPr>
        <w:spacing w:line="360" w:lineRule="auto"/>
        <w:rPr>
          <w:rFonts w:ascii="宋体" w:hAnsi="宋体" w:cs="宋体"/>
          <w:b/>
          <w:color w:val="auto"/>
          <w:kern w:val="0"/>
          <w:szCs w:val="21"/>
        </w:rPr>
        <w:sectPr>
          <w:footerReference r:id="rId8" w:type="first"/>
          <w:footerReference r:id="rId7" w:type="default"/>
          <w:pgSz w:w="11910" w:h="16840"/>
          <w:pgMar w:top="1304" w:right="1247" w:bottom="1304" w:left="1247" w:header="720" w:footer="720" w:gutter="0"/>
          <w:pgNumType w:fmt="decimal" w:start="1"/>
          <w:cols w:space="720" w:num="1"/>
          <w:titlePg/>
          <w:docGrid w:linePitch="286" w:charSpace="0"/>
        </w:sectPr>
      </w:pPr>
    </w:p>
    <w:p w14:paraId="14D025CD">
      <w:pPr>
        <w:numPr>
          <w:ilvl w:val="0"/>
          <w:numId w:val="0"/>
        </w:numPr>
        <w:spacing w:line="480" w:lineRule="exact"/>
        <w:jc w:val="left"/>
        <w:rPr>
          <w:rFonts w:hint="eastAsia" w:ascii="宋体" w:hAnsi="宋体" w:eastAsia="宋体" w:cs="宋体"/>
          <w:b/>
          <w:bCs/>
          <w:sz w:val="24"/>
          <w:szCs w:val="24"/>
        </w:rPr>
      </w:pPr>
      <w:r>
        <w:rPr>
          <w:rFonts w:hint="eastAsia" w:ascii="宋体" w:hAnsi="宋体" w:eastAsia="宋体" w:cs="宋体"/>
          <w:b/>
          <w:bCs/>
          <w:sz w:val="24"/>
          <w:szCs w:val="24"/>
        </w:rPr>
        <w:t>本次采购的内容及要求：</w:t>
      </w:r>
      <w:bookmarkStart w:id="57" w:name="_Hlk100950595"/>
    </w:p>
    <w:bookmarkEnd w:id="57"/>
    <w:p w14:paraId="41420ECE">
      <w:pPr>
        <w:numPr>
          <w:ilvl w:val="0"/>
          <w:numId w:val="0"/>
        </w:numPr>
        <w:spacing w:line="360" w:lineRule="auto"/>
        <w:jc w:val="left"/>
        <w:rPr>
          <w:rFonts w:hint="default" w:ascii="宋体" w:hAnsi="宋体" w:eastAsia="宋体" w:cs="宋体"/>
          <w:b/>
          <w:bCs/>
          <w:color w:val="auto"/>
          <w:sz w:val="24"/>
          <w:szCs w:val="24"/>
          <w:lang w:val="en-US" w:eastAsia="zh-CN"/>
        </w:rPr>
      </w:pPr>
      <w:bookmarkStart w:id="58" w:name="_Toc31610"/>
      <w:bookmarkStart w:id="59" w:name="_Toc32538"/>
      <w:bookmarkStart w:id="60" w:name="_Toc21069"/>
      <w:r>
        <w:rPr>
          <w:rFonts w:hint="eastAsia" w:ascii="宋体" w:hAnsi="宋体" w:cs="宋体"/>
          <w:b/>
          <w:bCs/>
          <w:color w:val="auto"/>
          <w:sz w:val="24"/>
          <w:szCs w:val="24"/>
          <w:lang w:val="en-US" w:eastAsia="zh-CN"/>
        </w:rPr>
        <w:t>1、技术部分</w:t>
      </w:r>
    </w:p>
    <w:p w14:paraId="7B9A354A">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b/>
          <w:color w:val="auto"/>
          <w:kern w:val="2"/>
          <w:sz w:val="24"/>
          <w:szCs w:val="24"/>
          <w:lang w:val="zh-CN" w:eastAsia="zh-CN" w:bidi="ar-SA"/>
        </w:rPr>
        <w:t>（一）</w:t>
      </w:r>
      <w:r>
        <w:rPr>
          <w:rFonts w:hint="eastAsia" w:asciiTheme="minorEastAsia" w:hAnsiTheme="minorEastAsia" w:eastAsiaTheme="minorEastAsia" w:cstheme="minorEastAsia"/>
          <w:color w:val="auto"/>
          <w:sz w:val="24"/>
          <w:szCs w:val="24"/>
          <w:lang w:val="zh-CN"/>
        </w:rPr>
        <w:t>管养范围</w:t>
      </w:r>
    </w:p>
    <w:p w14:paraId="44D83C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蒙山县县城建成区公共绿地的养护管理工作以及时花更换、绿化补植、修剪和改造等绿化景观提升工作。县城建成区公共绿地总面积270707㎡。（详见附件1）</w:t>
      </w:r>
    </w:p>
    <w:p w14:paraId="456E9A9C">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b/>
          <w:color w:val="auto"/>
          <w:kern w:val="2"/>
          <w:sz w:val="24"/>
          <w:szCs w:val="24"/>
          <w:lang w:val="zh-CN" w:eastAsia="zh-CN" w:bidi="ar-SA"/>
        </w:rPr>
        <w:t>（二）</w:t>
      </w:r>
      <w:r>
        <w:rPr>
          <w:rFonts w:hint="eastAsia" w:asciiTheme="minorEastAsia" w:hAnsiTheme="minorEastAsia" w:eastAsiaTheme="minorEastAsia" w:cstheme="minorEastAsia"/>
          <w:color w:val="auto"/>
          <w:sz w:val="24"/>
          <w:szCs w:val="24"/>
          <w:lang w:val="zh-CN" w:eastAsia="zh-CN"/>
        </w:rPr>
        <w:t>管理内容</w:t>
      </w:r>
    </w:p>
    <w:p w14:paraId="5C4BD5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对所承包绿化带、行道树进行养护、管护；对绿化植物进行除草、松土、修剪（含气生根修剪）、病虫害防治、施肥、淋水、防冻、涂白、勾干枯枝、清理枯死树、补植、除杂等。绿化设施的养护和维护管理。对管护范围内绿地、水面等进行清扫、保洁。</w:t>
      </w:r>
    </w:p>
    <w:p w14:paraId="52A811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2.对管护范围内枯死、空缺的绿化绿地进行补植，一年不少于2次。补植规格、数量等由双方现场确认，中标人制定补植方案提交采购人审核后按方案实施。</w:t>
      </w:r>
    </w:p>
    <w:p w14:paraId="31FB84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3.按时完成各项养护工作，全年除草、松土不低于6次，施肥不低于2次，防虫喷药不低于2次，修剪情况，绿化带保持平整，淋水情况，绿化带保持湿润且叶片无积尘。</w:t>
      </w:r>
    </w:p>
    <w:p w14:paraId="5BA51FC4">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按照古树名木养护标准做好管护范围内的古树名木养护工作：保护其生长环境条件，不得在古树周围违建建筑、开挖以及距离树干方圆3米硬化地面；每年生长季节喷施1-2次叶面肥，秋冬季在距离树干5米内开辐射状沟施放复合肥、有机肥；定期对白蚁等虫害进行清理防治；距离树干3-5米内设置栅栏或者种植地被植物，防止行人进入践踏，每年松土2-3次，有条件可换土；修剪复壮，适当修剪干枯枝、病虫枝、下垂枝；对生长延伸较长的树枝必须架设支柱进行支撑保护，防止风折。</w:t>
      </w:r>
    </w:p>
    <w:p w14:paraId="17D391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5.自行妥善解决绿化养护管理产生的垃圾、杂物等废弃物处置工作。（范围内全部绿化垃圾）</w:t>
      </w:r>
    </w:p>
    <w:p w14:paraId="17ED70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应急抢险或突发事件处理、重大活动保障、上级检查等一系列涉及绿化养护管理的工作。（若因重大自然灾害引起绿化苗木损毁而修复或补种的，则由双方另行协商方案及费用，重大自然灾害以具有权威性的文件认定为准）</w:t>
      </w:r>
    </w:p>
    <w:p w14:paraId="1EB3394A">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7.根据工作需要，凡涉及住建部门管辖职责范畴，须无条件接受并完成住建部门指派的各项临时工作任务。</w:t>
      </w:r>
    </w:p>
    <w:p w14:paraId="467DF065">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b/>
          <w:color w:val="auto"/>
          <w:kern w:val="2"/>
          <w:sz w:val="24"/>
          <w:szCs w:val="24"/>
          <w:lang w:val="zh-CN" w:eastAsia="zh-CN" w:bidi="ar-SA"/>
        </w:rPr>
        <w:t>（三）</w:t>
      </w:r>
      <w:r>
        <w:rPr>
          <w:rFonts w:hint="eastAsia" w:asciiTheme="minorEastAsia" w:hAnsiTheme="minorEastAsia" w:eastAsiaTheme="minorEastAsia" w:cstheme="minorEastAsia"/>
          <w:color w:val="auto"/>
          <w:sz w:val="24"/>
          <w:szCs w:val="24"/>
          <w:lang w:val="zh-CN"/>
        </w:rPr>
        <w:t>绿地养护管理</w:t>
      </w:r>
      <w:r>
        <w:rPr>
          <w:rFonts w:hint="eastAsia" w:asciiTheme="minorEastAsia" w:hAnsiTheme="minorEastAsia" w:eastAsiaTheme="minorEastAsia" w:cstheme="minorEastAsia"/>
          <w:color w:val="auto"/>
          <w:sz w:val="24"/>
          <w:szCs w:val="24"/>
          <w:lang w:val="zh-CN" w:eastAsia="zh-CN"/>
        </w:rPr>
        <w:t>标准及</w:t>
      </w:r>
      <w:r>
        <w:rPr>
          <w:rFonts w:hint="eastAsia" w:asciiTheme="minorEastAsia" w:hAnsiTheme="minorEastAsia" w:eastAsiaTheme="minorEastAsia" w:cstheme="minorEastAsia"/>
          <w:color w:val="auto"/>
          <w:sz w:val="24"/>
          <w:szCs w:val="24"/>
          <w:lang w:val="zh-CN"/>
        </w:rPr>
        <w:t>要求</w:t>
      </w:r>
    </w:p>
    <w:p w14:paraId="3512D606">
      <w:pPr>
        <w:widowControl/>
        <w:spacing w:line="360" w:lineRule="auto"/>
        <w:ind w:firstLine="480" w:firstLineChars="200"/>
        <w:jc w:val="left"/>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按照广西城市绿化养护规范及验收要求三级养护标准（详见附件2）、蒙山县县城园林绿化管护权招标承包检查考核实施细则（详见附件4）进行养护管理。</w:t>
      </w:r>
    </w:p>
    <w:p w14:paraId="477718D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rPr>
        <w:t>绿化养护基本要求：</w:t>
      </w:r>
    </w:p>
    <w:p w14:paraId="13FC7F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养护过程中，承包方必须采取周密的安全措施，以避免对人身和财产的损害。承包方全体员工应依法参加社会保险，承包方应购买管辖范围的绿化树木公众责任保险、车辆购置相关保险。在履行公共绿地养护管理购买服务合同期间，造成人身伤害或财产损失、出现安全生产事故等情况，责任全部由承包方自行承担。</w:t>
      </w:r>
    </w:p>
    <w:p w14:paraId="425795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承包方招聘园林工作人员必须符合相关规定，与员工签订劳动合同/劳务协议，并为园林工人购买有关工伤险或雇主责任险等，并按规定缴纳社会保险费用，如果出险，除保险公司应承担的责任外，其他的责任全部由承包方负责；承包方应对园林工人进行职业技能和安全知识培训后方能上岗。</w:t>
      </w:r>
    </w:p>
    <w:p w14:paraId="4BC1F7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3.因不可抗拒因素（如由于台风、暴雨等自然灾害引起树木突然倒塌，碰线、碰屋、非养护原因造成的树枝伤人、伤物），承包方在接到发包方通知后应迅速组织力量，半小时内到达现场并及时处理。</w:t>
      </w:r>
    </w:p>
    <w:p w14:paraId="350008D4">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对于承包方养护期间由于养护工作不能及时完成，且造成较大影响的，发包方有权安排第三方进行养护，所发生的费用从承包方的年度养护费中扣除；县园林绿化管理所有权终止合同，并收取合同中标价5%作为违约金。</w:t>
      </w:r>
    </w:p>
    <w:p w14:paraId="4A954E74">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承包方应按照相关法律法规，自行妥善解决绿化养护管理产生的垃圾、杂物等废弃物处置工作，产生的垃圾、杂物等废弃物应在当日清运，不能在公共绿地内堆放及处理，垃圾、杂物等废弃物的堆放场地由承包方自行解决。不得在建成区的禁止焚烧区域内露天焚烧绿化养护管理产生的垃圾、杂物等废弃物。因绿化养护管理产生的垃圾、杂物等废弃物处置所造成的事故、纠纷，责任由承包方承担。</w:t>
      </w:r>
    </w:p>
    <w:p w14:paraId="26BD1B5C">
      <w:pPr>
        <w:spacing w:line="360" w:lineRule="auto"/>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6.建成区公共绿地进行养护管理过程中产生的用水、用电等费用，由承包方负责。</w:t>
      </w:r>
    </w:p>
    <w:p w14:paraId="416D3A9F">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b/>
          <w:color w:val="auto"/>
          <w:kern w:val="2"/>
          <w:sz w:val="24"/>
          <w:szCs w:val="24"/>
          <w:lang w:val="zh-CN" w:eastAsia="zh-CN" w:bidi="ar-SA"/>
        </w:rPr>
        <w:t>（四）</w:t>
      </w:r>
      <w:r>
        <w:rPr>
          <w:rFonts w:hint="eastAsia" w:asciiTheme="minorEastAsia" w:hAnsiTheme="minorEastAsia" w:eastAsiaTheme="minorEastAsia" w:cstheme="minorEastAsia"/>
          <w:color w:val="auto"/>
          <w:sz w:val="24"/>
          <w:szCs w:val="24"/>
          <w:lang w:val="zh-CN"/>
        </w:rPr>
        <w:t>配置要求</w:t>
      </w:r>
    </w:p>
    <w:p w14:paraId="15CDC4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人员配置：配置绿化养护人员人数不少于32人，平均每月出勤人数不少于750人工，每年出勤人数不少于750*12=9000个人工。项目经理1人，技术负责人1人，安全生产管理人员1人、施工员1人、质量员1人、材料员1人（以上人员不包含在养护人员数量中）。并指定1名管理人员与园林所随时保持联系，接受园林所的检查及指导，及时整理完善相关台账材料，完成现场整改。从业人员须统一着安全服，</w:t>
      </w:r>
      <w:r>
        <w:rPr>
          <w:rFonts w:hint="eastAsia" w:asciiTheme="minorEastAsia" w:hAnsiTheme="minorEastAsia" w:eastAsiaTheme="minorEastAsia" w:cstheme="minorEastAsia"/>
          <w:color w:val="auto"/>
          <w:kern w:val="0"/>
          <w:sz w:val="24"/>
          <w:szCs w:val="24"/>
          <w:lang w:val="en-US" w:eastAsia="zh-CN" w:bidi="ar"/>
        </w:rPr>
        <w:t>工作人员在法定年龄内</w:t>
      </w:r>
      <w:r>
        <w:rPr>
          <w:rFonts w:hint="eastAsia" w:asciiTheme="minorEastAsia" w:hAnsiTheme="minorEastAsia" w:eastAsiaTheme="minorEastAsia" w:cstheme="minorEastAsia"/>
          <w:color w:val="auto"/>
          <w:sz w:val="24"/>
          <w:szCs w:val="24"/>
          <w:lang w:val="en-US" w:eastAsia="zh-CN"/>
        </w:rPr>
        <w:t>。</w:t>
      </w:r>
    </w:p>
    <w:p w14:paraId="7CA2B4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2、园林机械设备配置：日常养护生产所需的园林机械设备最低如下配置，含淋水车1台，喷药车1台，货车1台，管理车1台，油锯3台，打草机2台，割灌机3台，草坪机2台，绿篱机5台，抽水机2台，高枝锯5把，能够满足养护工作需求。重、大型机械和车辆允许以租赁形式达到配置要求，但养护管理工作需要使用重、大型机械和车辆时，必须及时到场。                                                                                                                                                                                                                                                                                                                                                                                                                                                                                                                                                                                                                                                                                                                                                                                     </w:t>
      </w:r>
    </w:p>
    <w:p w14:paraId="180022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生产工具、用具配置：主要指日常养护所需的生产工具、个人劳保用品及安全防护用具，如铲、锄、手锯、冬青剪、喷桶、淋水胶管、手套、口罩、草帽、雨衣、安全服、安全锥、安全警示牌、打草防护网等。其中，安全防护用具不得低于以下标准配备：工作服1套/人、安全防护服1套/人、安全锥1个/人、安全警示牌每5人1个。</w:t>
      </w:r>
    </w:p>
    <w:p w14:paraId="0A0FC5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4、耗材配置：按相关技术要求所需质量、数量的苗木、农药、化肥、植物防寒及台风抢险等所需材料。</w:t>
      </w:r>
    </w:p>
    <w:p w14:paraId="21B530EC">
      <w:pPr>
        <w:keepNext w:val="0"/>
        <w:keepLines w:val="0"/>
        <w:pageBreakBefore w:val="0"/>
        <w:tabs>
          <w:tab w:val="left" w:pos="180"/>
          <w:tab w:val="left" w:pos="162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lang w:val="en-US" w:eastAsia="zh-CN"/>
        </w:rPr>
        <w:sectPr>
          <w:headerReference r:id="rId10" w:type="first"/>
          <w:footerReference r:id="rId12" w:type="first"/>
          <w:headerReference r:id="rId9" w:type="default"/>
          <w:footerReference r:id="rId11" w:type="default"/>
          <w:pgSz w:w="11906" w:h="16838"/>
          <w:pgMar w:top="1440" w:right="1080" w:bottom="1440" w:left="1080" w:header="794" w:footer="510" w:gutter="0"/>
          <w:pgNumType w:fmt="decimal"/>
          <w:cols w:space="720" w:num="1"/>
          <w:docGrid w:type="lines" w:linePitch="312" w:charSpace="0"/>
        </w:sectPr>
      </w:pPr>
    </w:p>
    <w:p w14:paraId="4F3ECEA8">
      <w:pPr>
        <w:keepNext w:val="0"/>
        <w:keepLines w:val="0"/>
        <w:pageBreakBefore w:val="0"/>
        <w:tabs>
          <w:tab w:val="left" w:pos="180"/>
          <w:tab w:val="left" w:pos="162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附件1：</w:t>
      </w:r>
    </w:p>
    <w:p w14:paraId="42DF3B8F">
      <w:pPr>
        <w:jc w:val="center"/>
        <w:rPr>
          <w:rFonts w:hint="eastAsia" w:asciiTheme="minorEastAsia" w:hAnsiTheme="minorEastAsia" w:eastAsiaTheme="minorEastAsia" w:cstheme="minorEastAsia"/>
          <w:color w:val="auto"/>
          <w:sz w:val="24"/>
          <w:szCs w:val="24"/>
          <w:lang w:val="en-US" w:eastAsia="zh-CN"/>
        </w:rPr>
        <w:sectPr>
          <w:pgSz w:w="11906" w:h="16838"/>
          <w:pgMar w:top="1134" w:right="1134" w:bottom="1134" w:left="1304" w:header="680" w:footer="510" w:gutter="0"/>
          <w:pgNumType w:fmt="decimal"/>
          <w:cols w:space="720" w:num="1"/>
          <w:docGrid w:type="lines" w:linePitch="312" w:charSpace="0"/>
        </w:sectPr>
      </w:pPr>
      <w:r>
        <w:rPr>
          <w:rFonts w:hint="eastAsia" w:asciiTheme="minorEastAsia" w:hAnsiTheme="minorEastAsia" w:eastAsiaTheme="minorEastAsia" w:cstheme="minorEastAsia"/>
          <w:color w:val="auto"/>
          <w:sz w:val="24"/>
          <w:szCs w:val="24"/>
        </w:rPr>
        <w:drawing>
          <wp:anchor distT="0" distB="0" distL="114300" distR="114300" simplePos="0" relativeHeight="251670528" behindDoc="0" locked="0" layoutInCell="1" allowOverlap="1">
            <wp:simplePos x="0" y="0"/>
            <wp:positionH relativeFrom="column">
              <wp:posOffset>-38100</wp:posOffset>
            </wp:positionH>
            <wp:positionV relativeFrom="page">
              <wp:posOffset>1652270</wp:posOffset>
            </wp:positionV>
            <wp:extent cx="5881370" cy="8100060"/>
            <wp:effectExtent l="0" t="0" r="5080" b="15240"/>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6"/>
                    <a:srcRect l="1900" t="5250" r="1915" b="1113"/>
                    <a:stretch>
                      <a:fillRect/>
                    </a:stretch>
                  </pic:blipFill>
                  <pic:spPr>
                    <a:xfrm>
                      <a:off x="0" y="0"/>
                      <a:ext cx="5881370" cy="8100060"/>
                    </a:xfrm>
                    <a:prstGeom prst="rect">
                      <a:avLst/>
                    </a:prstGeom>
                    <a:noFill/>
                    <a:ln>
                      <a:noFill/>
                    </a:ln>
                  </pic:spPr>
                </pic:pic>
              </a:graphicData>
            </a:graphic>
          </wp:anchor>
        </w:drawing>
      </w:r>
      <w:r>
        <w:rPr>
          <w:rFonts w:hint="eastAsia" w:asciiTheme="minorEastAsia" w:hAnsiTheme="minorEastAsia" w:eastAsiaTheme="minorEastAsia" w:cstheme="minorEastAsia"/>
          <w:b/>
          <w:bCs/>
          <w:i w:val="0"/>
          <w:iCs w:val="0"/>
          <w:color w:val="auto"/>
          <w:kern w:val="0"/>
          <w:sz w:val="24"/>
          <w:szCs w:val="24"/>
          <w:u w:val="none"/>
          <w:lang w:val="en-US" w:eastAsia="zh-CN" w:bidi="ar"/>
        </w:rPr>
        <w:t>2026年蒙山县县县城建成区公共绿地管护范围图</w:t>
      </w:r>
    </w:p>
    <w:p w14:paraId="6B47DE8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附件2：</w:t>
      </w:r>
    </w:p>
    <w:p w14:paraId="27402C59">
      <w:pPr>
        <w:bidi w:val="0"/>
        <w:spacing w:line="360" w:lineRule="auto"/>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广西城市绿化养护规范及验收要求</w:t>
      </w:r>
    </w:p>
    <w:p w14:paraId="72FB278D">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（DB45/T 449—2007）</w:t>
      </w:r>
    </w:p>
    <w:p w14:paraId="4764489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 范围</w:t>
      </w:r>
    </w:p>
    <w:p w14:paraId="40FF772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标准规定了广西壮族自治区城市绿化养护术语、养护验收、养护质量要求，并规定了水分管理、土肥管理、修剪、松土除杂、病虫害控制、植物防护、清理工作、补种、古树名木养护、环境卫生等城市绿化养护操作。</w:t>
      </w:r>
    </w:p>
    <w:p w14:paraId="6B4517E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本标准适用于广西壮族自治区城市公园绿地、防护绿地、附属绿地、其他绿地等绿化养护。</w:t>
      </w:r>
    </w:p>
    <w:p w14:paraId="5F3647E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各类绿地的养护，除应按本规范执行外，还应遵守国家、行业、地方有关标准的规定。</w:t>
      </w:r>
    </w:p>
    <w:p w14:paraId="06C09B0B">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术语</w:t>
      </w:r>
    </w:p>
    <w:p w14:paraId="6A8D639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下列术语和定义适用于本标准。</w:t>
      </w:r>
    </w:p>
    <w:p w14:paraId="7E9DB5D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树盘</w:t>
      </w:r>
    </w:p>
    <w:p w14:paraId="5E8A5AB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种植乔灌木位置并与周围有明显界线的一定地面范围。</w:t>
      </w:r>
    </w:p>
    <w:p w14:paraId="4CE5A3A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有地被树盘</w:t>
      </w:r>
    </w:p>
    <w:p w14:paraId="3AAC501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在树干基部周围地面，种植有地被植物的树盘。</w:t>
      </w:r>
    </w:p>
    <w:p w14:paraId="3ABD25A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 无地被树盘</w:t>
      </w:r>
    </w:p>
    <w:p w14:paraId="1705C9B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在树干基部周围地面，没有种植地被的树盘。</w:t>
      </w:r>
    </w:p>
    <w:p w14:paraId="6F8A051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 孤植灌木</w:t>
      </w:r>
    </w:p>
    <w:p w14:paraId="231F676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单株或数株灌木种植在一个树穴内，树穴之间有明显距离，外观上可直观到一株或一丛，此类以孤植方式种植的灌木称为孤植灌木。</w:t>
      </w:r>
    </w:p>
    <w:p w14:paraId="7ADF820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 整形灌木</w:t>
      </w:r>
    </w:p>
    <w:p w14:paraId="5253C8C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按设计要求和观赏要求将灌木修剪成各种特定的形状，主要以植物造型为观赏目的的灌木称为整形灌木。</w:t>
      </w:r>
    </w:p>
    <w:p w14:paraId="2A69922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2.6 色块</w:t>
      </w:r>
    </w:p>
    <w:p w14:paraId="2AD9D82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指成片种植的灌木或草本植物，外观上没有明显的株行距。色块一般分为灌木色块和草本色块（也称草本地被）。</w:t>
      </w:r>
    </w:p>
    <w:p w14:paraId="4813365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2.7 古树名木</w:t>
      </w:r>
    </w:p>
    <w:p w14:paraId="42D0A83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指树龄在一百年以上或稀有珍贵树木，或具有历史价值或重要纪念意义的树木。</w:t>
      </w:r>
    </w:p>
    <w:p w14:paraId="13FE687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2.8 疏枝</w:t>
      </w:r>
    </w:p>
    <w:p w14:paraId="1BA7615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将枝条从其着生部位剪去。</w:t>
      </w:r>
    </w:p>
    <w:p w14:paraId="027F6CA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2.9 短截</w:t>
      </w:r>
    </w:p>
    <w:p w14:paraId="496CE4C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将枝条先端一部或大部剪去，保留基部枝段。</w:t>
      </w:r>
    </w:p>
    <w:p w14:paraId="45F13C0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2.10 行道树</w:t>
      </w:r>
    </w:p>
    <w:p w14:paraId="5526A94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指沿车行道或人行道边种植的乔木。</w:t>
      </w:r>
    </w:p>
    <w:p w14:paraId="63AC1B6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2.11 分车绿带</w:t>
      </w:r>
    </w:p>
    <w:p w14:paraId="1E9192E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车行道之间可以绿化的分隔带,其位于上下行机动车道之间的为中间分车绿带；位于机动车道与非机动车道之间或同方向机动车道之间的为两侧分车绿带。</w:t>
      </w:r>
    </w:p>
    <w:p w14:paraId="308DEC6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2.12 定干高度</w:t>
      </w:r>
    </w:p>
    <w:p w14:paraId="4366A68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乔木主干第一个分叉点离地面高度。</w:t>
      </w:r>
    </w:p>
    <w:p w14:paraId="2B0D2957">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 水分管理</w:t>
      </w:r>
    </w:p>
    <w:p w14:paraId="38EF31E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水质</w:t>
      </w:r>
    </w:p>
    <w:p w14:paraId="6F687F9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灌溉用水应使用自来水或经水质化验适用于灌溉的水源。</w:t>
      </w:r>
    </w:p>
    <w:p w14:paraId="66C9F1C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淋水时间</w:t>
      </w:r>
    </w:p>
    <w:p w14:paraId="1346F47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阴天全天均可淋水，遇高温、太阳辐射强应在上午11时前或下午4时后淋水。</w:t>
      </w:r>
    </w:p>
    <w:p w14:paraId="321A145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淋水量</w:t>
      </w:r>
    </w:p>
    <w:p w14:paraId="1D93818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水分供给以能保证植物正常生长、发育需要为宜。淋、灌水量应符合以下规定：</w:t>
      </w:r>
    </w:p>
    <w:p w14:paraId="4CFED9C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新种植的乔灌木第一次定根水必须及时，并且淋足淋透，在植株未恢复正常生长之前经常性保持土壤湿润。幼龄树（种植5年内），干旱天气，每周灌、淋1次～2次； 不耐旱的成年乔木，干旱季节，每月应灌、淋1次～3次。灌木、草坪、遮荫的地被植物，淋水应湿透表层10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cm以上；干旱天气，每周应喷淋2次～4次。无遮荫的地被及盆栽草花应每天淋水1次～2次（干旱天气）。</w:t>
      </w:r>
    </w:p>
    <w:p w14:paraId="640F24E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3.4 淋水方法</w:t>
      </w:r>
    </w:p>
    <w:p w14:paraId="6A5FC90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可采取滴灌、喷灌、喷淋、灌淋。养护要求精细、需水量多的时花类在条件的应采用滴灌或喷灌，以节约用水，提高淋水效果。采用喷淋方法淋水，必须掌握好出水量及喷淋方向，不得冲倒、冲歪植株及冲翻树根。对于乔灌木淋水应先给树体洗尘。</w:t>
      </w:r>
    </w:p>
    <w:p w14:paraId="1C97C1A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 排水</w:t>
      </w:r>
    </w:p>
    <w:p w14:paraId="34F775D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乔灌木树盘、色块、地被、草坪必要时设排水盲沟，以保证雨季雨水能从地面顺畅排走，绿地不得有积水现象。</w:t>
      </w:r>
    </w:p>
    <w:p w14:paraId="34CC9009">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 土肥管理</w:t>
      </w:r>
    </w:p>
    <w:p w14:paraId="73A8B26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 土壤的疏松通透</w:t>
      </w:r>
    </w:p>
    <w:p w14:paraId="14E3EA0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灌木色块及分车绿带土壤必须保持疏松通透，绿地种植5年内的乔木及整形灌木、孤植灌木应做树盘，即在树木周围距离树干留直径0.8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m～1.2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m的土壤裸露，定期松土保持土壤疏松。</w:t>
      </w:r>
    </w:p>
    <w:p w14:paraId="6A8DFF2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 各类植物种植土壤理化性状</w:t>
      </w:r>
    </w:p>
    <w:p w14:paraId="36A0CE8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各类植物的种植土必须达到以下要求(见表1)。</w:t>
      </w:r>
    </w:p>
    <w:p w14:paraId="4F37740B">
      <w:pPr>
        <w:widowControl/>
        <w:spacing w:line="360" w:lineRule="auto"/>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354A8DB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表1 各类植物种植土壤理化性状要求</w:t>
      </w:r>
    </w:p>
    <w:tbl>
      <w:tblPr>
        <w:tblStyle w:val="47"/>
        <w:tblW w:w="0" w:type="auto"/>
        <w:jc w:val="center"/>
        <w:tblLayout w:type="fixed"/>
        <w:tblCellMar>
          <w:top w:w="0" w:type="dxa"/>
          <w:left w:w="108" w:type="dxa"/>
          <w:bottom w:w="0" w:type="dxa"/>
          <w:right w:w="108" w:type="dxa"/>
        </w:tblCellMar>
      </w:tblPr>
      <w:tblGrid>
        <w:gridCol w:w="1702"/>
        <w:gridCol w:w="1417"/>
        <w:gridCol w:w="1308"/>
        <w:gridCol w:w="1376"/>
        <w:gridCol w:w="1376"/>
        <w:gridCol w:w="1377"/>
      </w:tblGrid>
      <w:tr w14:paraId="6C8F76E4">
        <w:tblPrEx>
          <w:tblCellMar>
            <w:top w:w="0" w:type="dxa"/>
            <w:left w:w="108" w:type="dxa"/>
            <w:bottom w:w="0" w:type="dxa"/>
            <w:right w:w="108" w:type="dxa"/>
          </w:tblCellMar>
        </w:tblPrEx>
        <w:trPr>
          <w:trHeight w:val="418" w:hRule="atLeast"/>
          <w:jc w:val="center"/>
        </w:trPr>
        <w:tc>
          <w:tcPr>
            <w:tcW w:w="1702" w:type="dxa"/>
            <w:tcBorders>
              <w:top w:val="single" w:color="000000" w:sz="12" w:space="0"/>
              <w:left w:val="single" w:color="000000" w:sz="12" w:space="0"/>
              <w:bottom w:val="single" w:color="000000" w:sz="12" w:space="0"/>
              <w:right w:val="single" w:color="000000" w:sz="4" w:space="0"/>
            </w:tcBorders>
            <w:noWrap w:val="0"/>
            <w:vAlign w:val="center"/>
          </w:tcPr>
          <w:p w14:paraId="271AD75E">
            <w:pPr>
              <w:widowControl/>
              <w:spacing w:line="360" w:lineRule="auto"/>
              <w:ind w:right="265"/>
              <w:jc w:val="center"/>
              <w:rPr>
                <w:rFonts w:hint="eastAsia" w:asciiTheme="minorEastAsia" w:hAnsiTheme="minorEastAsia" w:eastAsiaTheme="minorEastAsia" w:cstheme="minorEastAsia"/>
                <w:color w:val="auto"/>
                <w:sz w:val="24"/>
                <w:szCs w:val="24"/>
              </w:rPr>
            </w:pPr>
          </w:p>
        </w:tc>
        <w:tc>
          <w:tcPr>
            <w:tcW w:w="1417" w:type="dxa"/>
            <w:tcBorders>
              <w:top w:val="single" w:color="000000" w:sz="12" w:space="0"/>
              <w:left w:val="nil"/>
              <w:bottom w:val="single" w:color="000000" w:sz="12" w:space="0"/>
              <w:right w:val="single" w:color="000000" w:sz="4" w:space="0"/>
            </w:tcBorders>
            <w:noWrap w:val="0"/>
            <w:vAlign w:val="center"/>
          </w:tcPr>
          <w:p w14:paraId="6E07C81A">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w:t>
            </w:r>
          </w:p>
        </w:tc>
        <w:tc>
          <w:tcPr>
            <w:tcW w:w="1308" w:type="dxa"/>
            <w:tcBorders>
              <w:top w:val="single" w:color="000000" w:sz="12" w:space="0"/>
              <w:left w:val="nil"/>
              <w:bottom w:val="single" w:color="000000" w:sz="12" w:space="0"/>
              <w:right w:val="single" w:color="000000" w:sz="4" w:space="0"/>
            </w:tcBorders>
            <w:noWrap w:val="0"/>
            <w:vAlign w:val="center"/>
          </w:tcPr>
          <w:p w14:paraId="089577B6">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灌木</w:t>
            </w:r>
          </w:p>
        </w:tc>
        <w:tc>
          <w:tcPr>
            <w:tcW w:w="1376" w:type="dxa"/>
            <w:tcBorders>
              <w:top w:val="single" w:color="000000" w:sz="12" w:space="0"/>
              <w:left w:val="nil"/>
              <w:bottom w:val="single" w:color="000000" w:sz="12" w:space="0"/>
              <w:right w:val="single" w:color="000000" w:sz="4" w:space="0"/>
            </w:tcBorders>
            <w:noWrap w:val="0"/>
            <w:vAlign w:val="center"/>
          </w:tcPr>
          <w:p w14:paraId="142301D3">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地被</w:t>
            </w:r>
          </w:p>
        </w:tc>
        <w:tc>
          <w:tcPr>
            <w:tcW w:w="1376" w:type="dxa"/>
            <w:tcBorders>
              <w:top w:val="single" w:color="000000" w:sz="12" w:space="0"/>
              <w:left w:val="nil"/>
              <w:bottom w:val="single" w:color="000000" w:sz="12" w:space="0"/>
              <w:right w:val="single" w:color="000000" w:sz="4" w:space="0"/>
            </w:tcBorders>
            <w:noWrap w:val="0"/>
            <w:vAlign w:val="center"/>
          </w:tcPr>
          <w:p w14:paraId="16A395FF">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1377" w:type="dxa"/>
            <w:tcBorders>
              <w:top w:val="single" w:color="000000" w:sz="12" w:space="0"/>
              <w:left w:val="nil"/>
              <w:bottom w:val="single" w:color="000000" w:sz="12" w:space="0"/>
              <w:right w:val="single" w:color="000000" w:sz="12" w:space="0"/>
            </w:tcBorders>
            <w:noWrap w:val="0"/>
            <w:vAlign w:val="center"/>
          </w:tcPr>
          <w:p w14:paraId="66D80B3B">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w:t>
            </w:r>
          </w:p>
        </w:tc>
      </w:tr>
      <w:tr w14:paraId="24A181CE">
        <w:tblPrEx>
          <w:tblCellMar>
            <w:top w:w="0" w:type="dxa"/>
            <w:left w:w="108" w:type="dxa"/>
            <w:bottom w:w="0" w:type="dxa"/>
            <w:right w:w="108" w:type="dxa"/>
          </w:tblCellMar>
        </w:tblPrEx>
        <w:trPr>
          <w:trHeight w:val="390" w:hRule="atLeast"/>
          <w:jc w:val="center"/>
        </w:trPr>
        <w:tc>
          <w:tcPr>
            <w:tcW w:w="1702" w:type="dxa"/>
            <w:tcBorders>
              <w:top w:val="single" w:color="000000" w:sz="12" w:space="0"/>
              <w:left w:val="single" w:color="000000" w:sz="12" w:space="0"/>
              <w:bottom w:val="single" w:color="000000" w:sz="4" w:space="0"/>
              <w:right w:val="single" w:color="000000" w:sz="4" w:space="0"/>
            </w:tcBorders>
            <w:noWrap w:val="0"/>
            <w:vAlign w:val="center"/>
          </w:tcPr>
          <w:p w14:paraId="03B65980">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PH值</w:t>
            </w:r>
          </w:p>
        </w:tc>
        <w:tc>
          <w:tcPr>
            <w:tcW w:w="1417" w:type="dxa"/>
            <w:tcBorders>
              <w:top w:val="single" w:color="000000" w:sz="12" w:space="0"/>
              <w:left w:val="nil"/>
              <w:bottom w:val="single" w:color="000000" w:sz="4" w:space="0"/>
              <w:right w:val="single" w:color="000000" w:sz="4" w:space="0"/>
            </w:tcBorders>
            <w:noWrap w:val="0"/>
            <w:vAlign w:val="center"/>
          </w:tcPr>
          <w:p w14:paraId="78B7FF65">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08" w:type="dxa"/>
            <w:tcBorders>
              <w:top w:val="single" w:color="000000" w:sz="12" w:space="0"/>
              <w:left w:val="nil"/>
              <w:bottom w:val="single" w:color="000000" w:sz="4" w:space="0"/>
              <w:right w:val="single" w:color="000000" w:sz="4" w:space="0"/>
            </w:tcBorders>
            <w:noWrap w:val="0"/>
            <w:vAlign w:val="center"/>
          </w:tcPr>
          <w:p w14:paraId="1463E944">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5.5～8.0</w:t>
            </w:r>
          </w:p>
        </w:tc>
        <w:tc>
          <w:tcPr>
            <w:tcW w:w="1376" w:type="dxa"/>
            <w:tcBorders>
              <w:top w:val="single" w:color="000000" w:sz="12" w:space="0"/>
              <w:left w:val="nil"/>
              <w:bottom w:val="single" w:color="000000" w:sz="4" w:space="0"/>
              <w:right w:val="single" w:color="000000" w:sz="4" w:space="0"/>
            </w:tcBorders>
            <w:noWrap w:val="0"/>
            <w:vAlign w:val="center"/>
          </w:tcPr>
          <w:p w14:paraId="169087E4">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76" w:type="dxa"/>
            <w:tcBorders>
              <w:top w:val="single" w:color="000000" w:sz="12" w:space="0"/>
              <w:left w:val="nil"/>
              <w:bottom w:val="single" w:color="000000" w:sz="4" w:space="0"/>
              <w:right w:val="single" w:color="000000" w:sz="4" w:space="0"/>
            </w:tcBorders>
            <w:noWrap w:val="0"/>
            <w:vAlign w:val="center"/>
          </w:tcPr>
          <w:p w14:paraId="7304D22D">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77" w:type="dxa"/>
            <w:tcBorders>
              <w:top w:val="single" w:color="000000" w:sz="12" w:space="0"/>
              <w:left w:val="nil"/>
              <w:bottom w:val="single" w:color="000000" w:sz="4" w:space="0"/>
              <w:right w:val="single" w:color="000000" w:sz="12" w:space="0"/>
            </w:tcBorders>
            <w:noWrap w:val="0"/>
            <w:vAlign w:val="center"/>
          </w:tcPr>
          <w:p w14:paraId="0B2CC791">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5.5～7.5</w:t>
            </w:r>
          </w:p>
        </w:tc>
      </w:tr>
      <w:tr w14:paraId="3ACDD4CF">
        <w:tblPrEx>
          <w:tblCellMar>
            <w:top w:w="0" w:type="dxa"/>
            <w:left w:w="108" w:type="dxa"/>
            <w:bottom w:w="0" w:type="dxa"/>
            <w:right w:w="108" w:type="dxa"/>
          </w:tblCellMar>
        </w:tblPrEx>
        <w:trPr>
          <w:trHeight w:val="418" w:hRule="atLeast"/>
          <w:jc w:val="center"/>
        </w:trPr>
        <w:tc>
          <w:tcPr>
            <w:tcW w:w="1702" w:type="dxa"/>
            <w:tcBorders>
              <w:top w:val="single" w:color="000000" w:sz="4" w:space="0"/>
              <w:left w:val="single" w:color="000000" w:sz="12" w:space="0"/>
              <w:bottom w:val="single" w:color="000000" w:sz="4" w:space="0"/>
              <w:right w:val="single" w:color="000000" w:sz="4" w:space="0"/>
            </w:tcBorders>
            <w:noWrap w:val="0"/>
            <w:vAlign w:val="center"/>
          </w:tcPr>
          <w:p w14:paraId="6C85C5DB">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有机质(g/㎏)</w:t>
            </w:r>
          </w:p>
        </w:tc>
        <w:tc>
          <w:tcPr>
            <w:tcW w:w="1417" w:type="dxa"/>
            <w:tcBorders>
              <w:top w:val="single" w:color="000000" w:sz="4" w:space="0"/>
              <w:left w:val="nil"/>
              <w:bottom w:val="single" w:color="000000" w:sz="4" w:space="0"/>
              <w:right w:val="single" w:color="000000" w:sz="4" w:space="0"/>
            </w:tcBorders>
            <w:noWrap w:val="0"/>
            <w:vAlign w:val="center"/>
          </w:tcPr>
          <w:p w14:paraId="524591CF">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08" w:type="dxa"/>
            <w:tcBorders>
              <w:top w:val="single" w:color="000000" w:sz="4" w:space="0"/>
              <w:left w:val="nil"/>
              <w:bottom w:val="single" w:color="000000" w:sz="4" w:space="0"/>
              <w:right w:val="single" w:color="000000" w:sz="4" w:space="0"/>
            </w:tcBorders>
            <w:noWrap w:val="0"/>
            <w:vAlign w:val="center"/>
          </w:tcPr>
          <w:p w14:paraId="73925E5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6" w:type="dxa"/>
            <w:tcBorders>
              <w:top w:val="single" w:color="000000" w:sz="4" w:space="0"/>
              <w:left w:val="nil"/>
              <w:bottom w:val="single" w:color="000000" w:sz="4" w:space="0"/>
              <w:right w:val="single" w:color="000000" w:sz="4" w:space="0"/>
            </w:tcBorders>
            <w:noWrap w:val="0"/>
            <w:vAlign w:val="center"/>
          </w:tcPr>
          <w:p w14:paraId="705D50C3">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6" w:type="dxa"/>
            <w:tcBorders>
              <w:top w:val="single" w:color="000000" w:sz="4" w:space="0"/>
              <w:left w:val="nil"/>
              <w:bottom w:val="single" w:color="000000" w:sz="4" w:space="0"/>
              <w:right w:val="single" w:color="000000" w:sz="4" w:space="0"/>
            </w:tcBorders>
            <w:noWrap w:val="0"/>
            <w:vAlign w:val="center"/>
          </w:tcPr>
          <w:p w14:paraId="0C55803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7" w:type="dxa"/>
            <w:tcBorders>
              <w:top w:val="single" w:color="000000" w:sz="4" w:space="0"/>
              <w:left w:val="nil"/>
              <w:bottom w:val="single" w:color="000000" w:sz="4" w:space="0"/>
              <w:right w:val="single" w:color="000000" w:sz="12" w:space="0"/>
            </w:tcBorders>
            <w:noWrap w:val="0"/>
            <w:vAlign w:val="center"/>
          </w:tcPr>
          <w:p w14:paraId="6A5532DD">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w:t>
            </w:r>
          </w:p>
        </w:tc>
      </w:tr>
      <w:tr w14:paraId="039F5D8F">
        <w:tblPrEx>
          <w:tblCellMar>
            <w:top w:w="0" w:type="dxa"/>
            <w:left w:w="108" w:type="dxa"/>
            <w:bottom w:w="0" w:type="dxa"/>
            <w:right w:w="108" w:type="dxa"/>
          </w:tblCellMar>
        </w:tblPrEx>
        <w:trPr>
          <w:trHeight w:val="404" w:hRule="atLeast"/>
          <w:jc w:val="center"/>
        </w:trPr>
        <w:tc>
          <w:tcPr>
            <w:tcW w:w="1702" w:type="dxa"/>
            <w:tcBorders>
              <w:top w:val="single" w:color="000000" w:sz="4" w:space="0"/>
              <w:left w:val="single" w:color="000000" w:sz="12" w:space="0"/>
              <w:bottom w:val="single" w:color="000000" w:sz="4" w:space="0"/>
              <w:right w:val="single" w:color="000000" w:sz="4" w:space="0"/>
            </w:tcBorders>
            <w:noWrap w:val="0"/>
            <w:vAlign w:val="center"/>
          </w:tcPr>
          <w:p w14:paraId="5054706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通气空隙度(%)</w:t>
            </w:r>
          </w:p>
        </w:tc>
        <w:tc>
          <w:tcPr>
            <w:tcW w:w="1417" w:type="dxa"/>
            <w:tcBorders>
              <w:top w:val="single" w:color="000000" w:sz="4" w:space="0"/>
              <w:left w:val="nil"/>
              <w:bottom w:val="single" w:color="000000" w:sz="4" w:space="0"/>
              <w:right w:val="single" w:color="000000" w:sz="4" w:space="0"/>
            </w:tcBorders>
            <w:noWrap w:val="0"/>
            <w:vAlign w:val="center"/>
          </w:tcPr>
          <w:p w14:paraId="7D1F05B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08" w:type="dxa"/>
            <w:tcBorders>
              <w:top w:val="single" w:color="000000" w:sz="4" w:space="0"/>
              <w:left w:val="nil"/>
              <w:bottom w:val="single" w:color="000000" w:sz="4" w:space="0"/>
              <w:right w:val="single" w:color="000000" w:sz="4" w:space="0"/>
            </w:tcBorders>
            <w:noWrap w:val="0"/>
            <w:vAlign w:val="center"/>
          </w:tcPr>
          <w:p w14:paraId="1ECD7671">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c>
          <w:tcPr>
            <w:tcW w:w="1376" w:type="dxa"/>
            <w:tcBorders>
              <w:top w:val="single" w:color="000000" w:sz="4" w:space="0"/>
              <w:left w:val="nil"/>
              <w:bottom w:val="single" w:color="000000" w:sz="4" w:space="0"/>
              <w:right w:val="single" w:color="000000" w:sz="4" w:space="0"/>
            </w:tcBorders>
            <w:noWrap w:val="0"/>
            <w:vAlign w:val="center"/>
          </w:tcPr>
          <w:p w14:paraId="3403F59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76" w:type="dxa"/>
            <w:tcBorders>
              <w:top w:val="single" w:color="000000" w:sz="4" w:space="0"/>
              <w:left w:val="nil"/>
              <w:bottom w:val="single" w:color="000000" w:sz="4" w:space="0"/>
              <w:right w:val="single" w:color="000000" w:sz="4" w:space="0"/>
            </w:tcBorders>
            <w:noWrap w:val="0"/>
            <w:vAlign w:val="center"/>
          </w:tcPr>
          <w:p w14:paraId="056A8AC4">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77" w:type="dxa"/>
            <w:tcBorders>
              <w:top w:val="single" w:color="000000" w:sz="4" w:space="0"/>
              <w:left w:val="nil"/>
              <w:bottom w:val="single" w:color="000000" w:sz="4" w:space="0"/>
              <w:right w:val="single" w:color="000000" w:sz="12" w:space="0"/>
            </w:tcBorders>
            <w:noWrap w:val="0"/>
            <w:vAlign w:val="center"/>
          </w:tcPr>
          <w:p w14:paraId="20ABC91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r>
      <w:tr w14:paraId="4CB0A2F3">
        <w:tblPrEx>
          <w:tblCellMar>
            <w:top w:w="0" w:type="dxa"/>
            <w:left w:w="108" w:type="dxa"/>
            <w:bottom w:w="0" w:type="dxa"/>
            <w:right w:w="108" w:type="dxa"/>
          </w:tblCellMar>
        </w:tblPrEx>
        <w:trPr>
          <w:trHeight w:val="459" w:hRule="atLeast"/>
          <w:jc w:val="center"/>
        </w:trPr>
        <w:tc>
          <w:tcPr>
            <w:tcW w:w="1702" w:type="dxa"/>
            <w:tcBorders>
              <w:top w:val="single" w:color="000000" w:sz="4" w:space="0"/>
              <w:left w:val="single" w:color="000000" w:sz="12" w:space="0"/>
              <w:bottom w:val="single" w:color="000000" w:sz="12" w:space="0"/>
              <w:right w:val="single" w:color="000000" w:sz="4" w:space="0"/>
            </w:tcBorders>
            <w:noWrap w:val="0"/>
            <w:vAlign w:val="center"/>
          </w:tcPr>
          <w:p w14:paraId="030F580D">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有效土层(㎝)</w:t>
            </w:r>
          </w:p>
        </w:tc>
        <w:tc>
          <w:tcPr>
            <w:tcW w:w="1417" w:type="dxa"/>
            <w:tcBorders>
              <w:top w:val="single" w:color="000000" w:sz="4" w:space="0"/>
              <w:left w:val="nil"/>
              <w:bottom w:val="single" w:color="000000" w:sz="12" w:space="0"/>
              <w:right w:val="single" w:color="000000" w:sz="4" w:space="0"/>
            </w:tcBorders>
            <w:noWrap w:val="0"/>
            <w:vAlign w:val="center"/>
          </w:tcPr>
          <w:p w14:paraId="20AA6E6A">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w:t>
            </w:r>
          </w:p>
        </w:tc>
        <w:tc>
          <w:tcPr>
            <w:tcW w:w="1308" w:type="dxa"/>
            <w:tcBorders>
              <w:top w:val="single" w:color="000000" w:sz="4" w:space="0"/>
              <w:left w:val="nil"/>
              <w:bottom w:val="single" w:color="000000" w:sz="12" w:space="0"/>
              <w:right w:val="single" w:color="000000" w:sz="4" w:space="0"/>
            </w:tcBorders>
            <w:noWrap w:val="0"/>
            <w:vAlign w:val="center"/>
          </w:tcPr>
          <w:p w14:paraId="11DC66BA">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≥60</w:t>
            </w:r>
          </w:p>
        </w:tc>
        <w:tc>
          <w:tcPr>
            <w:tcW w:w="1376" w:type="dxa"/>
            <w:tcBorders>
              <w:top w:val="single" w:color="000000" w:sz="4" w:space="0"/>
              <w:left w:val="nil"/>
              <w:bottom w:val="single" w:color="000000" w:sz="12" w:space="0"/>
              <w:right w:val="single" w:color="000000" w:sz="4" w:space="0"/>
            </w:tcBorders>
            <w:noWrap w:val="0"/>
            <w:vAlign w:val="center"/>
          </w:tcPr>
          <w:p w14:paraId="0B8D9BE5">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w:t>
            </w:r>
          </w:p>
        </w:tc>
        <w:tc>
          <w:tcPr>
            <w:tcW w:w="1376" w:type="dxa"/>
            <w:tcBorders>
              <w:top w:val="single" w:color="000000" w:sz="4" w:space="0"/>
              <w:left w:val="nil"/>
              <w:bottom w:val="single" w:color="000000" w:sz="12" w:space="0"/>
              <w:right w:val="single" w:color="000000" w:sz="4" w:space="0"/>
            </w:tcBorders>
            <w:noWrap w:val="0"/>
            <w:vAlign w:val="center"/>
          </w:tcPr>
          <w:p w14:paraId="10DB2D7E">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w:t>
            </w:r>
          </w:p>
        </w:tc>
        <w:tc>
          <w:tcPr>
            <w:tcW w:w="1377" w:type="dxa"/>
            <w:tcBorders>
              <w:top w:val="single" w:color="000000" w:sz="4" w:space="0"/>
              <w:left w:val="nil"/>
              <w:bottom w:val="single" w:color="000000" w:sz="12" w:space="0"/>
              <w:right w:val="single" w:color="000000" w:sz="12" w:space="0"/>
            </w:tcBorders>
            <w:noWrap w:val="0"/>
            <w:vAlign w:val="center"/>
          </w:tcPr>
          <w:p w14:paraId="1E3C885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≥40</w:t>
            </w:r>
          </w:p>
        </w:tc>
      </w:tr>
    </w:tbl>
    <w:p w14:paraId="60CC580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148B92F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 施肥</w:t>
      </w:r>
    </w:p>
    <w:p w14:paraId="66FA5E7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4.3.1 定植五年内的乔木，全年施肥1次～3次，春季以氮肥为主，秋季、冬季施复合肥或磷钾肥或有机肥，每株每次施尿素0.05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kg～0.15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kg或复合肥0.1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kg～0.4</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w:t>
      </w:r>
    </w:p>
    <w:p w14:paraId="16B9681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4.3.2 定植5年后的乔木，视长势定全年施1次～2次根外肥，肥料可用0.1</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尿素、磷酸二氢钾等；古树、衰老树冬季应深耕根施迟效性肥料一次，以骨粉、堆肥、垃圾肥等有机肥为主，平均每株施10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kg有机物或施复合肥0.3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kg，观花、观果类乔木还应在花后、果后追施一次复合肥或尿素。</w:t>
      </w:r>
    </w:p>
    <w:p w14:paraId="60230B2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4.3.3 灌木全年施3次～8次（视植物长势而定），生长期以施氮肥为主，开花期、冬季以磷钾肥为主；片植灌木，每次每平方米施化肥0.025 kg～0.100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kg；孤植灌木，每株每次施化肥0.05 kg～0.15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w:t>
      </w:r>
    </w:p>
    <w:p w14:paraId="00EE246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4.3.4 草坪、草本地被植物。全年施2次～4次，生长期施尿素或复合肥1次～3次，每平方米施0.01 kg～0.05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kg；入冬前施1次复合肥，观花地被花前施1次复合肥。</w:t>
      </w:r>
    </w:p>
    <w:p w14:paraId="63EA7CD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4.3.5 花坛种植后应施一次以上干肥（复合肥）或每隔10天施一次水肥（复合肥）。</w:t>
      </w:r>
    </w:p>
    <w:p w14:paraId="700933D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4.3.6 应多施有机肥，尽量利用落叶及修剪出来的枝叶埋入土中或堆沤后施用，以改良土壤，增加土壤肥力。</w:t>
      </w:r>
    </w:p>
    <w:p w14:paraId="76C11A6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4.3.7 乔木与孤植灌木可采用沟施、穴施或叶面喷施；沟施或穴施位置有地被的，先将地被植物带根移开，挖沟或穴深施，施肥盖土后再复植原位。片植地被、草坪、花坛可采用撤施或叶面喷施或淋水肥；撒施时，肥料不能粘在叶面上。</w:t>
      </w:r>
    </w:p>
    <w:p w14:paraId="0E285D8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4.3.8 使用化肥进行根施或撤施时,施肥后应及时淋水。</w:t>
      </w:r>
    </w:p>
    <w:p w14:paraId="0AD6989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 修剪</w:t>
      </w:r>
    </w:p>
    <w:p w14:paraId="523716C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 绿地乔木修剪</w:t>
      </w:r>
    </w:p>
    <w:p w14:paraId="16ABEA4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 自然修剪</w:t>
      </w:r>
    </w:p>
    <w:p w14:paraId="52473CC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5.1.1.1 幼龄树修剪，以培养树形为主，全年修剪2次，冬、夏各进行1次，剪去过密枝、下垂枝、交叉枝、病虫枝，剪口要求平滑，直径5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cm以上的剪口应涂上防腐剂。</w:t>
      </w:r>
    </w:p>
    <w:p w14:paraId="040F341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5.1.1.2 成年树修剪，以维持本身树形特征为主，全年修剪数次，平时1个～2个月钩干枯枝1次；冬季和夏季台风到来之前进行适度修剪，把病虫枝、下垂枝、过密枝、交叉枝剪去，剪口要求平整，不留桩头，大枝的剪口应涂上防腐剂。</w:t>
      </w:r>
    </w:p>
    <w:p w14:paraId="721CFA5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5.1.1.3 对影响主要树种树体定向生长的其它次要树应进行避让修剪，以保证主体树有足够的生长定向空间。</w:t>
      </w:r>
    </w:p>
    <w:p w14:paraId="21ABB25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5.1.2 造型修剪</w:t>
      </w:r>
    </w:p>
    <w:p w14:paraId="49D2004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根据设计和景观要求,把乔木剪成并维持特定的形状.修剪次数与强度以能维持其形状为宜,修剪时必须注意剪去过密的内膛枝、交叉枝，以利病虫害的防治。</w:t>
      </w:r>
    </w:p>
    <w:p w14:paraId="60AFE2B9">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6DECCF1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 行道树修剪</w:t>
      </w:r>
    </w:p>
    <w:p w14:paraId="192211F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5.1.3.1 枝下高：胸径5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cm的小乔木，不低于2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cm～19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cm的中等乔木，不低于2.5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cm～30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cm的大乔木，不低于3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cm以上特大乔木，不低于3.5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p>
    <w:p w14:paraId="56E9A3B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5.1.3.2 同路段同树种的树形、高度应基本一致，且不得影响车辆和行人的安全，树冠不应遮挡交通指示灯。</w:t>
      </w:r>
    </w:p>
    <w:p w14:paraId="1C1CD6D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5.1.3.3 中、小行道树，修剪应以培养树形或树种特征为主，每年冬季重剪1次，夏季适当轻剪。树体不应有钉挂物、缠绕物等。</w:t>
      </w:r>
    </w:p>
    <w:p w14:paraId="3D2ABA4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5.1.3.4 大、特大乔木，修剪应以维持树种特征为主，经常检查并钩除干枯枝，拆除钉挂物、缠绕物。冬季修剪1次，剪去病虫枝、交叉枝、过密枝、下垂枝。</w:t>
      </w:r>
    </w:p>
    <w:p w14:paraId="661306F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5.1.3.5 行道树为棕榈科乔木的，中小乔木每月应钩干黄叶2次，高大的大王椰类应每周钩干黄叶两次。</w:t>
      </w:r>
    </w:p>
    <w:p w14:paraId="477625E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5.1.3.6 及时处理危树，伐去死树。</w:t>
      </w:r>
    </w:p>
    <w:p w14:paraId="00140D8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5.1.3.7 行道树上方有架空线的，必须定期修剪，树冠与电话线的垂直距离应保持1.5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m以上,与高压线的垂直距离视其电压的高低及电线的类型，应保持1.5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m～4.0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23C6BBE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 灌木修剪</w:t>
      </w:r>
    </w:p>
    <w:p w14:paraId="3C7A2EC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 孤植灌木修剪</w:t>
      </w:r>
    </w:p>
    <w:p w14:paraId="1E1B6E5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5.2.1.1 观叶、观茎的棕榈科灌木和其它慢生性观叶灌木，主要适当控制灌木的形状，根据树种特性进行疏枝、剪除枯枝黄叶。</w:t>
      </w:r>
    </w:p>
    <w:p w14:paraId="38CAFDD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5.2.1.2 萌发力强，生长快的观花、观叶灌木，春季或花期过后进行重剪，以控制植株徒长，维持一定的高度与形状。</w:t>
      </w:r>
    </w:p>
    <w:p w14:paraId="6A194AD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5.2.1.3 疏枝，剪口必须贴近干枝，平滑、不撕裂，不伤及干枝，不留桩头。</w:t>
      </w:r>
    </w:p>
    <w:p w14:paraId="6C36E8D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5.2.1.4 短剪，剪口平滑稍斜，剪口芽方向合理，距离剪口芽约0.5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cm左右。</w:t>
      </w:r>
    </w:p>
    <w:p w14:paraId="5160AE6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 整形灌木修剪</w:t>
      </w:r>
    </w:p>
    <w:p w14:paraId="31A348B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5.2.2.1 必须按设计要求或观赏要求，逐步修剪养成一定的形状，并且要求成形美观、曲线变化明显，与周围环境相协调；规则式的同一品种植物造型，其形状、大小应基本一致。</w:t>
      </w:r>
    </w:p>
    <w:p w14:paraId="1E35E7F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5.2.2.2 整形灌木成形后应保持原来的形状，随着植物的生长，其形体大于设计观赏要求或因频繁修剪造成长势趋弱，应于春季进行回缩修剪。</w:t>
      </w:r>
    </w:p>
    <w:p w14:paraId="699AFD4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 片植灌木</w:t>
      </w:r>
    </w:p>
    <w:p w14:paraId="518BC42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5.2.3.1 按设计或观赏要求修剪，并剪去干枯枝、寄生与缠绕物，要求图形清晰，线条明显，整体美观。</w:t>
      </w:r>
    </w:p>
    <w:p w14:paraId="6F78456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5.2.3.2 萌芽力强、生长快的观叶片植灌木，应于春季进行回缩修剪，以控制整体高度和保持良好的长势。</w:t>
      </w:r>
    </w:p>
    <w:p w14:paraId="5710C36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5.2.3.3 观花片植灌木应于花后适度修剪或重剪。</w:t>
      </w:r>
    </w:p>
    <w:p w14:paraId="0A1B945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 地被修剪</w:t>
      </w:r>
    </w:p>
    <w:p w14:paraId="79D1539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5.3.1 球根地被及不耐修剪的地被，如麦冬、罗裙带，要求保持整洁，及时清除黄叶、杂物；过密的应适当疏株、移植；过高的应间高留矮，促萌新株，逐步更新。</w:t>
      </w:r>
    </w:p>
    <w:p w14:paraId="4577DBC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5.3.2 蔓生性较强的地被，应适当修剪，保持整体整齐或有规律变化。</w:t>
      </w:r>
    </w:p>
    <w:p w14:paraId="4412339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5.3.3 树盘地被应定时修剪，形状、大小应规范、整齐；地被植物不能缠绕乔灌木。</w:t>
      </w:r>
    </w:p>
    <w:p w14:paraId="07DFD9F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 花坛修剪</w:t>
      </w:r>
    </w:p>
    <w:p w14:paraId="6DEDC2B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及时剪除残花、枯枝、黄叶，并短截或疏去过高的枝叶，保持花坛中同一色块顶面高度基本一致。</w:t>
      </w:r>
    </w:p>
    <w:p w14:paraId="5760B74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 草坪修剪</w:t>
      </w:r>
    </w:p>
    <w:p w14:paraId="4EEC730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视草坪生长情况全年修剪6次～12次，秋、冬季1月～2月剪1次，春季、夏季每月剪1次。草坪高度应控制在8cm以下。</w:t>
      </w:r>
    </w:p>
    <w:p w14:paraId="67D061C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2D8D3C6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 藤本植物修剪</w:t>
      </w:r>
    </w:p>
    <w:p w14:paraId="3757FB9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5.6.1 桥上、栏杆上藤本植物，主要剪去过密枝、衰老枝，控制枝条下垂的长度基本一致，而又不影响交通、视线。花期过后应适当更新重剪。</w:t>
      </w:r>
    </w:p>
    <w:p w14:paraId="655BB31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5.6.2 攀援藤本，种植后进行重剪，每株促发几条健壮主蔓；爬满墙、棚后，主要适当修剪交叉蔓藤，病弱衰老蔓枝；有光脚或中空现象时，采用局部重剪、曲枝蔓诱引措施来弥补空缺。</w:t>
      </w:r>
    </w:p>
    <w:p w14:paraId="304CB71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 松土除杂</w:t>
      </w:r>
    </w:p>
    <w:p w14:paraId="2E9FF9C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 无地被树盘,片植灌木必须定期松土除杂，对小乔木的树盘可用中耕的方法连根锄掉，埋入土中，以改良土壤。</w:t>
      </w:r>
    </w:p>
    <w:p w14:paraId="1C2D971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 应经常对草坪进行人工除杂，对生长快、侵延力强的杂草应除早、除小、除了。亦可采用除草剂除杂，结合剪草机定期剪草，控制杂草的开花及蔓延，草坪纯度应保持在85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以上，无大型、异型杂草。</w:t>
      </w:r>
    </w:p>
    <w:p w14:paraId="4122F43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6.3 每年春季或冬季用草坪疏草机或草坪打孔机，对草坪进行疏草或打孔，以防草过密起团，增加草坪土壤通透性。</w:t>
      </w:r>
    </w:p>
    <w:p w14:paraId="3A9A8ABB">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 病虫害控制</w:t>
      </w:r>
    </w:p>
    <w:p w14:paraId="50FC94D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 经常检查，随时掌握病虫的生长繁殖及危害情况，做好预测预防工作。</w:t>
      </w:r>
    </w:p>
    <w:p w14:paraId="6360C2B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 掌握在幼虫期和病虫害大发生前进行防治，根据病虫害种类，天气情况、农药性质，合理使用农药。</w:t>
      </w:r>
    </w:p>
    <w:p w14:paraId="7F46AAF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喷药应选择在无风无雨时进行，喷药必须到位、均匀，文明操作，药水不能喷到行人身上，对于人为活动多或人流量大的地段，应提前告示；根部埋药，应挖沟、坑，把药放在细根集中部位，并覆土。</w:t>
      </w:r>
    </w:p>
    <w:p w14:paraId="5186234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 药水随用随配，药水配用浓度应按使用说明，需要加大浓度或两种以上农药混用必须先小面积试用安全或经专业技术人员确认后才能大面积使用。</w:t>
      </w:r>
    </w:p>
    <w:p w14:paraId="123B144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 应该选择使用低毒、低残留农药或生物制剂，尽量保护天敌，采用化学防治、生物防治相结合进行综合治理。</w:t>
      </w:r>
    </w:p>
    <w:p w14:paraId="5AB5341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7.6 交替使用农药，不能长期使用单一种农药防治同一病虫害，以防病菌和害虫产生抗药性。用药后应检查用药效果，做到对症下药，及时纠正。</w:t>
      </w:r>
    </w:p>
    <w:p w14:paraId="035A53AB">
      <w:pPr>
        <w:widowControl/>
        <w:spacing w:line="360" w:lineRule="auto"/>
        <w:ind w:firstLine="120" w:firstLineChars="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7.7 及时剪除销毁病虫害引起的树枝败叶，并结合修枝，把徒长枝、过密枝剪去，创造透风透光环境，杜绝病虫害滋生蔓延。</w:t>
      </w:r>
    </w:p>
    <w:p w14:paraId="3166458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 修剪时，对大枝的剪口应涂药以防病虫害的侵入。</w:t>
      </w:r>
    </w:p>
    <w:p w14:paraId="6B21B42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7.9 及时清除植株上的寄生物。</w:t>
      </w:r>
    </w:p>
    <w:p w14:paraId="7C593A3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7.10 严禁使用带检疫对象病虫的苗木进行补种，外地苗木必须经过检疫，本地苗木必须经检查及处理后没有病虫为害的苗木才能使用。</w:t>
      </w:r>
    </w:p>
    <w:p w14:paraId="139E6B0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7.11 病虫害控制必须在不影响景观效果程度之内。</w:t>
      </w:r>
    </w:p>
    <w:p w14:paraId="09B1235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 植物防护</w:t>
      </w:r>
    </w:p>
    <w:p w14:paraId="3D9B4AD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 防寒、防冻(对不耐寒的植物品种)</w:t>
      </w:r>
    </w:p>
    <w:p w14:paraId="7317730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8.1.1 浇封冻水和返青水</w:t>
      </w:r>
    </w:p>
    <w:p w14:paraId="7EF610B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应在土壤封冻前浇一次透水，并在早春浇返青水。原因是土壤中含有水分较多，严冬时能减缓表层地温的下降，开春表层地浊升温也缓慢，避免春寒为害植物根系。</w:t>
      </w:r>
    </w:p>
    <w:p w14:paraId="4238B63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8.1.2 洗霜</w:t>
      </w:r>
    </w:p>
    <w:p w14:paraId="7856206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在有霜日，太阳未出来前，给植株洗霜，即用水喷洒叶面或枝干。</w:t>
      </w:r>
    </w:p>
    <w:p w14:paraId="2144773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8.1.3 加强水肥管理，增强抗寒能力</w:t>
      </w:r>
    </w:p>
    <w:p w14:paraId="5915B63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合理浇灌，科学施肥，如秋冬季应停止单纯施放尿素等氮肥，宜施用有机物或以磷、钾为主的化肥，或采用叶面喷施磷酸二氢钾、叶面宝等措施，控制植株徒长，促进植株生长健壮，增强其抗寒能力。</w:t>
      </w:r>
    </w:p>
    <w:p w14:paraId="625D954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8.1.4 覆盖</w:t>
      </w:r>
    </w:p>
    <w:p w14:paraId="7715749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对不耐寒树木，在霜冻和大雪来临前，根据树高用竹子搭一个方形棚架，外围用遮荫布或塑料布；对一些不耐寒的小形植物、露地花卉、地被等可直接加盖草帘或遮荫布或塑料布。</w:t>
      </w:r>
    </w:p>
    <w:p w14:paraId="45FFF1E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8.1.5 树干防护</w:t>
      </w:r>
    </w:p>
    <w:p w14:paraId="76C3B04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常见的为树干包裹或涂白。树干包裹应在入冬前进行，将不耐寒的树木主干用草绳或麻袋片等缠绕或包裹起来，涂白高度在1.5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m。树干涂白宜在秋季进行, 用石灰加石硫合剂对枝干涂白。</w:t>
      </w:r>
    </w:p>
    <w:p w14:paraId="72EB471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8.1.6 防冻除雪</w:t>
      </w:r>
    </w:p>
    <w:p w14:paraId="4BA3D7D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在下大雪期间或之后,应把树枝上的积雪及时打掉,以免雪压过重,使树枝弯垂,难以恢复原状,甚至折断。</w:t>
      </w:r>
    </w:p>
    <w:p w14:paraId="31639E4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 防风(对高大乔木)</w:t>
      </w:r>
    </w:p>
    <w:p w14:paraId="31E9E6C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8.2.1 对高大乔木尤其是行道树、衰老树，台风季节到来前必须进行适当修剪，剪除病虫枝、过密枝、干枯枝、下垂枝、回缩偏冠树枝。</w:t>
      </w:r>
    </w:p>
    <w:p w14:paraId="2C0FE84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8.2.2 风雨过后应及时巡查行道树，及时处理风折、风倒、雷击树枝。</w:t>
      </w:r>
    </w:p>
    <w:p w14:paraId="26F031E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8.2.3 严重偏冠树或危树必须架设护桩，确保行人、车辆安全。</w:t>
      </w:r>
    </w:p>
    <w:p w14:paraId="7766B23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8.2.4 移植和管道施工应避免断粗2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cm以上的主根、侧根。</w:t>
      </w:r>
    </w:p>
    <w:p w14:paraId="7E0A1FF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 设备设施</w:t>
      </w:r>
    </w:p>
    <w:p w14:paraId="60A2106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定期维修游园、绿地的设备、设施、护桩，保持设备设施完好、整洁，护桩整齐、美观。</w:t>
      </w:r>
    </w:p>
    <w:p w14:paraId="54AC21AC">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 清理工作</w:t>
      </w:r>
    </w:p>
    <w:p w14:paraId="6F9D548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 修剪后的枝叶必须当天清理。</w:t>
      </w:r>
    </w:p>
    <w:p w14:paraId="398766F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9.2 因车祸、风雨造成的树木伤残枝、倒树应当天及时处理。</w:t>
      </w:r>
    </w:p>
    <w:p w14:paraId="62C3037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 及时伐去死树，挖去树木桩头。</w:t>
      </w:r>
    </w:p>
    <w:p w14:paraId="28A1347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9.4 挖埋管线或建筑施工时，泥、砖不能堆放在树盘及绿化带上；树盘、绿化带上有余泥、砖碎等杂物应督促施工单位及时清走。</w:t>
      </w:r>
    </w:p>
    <w:p w14:paraId="5589900D">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 补种</w:t>
      </w:r>
    </w:p>
    <w:p w14:paraId="62AEB63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10.1 行道树不应缺株，补植的行道树必须是原来品种，树干正直，定干高度应2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2DDF681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10.2 主干道的行道树为幼龄树，补植乔木的规格、大小必须与同路段同品种乔木基本一致；主干道的行道树为成龄树，补植的阔叶树胸径必须8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cm以上，棕榈科乔木地径必须25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w:t>
      </w:r>
    </w:p>
    <w:p w14:paraId="36614F8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 次干道行道树补种，阔叶树胸径必须5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cm以上，高度2.5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m以上；棕榈科乔木胸径必须20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cm以上，自然高度3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0879C11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10.4 绿地缺株或黄土裸露的，应在一个月内完成补种；因车祸或其它原因造成缺株或黄土裸露的，应在一周内完成补种。补种的品种应与原品种一致。</w:t>
      </w:r>
    </w:p>
    <w:p w14:paraId="71C9150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10.5 补种的苗木必须健壮，无病虫害。草坪纯度必须达95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w:t>
      </w:r>
    </w:p>
    <w:p w14:paraId="3D2B414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10.6 草坪及灌木已老化的,应在衰老期到来初期更新改造。</w:t>
      </w:r>
    </w:p>
    <w:p w14:paraId="5436D53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古树名木的养护</w:t>
      </w:r>
    </w:p>
    <w:p w14:paraId="5671F86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 不要随意改变生长环境条件，不宜在其周围建高大建筑、挖方、填方；距树干3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m以内不能有水泥、砖石等不透气铺装或建筑物。</w:t>
      </w:r>
    </w:p>
    <w:p w14:paraId="741547D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 防止土壤板结改变通气条件，在距树干3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m内应设栅栏隔离或种植地被植物，以防行人入内践踏，每年在距树干5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m以内中耕松土2次～3次，对衰老树有条件的可逐步换土或改土（表层50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w:t>
      </w:r>
    </w:p>
    <w:p w14:paraId="180496F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 施肥，每年生长季节喷施叶面肥1次～3次，每年秋冬季在距树干5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m内开辐射状沟施放无病虫害的落叶、草加复合肥（每株施0.5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kg复合肥）或施沤熟的有机肥。</w:t>
      </w:r>
    </w:p>
    <w:p w14:paraId="7C64F9B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 古树易受蛀干害虫及白蚁的危害，必须经常检查，及时防治。修剪的剪口及损伤部分应涂药防腐、防虫。有空洞的树干必须清理干净洞内污垢，涂药消毒后进行补洞；对洞抹上一层麻刀灰，洞大的可加入清洁的砖、石填满后，再外抹青灰或水泥，在水泥中加入颜料调色至跟原树干颜色一致。</w:t>
      </w:r>
    </w:p>
    <w:p w14:paraId="013D2CF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 修剪复壮，古树名木的修剪主要修剪干枯枝、病虫枝、下垂枝。对具潜芽且寿命长的树种，当树冠外围枝条衰老枯梢时，应该采取适当回缩修剪来更新。对无潜芽或寿命短的树种，通过深翻改土，切断1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cm以下的粗根系、刺激诱发新根（亦可配制生根粉类兑水灌断根处），促进根系更新。修剪或断根后，必须加强水肥管理。</w:t>
      </w:r>
    </w:p>
    <w:p w14:paraId="29C5CCD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11.6 对生长不均衡树主干及延伸较长的枝杈，必须加设支柱或在树干适当部位打桩，以防风折。</w:t>
      </w:r>
    </w:p>
    <w:p w14:paraId="45961BD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环境卫生</w:t>
      </w:r>
    </w:p>
    <w:p w14:paraId="5552FCA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 行道树树盘应保持清洁卫生。人行道乔木周围（直径3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m以内）不应有建筑堆积物及圈棚、摆摊，树盘内无砖块、垃圾、杂物。</w:t>
      </w:r>
    </w:p>
    <w:p w14:paraId="20096DAA">
      <w:pPr>
        <w:widowControl/>
        <w:spacing w:line="360" w:lineRule="auto"/>
        <w:ind w:firstLine="120" w:firstLineChars="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 绿地及行道树花带、分车绿带清洁卫生，不能有砖石、堆积物及修剪过后的枝叶堆积，表面无明显垃圾，分车绿带及色块内无陈旧垃圾；花坛外缘的土面应略低于花池砌边顶面，行道树花带与分车绿带外缘土面略低于路缘石顶面，不能有泥土污染周围环境。</w:t>
      </w:r>
    </w:p>
    <w:p w14:paraId="064A3E0E">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 绿地验收</w:t>
      </w:r>
    </w:p>
    <w:p w14:paraId="1EB8A6E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 绿地验收范围</w:t>
      </w:r>
    </w:p>
    <w:p w14:paraId="4238885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绿地内所种植的乔木、灌木、地被及园林设施、防护设施等附属设施。</w:t>
      </w:r>
    </w:p>
    <w:p w14:paraId="6FB6950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 绿地验收内容</w:t>
      </w:r>
    </w:p>
    <w:p w14:paraId="0F6ED08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群落结构与整体效果、植物生长、整形修剪、树盘、病虫害控制、补种与改造、环境卫生。</w:t>
      </w:r>
    </w:p>
    <w:p w14:paraId="79F9C32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 绿地养护质量要求</w:t>
      </w:r>
    </w:p>
    <w:p w14:paraId="7A3294D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13.3.1 一级绿地</w:t>
      </w:r>
    </w:p>
    <w:p w14:paraId="502C6B48">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景观优良，以植物造景为主，具景观特色，观赏效果好；养护精细，植物长势良好，各类植物配置合理。详见表A.1。</w:t>
      </w:r>
    </w:p>
    <w:p w14:paraId="73937CB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13.3.2 二级绿地</w:t>
      </w:r>
    </w:p>
    <w:p w14:paraId="192F0D3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景观良好，植物造景具一定的观赏性；植物配置合理。详见表A.2。</w:t>
      </w:r>
    </w:p>
    <w:p w14:paraId="0910044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13.3.3 三级绿地</w:t>
      </w:r>
    </w:p>
    <w:p w14:paraId="03F2F97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景观尚可，具绿化效果。详见表A.3。</w:t>
      </w:r>
    </w:p>
    <w:p w14:paraId="1D1D0816">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 分车绿带验收</w:t>
      </w:r>
    </w:p>
    <w:p w14:paraId="585C8B6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14.1 分车绿带验收范围</w:t>
      </w:r>
    </w:p>
    <w:p w14:paraId="722DC169">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包括分车绿带上的片植灌木、草本地被、草坪及行道树绿带上成带状配置的地被植物、灌木。</w:t>
      </w:r>
    </w:p>
    <w:p w14:paraId="166714E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 分车绿带验收内容</w:t>
      </w:r>
    </w:p>
    <w:p w14:paraId="3068B56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整体效果、植物生长、整形修剪、病虫害控制、补种与改造、环境卫生。</w:t>
      </w:r>
    </w:p>
    <w:p w14:paraId="643C016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 分车绿带养护质量要求</w:t>
      </w:r>
    </w:p>
    <w:p w14:paraId="4CC838F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14.3.1 一级分车绿带</w:t>
      </w:r>
    </w:p>
    <w:p w14:paraId="59D8C8A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沿主干道或主要景观道路的分车绿带，景观优良，养护精细，植物长势良好。详见表A.4。</w:t>
      </w:r>
    </w:p>
    <w:p w14:paraId="31BE6E9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14.3.2 二级分车绿带</w:t>
      </w:r>
    </w:p>
    <w:p w14:paraId="73C75BFF">
      <w:pPr>
        <w:widowControl/>
        <w:spacing w:line="360" w:lineRule="auto"/>
        <w:ind w:firstLine="3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沿次干道或次要景观道路的分车绿带，景观良好，养护较好，植物生长正常。详见表A.5。</w:t>
      </w:r>
    </w:p>
    <w:p w14:paraId="6BAB923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14.3.3 三级分车绿带</w:t>
      </w:r>
    </w:p>
    <w:p w14:paraId="311DE382">
      <w:pPr>
        <w:widowControl/>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沿一般道路或其它普通路径的分车绿带，景观尚可，养护一般，植物生长基本正常。详见表A.6。</w:t>
      </w:r>
    </w:p>
    <w:p w14:paraId="2CD62B7A">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 行道树验收</w:t>
      </w:r>
    </w:p>
    <w:p w14:paraId="59F5607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 行道树验收范围</w:t>
      </w:r>
    </w:p>
    <w:p w14:paraId="2DD27819">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行道树及间种在人行道上的孤植灌木、整形灌木。</w:t>
      </w:r>
    </w:p>
    <w:p w14:paraId="47A9A9B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 行道树验收内容</w:t>
      </w:r>
    </w:p>
    <w:p w14:paraId="7EE00BD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整体效果、植物生长、整形修剪、定干高度、树盘、病虫害控制、防护设施、补种。</w:t>
      </w:r>
    </w:p>
    <w:p w14:paraId="7F0FF16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 行道树养护质量要求</w:t>
      </w:r>
    </w:p>
    <w:p w14:paraId="33851D9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15.3.1 一级行道树</w:t>
      </w:r>
    </w:p>
    <w:p w14:paraId="7420AC0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沿主干道或主要景观路径、观赏效果好、排列整齐的乔木。详见表A.7。</w:t>
      </w:r>
    </w:p>
    <w:p w14:paraId="2363EAA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15.3.2 二级行道树</w:t>
      </w:r>
    </w:p>
    <w:p w14:paraId="44447238">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沿次干道或次要景观路径、排列整齐的乔木。详见表A.8。</w:t>
      </w:r>
    </w:p>
    <w:p w14:paraId="45874E5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15.3.3 三级行道树</w:t>
      </w:r>
    </w:p>
    <w:p w14:paraId="459619F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沿一般道路或其它普通路径、排列成行的乔木。详见表A.9。</w:t>
      </w:r>
    </w:p>
    <w:p w14:paraId="5297C87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 花坛验收</w:t>
      </w:r>
    </w:p>
    <w:p w14:paraId="3D6A011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 花坛验收范围</w:t>
      </w:r>
    </w:p>
    <w:p w14:paraId="5A2F0E3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摆放在人行道或公共绿地上的花卉、盆景、饰物及设施，及栽种在绿地、分车绿带里的时花。</w:t>
      </w:r>
    </w:p>
    <w:p w14:paraId="1D54FED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 花坛验收内容</w:t>
      </w:r>
    </w:p>
    <w:p w14:paraId="52E7AA7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整体效果、植物生长、水肥管理、病虫害控制、植株修剪、补种与更换、环境卫生。</w:t>
      </w:r>
    </w:p>
    <w:p w14:paraId="577F4D1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 花坛养护质量要求</w:t>
      </w:r>
    </w:p>
    <w:p w14:paraId="3A804D2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16.3.1 一级花坛</w:t>
      </w:r>
    </w:p>
    <w:p w14:paraId="69327B7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景观优良，具明显的景观特色；花卉养护精细，花的色泽鲜艳、应时；饰物、设施美观；花卉、饰物、设施、环境等配置相互协调。详见表A.10。</w:t>
      </w:r>
    </w:p>
    <w:p w14:paraId="57EA86A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16.3.2 二级花坛</w:t>
      </w:r>
    </w:p>
    <w:p w14:paraId="78312ED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景观良好，以花卉造景为主；养护较好，花、叶的大小、色泽正常，开花应时、整齐；饰物、设施美观。详见表A.11。</w:t>
      </w:r>
    </w:p>
    <w:p w14:paraId="443898E3">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 护坡验收</w:t>
      </w:r>
    </w:p>
    <w:p w14:paraId="19711CC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 护坡验收范围</w:t>
      </w:r>
    </w:p>
    <w:p w14:paraId="39F799F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护坡内所种植的乔木、灌木、地被、草坪及防护等附属设施。</w:t>
      </w:r>
    </w:p>
    <w:p w14:paraId="28217F5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 护坡验收内容</w:t>
      </w:r>
    </w:p>
    <w:p w14:paraId="1E248F7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同绿地。</w:t>
      </w:r>
    </w:p>
    <w:p w14:paraId="0800197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 护坡养护质量要求</w:t>
      </w:r>
    </w:p>
    <w:p w14:paraId="641826B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17.3.1 特级护坡</w:t>
      </w:r>
    </w:p>
    <w:p w14:paraId="0F6B5A3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景观优良，以植物造景为主，具景观特色；养护精细，植物长势良好。详见表A.12。</w:t>
      </w:r>
    </w:p>
    <w:p w14:paraId="222CF64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17.3.2 一级护坡</w:t>
      </w:r>
    </w:p>
    <w:p w14:paraId="07648F1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景观较好，具固土护坡作用，植物造景具一定的观赏性。详见表A.13。</w:t>
      </w:r>
    </w:p>
    <w:p w14:paraId="51AA0D3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17.3.3 二级护坡</w:t>
      </w:r>
    </w:p>
    <w:p w14:paraId="35EC2E1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景观尚可，具固定护坡作用及绿化效果，无需车辆喷淋水或人工淋水。详见表A.14。</w:t>
      </w:r>
    </w:p>
    <w:p w14:paraId="0B5ECACF">
      <w:pPr>
        <w:widowControl/>
        <w:spacing w:line="360" w:lineRule="auto"/>
        <w:ind w:firstLine="105"/>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17.3.4 三级护坡</w:t>
      </w:r>
    </w:p>
    <w:p w14:paraId="2C7ED40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具固定护坡作用及绿化效果，基本保持原自然景观。详见表A.15。</w:t>
      </w:r>
    </w:p>
    <w:p w14:paraId="1CE888EC">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 验收周期与养护质量等级认定</w:t>
      </w:r>
    </w:p>
    <w:p w14:paraId="5CE21AA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18.1 验收周期</w:t>
      </w:r>
    </w:p>
    <w:p w14:paraId="3D0B2AE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宜定期验收与平时检查相结合，定期验收宜每年4次以上。</w:t>
      </w:r>
    </w:p>
    <w:p w14:paraId="52F7AA7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18.2 养护质量等级认定</w:t>
      </w:r>
    </w:p>
    <w:p w14:paraId="7BB5AA7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根据所对应级别的养护验收质量要求，其中所含分项全部达到相应要求的即评为合格。</w:t>
      </w:r>
    </w:p>
    <w:p w14:paraId="75FBEE96">
      <w:pPr>
        <w:rPr>
          <w:rFonts w:hint="eastAsia" w:asciiTheme="minorEastAsia" w:hAnsiTheme="minorEastAsia" w:eastAsiaTheme="minorEastAsia" w:cstheme="minorEastAsia"/>
          <w:color w:val="auto"/>
          <w:sz w:val="24"/>
          <w:szCs w:val="24"/>
        </w:rPr>
        <w:sectPr>
          <w:footerReference r:id="rId14" w:type="first"/>
          <w:footerReference r:id="rId13" w:type="default"/>
          <w:pgSz w:w="11910" w:h="16840"/>
          <w:pgMar w:top="1304" w:right="1247" w:bottom="1304" w:left="1247" w:header="720" w:footer="720" w:gutter="0"/>
          <w:pgNumType w:fmt="decimal"/>
          <w:cols w:space="720" w:num="1"/>
          <w:titlePg/>
          <w:docGrid w:linePitch="286" w:charSpace="0"/>
        </w:sectPr>
      </w:pPr>
    </w:p>
    <w:p w14:paraId="17D6073F">
      <w:pPr>
        <w:pStyle w:val="182"/>
        <w:numPr>
          <w:ilvl w:val="0"/>
          <w:numId w:val="0"/>
        </w:numPr>
        <w:shd w:val="clear"/>
        <w:tabs>
          <w:tab w:val="left" w:pos="6405"/>
        </w:tabs>
        <w:ind w:lef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附录</w:t>
      </w:r>
      <w:r>
        <w:rPr>
          <w:rFonts w:hint="eastAsia" w:asciiTheme="minorEastAsia" w:hAnsiTheme="minorEastAsia" w:eastAsiaTheme="minorEastAsia" w:cstheme="minorEastAsia"/>
          <w:color w:val="auto"/>
          <w:sz w:val="24"/>
          <w:szCs w:val="24"/>
          <w:lang w:val="en-US" w:eastAsia="zh-CN"/>
        </w:rPr>
        <w:t>A</w:t>
      </w:r>
      <w:bookmarkStart w:id="61" w:name="_Toc421120714"/>
      <w:r>
        <w:rPr>
          <w:rFonts w:hint="eastAsia" w:asciiTheme="minorEastAsia" w:hAnsiTheme="minorEastAsia" w:eastAsiaTheme="minorEastAsia" w:cstheme="minorEastAsia"/>
          <w:color w:val="auto"/>
          <w:sz w:val="24"/>
          <w:szCs w:val="24"/>
        </w:rPr>
        <w:t>（规范性附录）</w:t>
      </w:r>
    </w:p>
    <w:p w14:paraId="4CB7FAA8">
      <w:pPr>
        <w:pStyle w:val="182"/>
        <w:numPr>
          <w:ilvl w:val="0"/>
          <w:numId w:val="0"/>
        </w:numPr>
        <w:shd w:val="clear"/>
        <w:tabs>
          <w:tab w:val="left" w:pos="6405"/>
        </w:tabs>
        <w:ind w:leftChar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养护质量要求</w:t>
      </w:r>
      <w:bookmarkEnd w:id="61"/>
    </w:p>
    <w:p w14:paraId="309D5CE8">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2" w:name="_Toc421120715"/>
      <w:r>
        <w:rPr>
          <w:rFonts w:hint="eastAsia" w:asciiTheme="minorEastAsia" w:hAnsiTheme="minorEastAsia" w:eastAsiaTheme="minorEastAsia" w:cstheme="minorEastAsia"/>
          <w:color w:val="auto"/>
          <w:sz w:val="24"/>
          <w:szCs w:val="24"/>
        </w:rPr>
        <w:t>一级绿地养护质量要求</w:t>
      </w:r>
      <w:bookmarkEnd w:id="62"/>
    </w:p>
    <w:p w14:paraId="24640507">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应符合表A.1的规定。</w:t>
      </w:r>
    </w:p>
    <w:p w14:paraId="538F2A0C">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 一级绿地养护质量要求表</w:t>
      </w:r>
    </w:p>
    <w:tbl>
      <w:tblPr>
        <w:tblStyle w:val="47"/>
        <w:tblW w:w="9345" w:type="dxa"/>
        <w:tblInd w:w="7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1"/>
        <w:gridCol w:w="1440"/>
        <w:gridCol w:w="7154"/>
      </w:tblGrid>
      <w:tr w14:paraId="5DC80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1" w:type="dxa"/>
            <w:tcBorders>
              <w:top w:val="single" w:color="auto" w:sz="12" w:space="0"/>
              <w:left w:val="single" w:color="auto" w:sz="12" w:space="0"/>
              <w:bottom w:val="single" w:color="auto" w:sz="12" w:space="0"/>
              <w:right w:val="single" w:color="auto" w:sz="4" w:space="0"/>
            </w:tcBorders>
            <w:noWrap w:val="0"/>
            <w:vAlign w:val="center"/>
          </w:tcPr>
          <w:p w14:paraId="4425C58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4" w:space="0"/>
              <w:bottom w:val="single" w:color="auto" w:sz="12" w:space="0"/>
              <w:right w:val="single" w:color="auto" w:sz="4" w:space="0"/>
            </w:tcBorders>
            <w:noWrap w:val="0"/>
            <w:vAlign w:val="center"/>
          </w:tcPr>
          <w:p w14:paraId="2380BD0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4" w:space="0"/>
              <w:bottom w:val="single" w:color="auto" w:sz="12" w:space="0"/>
              <w:right w:val="single" w:color="auto" w:sz="12" w:space="0"/>
            </w:tcBorders>
            <w:noWrap w:val="0"/>
            <w:vAlign w:val="center"/>
          </w:tcPr>
          <w:p w14:paraId="02CCCB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2B062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751" w:type="dxa"/>
            <w:tcBorders>
              <w:top w:val="single" w:color="auto" w:sz="12" w:space="0"/>
              <w:left w:val="single" w:color="auto" w:sz="12" w:space="0"/>
              <w:bottom w:val="single" w:color="auto" w:sz="4" w:space="0"/>
              <w:right w:val="single" w:color="auto" w:sz="4" w:space="0"/>
            </w:tcBorders>
            <w:noWrap w:val="0"/>
            <w:vAlign w:val="center"/>
          </w:tcPr>
          <w:p w14:paraId="18D50B9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4" w:space="0"/>
              <w:bottom w:val="single" w:color="auto" w:sz="4" w:space="0"/>
              <w:right w:val="single" w:color="auto" w:sz="4" w:space="0"/>
            </w:tcBorders>
            <w:noWrap w:val="0"/>
            <w:vAlign w:val="center"/>
          </w:tcPr>
          <w:p w14:paraId="694F038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7154" w:type="dxa"/>
            <w:tcBorders>
              <w:top w:val="single" w:color="auto" w:sz="12" w:space="0"/>
              <w:left w:val="single" w:color="auto" w:sz="4" w:space="0"/>
              <w:bottom w:val="single" w:color="auto" w:sz="4" w:space="0"/>
              <w:right w:val="single" w:color="auto" w:sz="12" w:space="0"/>
            </w:tcBorders>
            <w:noWrap w:val="0"/>
            <w:vAlign w:val="center"/>
          </w:tcPr>
          <w:p w14:paraId="0BB3833D">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植物配置合理、层次丰富，植株生长空间与层次处理得当，具有完整的群落结构，绿量大，基本无积尘，整体观赏效果优良。</w:t>
            </w:r>
          </w:p>
        </w:tc>
      </w:tr>
      <w:tr w14:paraId="48903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762E88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90B6C7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22A0BF4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生长良好，符合物候状况，叶的颜色、形状、大小正常，树体自然；观花植物适时开花，花期基本一致。达标率＞95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534E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8"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033F35B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C3E301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63E9AB6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干枯枝、缠绕物、钉挂物，分枝合理，树冠匀称，观赏效果良好。整型乔灌木：按要求养成并维持一定形态，生长茂密，脚叶丰满。形态优美。孤植灌木：按要求养成观花或观叶形态，同一品种物候基本一致，树形美观，无枯枝。片植灌木：图形清晰、线条明显、流畅，无明显杂草。草本地被为常绿观花或观叶形态，整体基本整齐，基本无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7202D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1799D9A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328C5B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184DE2A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有地被树盘：其形状、大小整齐规范，满盘，不攀缠植株，无明显杂草、杂物。无地被树盘：大小合适，边线整齐，土壤疏松、细碎，基本无杂草、杂物。达标率＞95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9049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52180CC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7F2BE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035ECE7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观赏性草坪，青绿无枯黄，无大型杂草和异型杂草，目的草种纯度95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以上。开放类草坪，生长季节青绿，无明显枯黄现象，无大型杂草，目的草种纯度90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以上。草坪平整不起团，高度在8cm以下；无明显坑洼、小洞，草坪边缘线（与路面、色块交界处）清晰。达标率＞95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14E0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0FF41F6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6107BE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5DEB4D2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061B8CA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基本无危害迹象；病虫害总为害率＜10%，其中蛀干、根部害虫、食叶性害虫＜5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，基本无寄生，病害感染率＜5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BA92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40135C2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599304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594C364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0923C8F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；花坛色块中的时花及时换种，保持常年有花。</w:t>
            </w:r>
          </w:p>
        </w:tc>
      </w:tr>
      <w:tr w14:paraId="30425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76359CC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5422AE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4C84BF9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建筑小品、辅助设施整洁无损；水池无悬浮物，水体清洁；无死树、残桩头、堆积物；无明显垃圾，基本无果皮、烟头、瓜子壳、纸屑等垃圾。达标率＞95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27CD7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6" w:hRule="atLeast"/>
        </w:trPr>
        <w:tc>
          <w:tcPr>
            <w:tcW w:w="9345" w:type="dxa"/>
            <w:gridSpan w:val="3"/>
            <w:tcBorders>
              <w:top w:val="single" w:color="auto" w:sz="4" w:space="0"/>
              <w:left w:val="single" w:color="auto" w:sz="12" w:space="0"/>
              <w:bottom w:val="single" w:color="auto" w:sz="12" w:space="0"/>
              <w:right w:val="single" w:color="auto" w:sz="12" w:space="0"/>
            </w:tcBorders>
            <w:noWrap w:val="0"/>
            <w:vAlign w:val="center"/>
          </w:tcPr>
          <w:p w14:paraId="276BE38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注：达标率指乔木、灌木、地被、草坪等被检目标达到相应要求的植株数（或面积）占总株数（或总面积）的百分比。</w:t>
            </w:r>
          </w:p>
        </w:tc>
      </w:tr>
    </w:tbl>
    <w:p w14:paraId="5367B85D">
      <w:pPr>
        <w:pStyle w:val="178"/>
        <w:ind w:firstLine="420"/>
        <w:rPr>
          <w:rFonts w:hint="eastAsia" w:asciiTheme="minorEastAsia" w:hAnsiTheme="minorEastAsia" w:eastAsiaTheme="minorEastAsia" w:cstheme="minorEastAsia"/>
          <w:color w:val="auto"/>
          <w:kern w:val="21"/>
          <w:sz w:val="24"/>
          <w:szCs w:val="24"/>
        </w:rPr>
      </w:pPr>
    </w:p>
    <w:p w14:paraId="7D2C7A13">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3" w:name="_Toc421120716"/>
      <w:r>
        <w:rPr>
          <w:rFonts w:hint="eastAsia" w:asciiTheme="minorEastAsia" w:hAnsiTheme="minorEastAsia" w:eastAsiaTheme="minorEastAsia" w:cstheme="minorEastAsia"/>
          <w:color w:val="auto"/>
          <w:sz w:val="24"/>
          <w:szCs w:val="24"/>
        </w:rPr>
        <w:t>二级绿地养护质量要求</w:t>
      </w:r>
      <w:bookmarkEnd w:id="63"/>
    </w:p>
    <w:p w14:paraId="2147C224">
      <w:pPr>
        <w:pStyle w:val="178"/>
        <w:ind w:firstLine="42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应符合表A.2的规定。</w:t>
      </w:r>
      <w:r>
        <w:rPr>
          <w:rFonts w:hint="eastAsia" w:asciiTheme="minorEastAsia" w:hAnsiTheme="minorEastAsia" w:eastAsiaTheme="minorEastAsia" w:cstheme="minorEastAsia"/>
          <w:color w:val="auto"/>
          <w:sz w:val="24"/>
          <w:szCs w:val="24"/>
          <w:lang w:val="en-US" w:eastAsia="zh-CN"/>
        </w:rPr>
        <w:t xml:space="preserve"> </w:t>
      </w:r>
    </w:p>
    <w:p w14:paraId="763922DD">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表A.2  二级绿地养护质量要求表</w:t>
      </w:r>
    </w:p>
    <w:tbl>
      <w:tblPr>
        <w:tblStyle w:val="4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440"/>
        <w:gridCol w:w="6900"/>
      </w:tblGrid>
      <w:tr w14:paraId="6643A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tcBorders>
              <w:top w:val="single" w:color="auto" w:sz="12" w:space="0"/>
              <w:left w:val="single" w:color="auto" w:sz="12" w:space="0"/>
              <w:bottom w:val="single" w:color="auto" w:sz="12" w:space="0"/>
              <w:right w:val="single" w:color="auto" w:sz="4" w:space="0"/>
            </w:tcBorders>
            <w:noWrap w:val="0"/>
            <w:vAlign w:val="center"/>
          </w:tcPr>
          <w:p w14:paraId="51C6354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1440" w:type="dxa"/>
            <w:tcBorders>
              <w:top w:val="single" w:color="auto" w:sz="12" w:space="0"/>
              <w:left w:val="single" w:color="auto" w:sz="4" w:space="0"/>
              <w:bottom w:val="single" w:color="auto" w:sz="12" w:space="0"/>
              <w:right w:val="single" w:color="auto" w:sz="4" w:space="0"/>
            </w:tcBorders>
            <w:noWrap w:val="0"/>
            <w:vAlign w:val="center"/>
          </w:tcPr>
          <w:p w14:paraId="638EF66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6900" w:type="dxa"/>
            <w:tcBorders>
              <w:top w:val="single" w:color="auto" w:sz="12" w:space="0"/>
              <w:left w:val="single" w:color="auto" w:sz="4" w:space="0"/>
              <w:bottom w:val="single" w:color="auto" w:sz="12" w:space="0"/>
              <w:right w:val="single" w:color="auto" w:sz="12" w:space="0"/>
            </w:tcBorders>
            <w:noWrap w:val="0"/>
            <w:vAlign w:val="center"/>
          </w:tcPr>
          <w:p w14:paraId="19A1532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4A913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0" w:type="dxa"/>
            <w:tcBorders>
              <w:top w:val="single" w:color="auto" w:sz="12" w:space="0"/>
              <w:left w:val="single" w:color="auto" w:sz="12" w:space="0"/>
              <w:bottom w:val="single" w:color="auto" w:sz="4" w:space="0"/>
              <w:right w:val="single" w:color="auto" w:sz="4" w:space="0"/>
            </w:tcBorders>
            <w:noWrap w:val="0"/>
            <w:vAlign w:val="center"/>
          </w:tcPr>
          <w:p w14:paraId="6494131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4" w:space="0"/>
              <w:bottom w:val="single" w:color="auto" w:sz="4" w:space="0"/>
              <w:right w:val="single" w:color="auto" w:sz="4" w:space="0"/>
            </w:tcBorders>
            <w:noWrap w:val="0"/>
            <w:vAlign w:val="center"/>
          </w:tcPr>
          <w:p w14:paraId="2173C21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6900" w:type="dxa"/>
            <w:tcBorders>
              <w:top w:val="single" w:color="auto" w:sz="12" w:space="0"/>
              <w:left w:val="single" w:color="auto" w:sz="4" w:space="0"/>
              <w:bottom w:val="single" w:color="auto" w:sz="4" w:space="0"/>
              <w:right w:val="single" w:color="auto" w:sz="12" w:space="0"/>
            </w:tcBorders>
            <w:noWrap w:val="0"/>
            <w:vAlign w:val="center"/>
          </w:tcPr>
          <w:p w14:paraId="70EA0D4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植物配置合理、层次较丰富，植株生长空间与层次处理得当，具有较完整的群落结构，积尘少，整体观赏效果良好。</w:t>
            </w:r>
          </w:p>
        </w:tc>
      </w:tr>
      <w:tr w14:paraId="70EFD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0A0E34E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1B1876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5C90BFB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植株生长良好，符合物候状况，叶的颜色、形状、大小正常，树体正直不偏斜；观花植物适时开花。达标率＞90</w:t>
            </w:r>
            <w:r>
              <w:rPr>
                <w:rFonts w:hint="eastAsia" w:asciiTheme="minorEastAsia" w:hAnsiTheme="minorEastAsia" w:eastAsiaTheme="minorEastAsia" w:cstheme="minorEastAsia"/>
                <w:color w:val="auto"/>
                <w:spacing w:val="-30"/>
                <w:sz w:val="24"/>
                <w:szCs w:val="24"/>
              </w:rPr>
              <w:t xml:space="preserve"> ％</w:t>
            </w:r>
          </w:p>
        </w:tc>
      </w:tr>
      <w:tr w14:paraId="54AAF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58707DE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EB7E5B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32AB8FF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干枯枝、缠绕物、钉挂物，树冠匀称，具良好观赏效果；整形乔灌木：按要求养成并维持一定形态，生长茂密，脚叶丰满形态良好；一般孤植灌木：按要求养成观花或观叶形态，树形良好，无枯枝；片植灌木：图形清晰、线条明显、流畅，无明显杂草；地被植物常绿、整洁，无明显杂草、枯黄叶。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EF28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5C12271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40E989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59BB37E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有地被树盘：其形状、大小整齐规范，满盘，不攀缠植株；无明显杂草、杂物。无地被树盘：大小合适，边线整齐，土壤疏松、细碎，无明显杂草、杂物。达标率＞90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578F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4"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07BFA25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298BBA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6FE1E5A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观赏性草坪，生长季节青绿无枯黄，无大型杂草和异型杂草，目的草种纯度90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以上。开放类草坪，生长季节青绿，无明显枯黄现象，无大型杂草，目的草种纯度85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以上。各类草坪均要求平整，无明显起团，高度在8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cm以下；无明显坑洼，草坪边缘线基本清晰。达标率＞90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436A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5B0FD14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8559DD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1D1FDF2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1D5DF91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无明显危害迹象；总的病虫害为害率＜15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，食叶害虫＜10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084ACF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1373B44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A2CF71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4517D2B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4832FB2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；花坛色块中的时花及时换种，一年中6个月以上有花观赏。</w:t>
            </w:r>
          </w:p>
        </w:tc>
      </w:tr>
      <w:tr w14:paraId="7005E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8" w:space="0"/>
              <w:right w:val="single" w:color="auto" w:sz="4" w:space="0"/>
            </w:tcBorders>
            <w:noWrap w:val="0"/>
            <w:vAlign w:val="center"/>
          </w:tcPr>
          <w:p w14:paraId="5394AAF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4" w:space="0"/>
              <w:left w:val="single" w:color="auto" w:sz="4" w:space="0"/>
              <w:bottom w:val="single" w:color="auto" w:sz="8" w:space="0"/>
              <w:right w:val="single" w:color="auto" w:sz="4" w:space="0"/>
            </w:tcBorders>
            <w:noWrap w:val="0"/>
            <w:vAlign w:val="center"/>
          </w:tcPr>
          <w:p w14:paraId="27DFEE9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6900" w:type="dxa"/>
            <w:tcBorders>
              <w:top w:val="single" w:color="auto" w:sz="4" w:space="0"/>
              <w:left w:val="single" w:color="auto" w:sz="4" w:space="0"/>
              <w:bottom w:val="single" w:color="auto" w:sz="8" w:space="0"/>
              <w:right w:val="single" w:color="auto" w:sz="12" w:space="0"/>
            </w:tcBorders>
            <w:noWrap w:val="0"/>
            <w:vAlign w:val="center"/>
          </w:tcPr>
          <w:p w14:paraId="3A6DF00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绿地设施完好、整洁；无死树、残桩头及陈旧堆积物；水池无明显悬浮物，水体基本清洁；无明显垃圾，基本无果皮、烟头、瓜子壳、纸屑等垃圾。达标率＞90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6864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2" w:hRule="atLeast"/>
        </w:trPr>
        <w:tc>
          <w:tcPr>
            <w:tcW w:w="9240" w:type="dxa"/>
            <w:gridSpan w:val="3"/>
            <w:tcBorders>
              <w:top w:val="single" w:color="auto" w:sz="8" w:space="0"/>
              <w:left w:val="single" w:color="auto" w:sz="12" w:space="0"/>
              <w:bottom w:val="single" w:color="auto" w:sz="12" w:space="0"/>
              <w:right w:val="single" w:color="auto" w:sz="12" w:space="0"/>
            </w:tcBorders>
            <w:noWrap w:val="0"/>
            <w:vAlign w:val="center"/>
          </w:tcPr>
          <w:p w14:paraId="5554C0D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1494A74">
      <w:pPr>
        <w:pStyle w:val="184"/>
        <w:numPr>
          <w:ilvl w:val="0"/>
          <w:numId w:val="0"/>
        </w:numPr>
        <w:wordWrap/>
        <w:spacing w:before="156"/>
        <w:ind w:firstLine="2520" w:firstLineChars="1050"/>
        <w:rPr>
          <w:rFonts w:hint="eastAsia" w:asciiTheme="minorEastAsia" w:hAnsiTheme="minorEastAsia" w:eastAsiaTheme="minorEastAsia" w:cstheme="minorEastAsia"/>
          <w:color w:val="auto"/>
          <w:sz w:val="24"/>
          <w:szCs w:val="24"/>
        </w:rPr>
      </w:pPr>
    </w:p>
    <w:p w14:paraId="4A452323">
      <w:pPr>
        <w:pStyle w:val="178"/>
        <w:rPr>
          <w:rFonts w:hint="eastAsia"/>
          <w:color w:val="auto"/>
        </w:rPr>
        <w:sectPr>
          <w:pgSz w:w="11910" w:h="16840"/>
          <w:pgMar w:top="1440" w:right="1080" w:bottom="1440" w:left="1080" w:header="720" w:footer="720" w:gutter="0"/>
          <w:pgNumType w:fmt="decimal"/>
          <w:cols w:space="720" w:num="1"/>
          <w:titlePg/>
          <w:docGrid w:linePitch="286" w:charSpace="0"/>
        </w:sectPr>
      </w:pPr>
    </w:p>
    <w:p w14:paraId="673FCA4C">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4" w:name="_Toc421120717"/>
      <w:r>
        <w:rPr>
          <w:rFonts w:hint="eastAsia" w:asciiTheme="minorEastAsia" w:hAnsiTheme="minorEastAsia" w:eastAsiaTheme="minorEastAsia" w:cstheme="minorEastAsia"/>
          <w:color w:val="auto"/>
          <w:sz w:val="24"/>
          <w:szCs w:val="24"/>
        </w:rPr>
        <w:t>三级绿地养护质量要求</w:t>
      </w:r>
      <w:bookmarkEnd w:id="64"/>
    </w:p>
    <w:p w14:paraId="590DBEE6">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应符合表A.3的规定。</w:t>
      </w:r>
    </w:p>
    <w:p w14:paraId="5C1FA340">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表A.3  三级绿地养护质量要求表</w:t>
      </w:r>
    </w:p>
    <w:tbl>
      <w:tblPr>
        <w:tblStyle w:val="47"/>
        <w:tblW w:w="0" w:type="auto"/>
        <w:tblInd w:w="7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399"/>
        <w:gridCol w:w="7318"/>
      </w:tblGrid>
      <w:tr w14:paraId="299E9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1" w:type="dxa"/>
            <w:tcBorders>
              <w:top w:val="single" w:color="auto" w:sz="12" w:space="0"/>
              <w:left w:val="single" w:color="auto" w:sz="12" w:space="0"/>
              <w:bottom w:val="single" w:color="auto" w:sz="12" w:space="0"/>
              <w:right w:val="single" w:color="auto" w:sz="4" w:space="0"/>
            </w:tcBorders>
            <w:noWrap w:val="0"/>
            <w:vAlign w:val="center"/>
          </w:tcPr>
          <w:p w14:paraId="67B0109B">
            <w:pPr>
              <w:jc w:val="center"/>
              <w:rPr>
                <w:rFonts w:hint="eastAsia"/>
                <w:color w:val="auto"/>
              </w:rPr>
            </w:pPr>
            <w:r>
              <w:rPr>
                <w:rFonts w:hint="eastAsia" w:asciiTheme="minorEastAsia" w:hAnsiTheme="minorEastAsia" w:eastAsiaTheme="minorEastAsia" w:cstheme="minorEastAsia"/>
                <w:b/>
                <w:bCs/>
                <w:color w:val="auto"/>
                <w:sz w:val="24"/>
                <w:szCs w:val="24"/>
              </w:rPr>
              <w:t>序号</w:t>
            </w:r>
          </w:p>
        </w:tc>
        <w:tc>
          <w:tcPr>
            <w:tcW w:w="1399" w:type="dxa"/>
            <w:tcBorders>
              <w:top w:val="single" w:color="auto" w:sz="12" w:space="0"/>
              <w:left w:val="single" w:color="auto" w:sz="4" w:space="0"/>
              <w:bottom w:val="single" w:color="auto" w:sz="12" w:space="0"/>
              <w:right w:val="single" w:color="auto" w:sz="4" w:space="0"/>
            </w:tcBorders>
            <w:noWrap w:val="0"/>
            <w:vAlign w:val="center"/>
          </w:tcPr>
          <w:p w14:paraId="43C38D63">
            <w:pPr>
              <w:jc w:val="center"/>
              <w:rPr>
                <w:rFonts w:hint="eastAsia"/>
                <w:color w:val="auto"/>
              </w:rPr>
            </w:pPr>
            <w:r>
              <w:rPr>
                <w:rFonts w:hint="eastAsia" w:asciiTheme="minorEastAsia" w:hAnsiTheme="minorEastAsia" w:eastAsiaTheme="minorEastAsia" w:cstheme="minorEastAsia"/>
                <w:b/>
                <w:bCs/>
                <w:color w:val="auto"/>
                <w:sz w:val="24"/>
                <w:szCs w:val="24"/>
              </w:rPr>
              <w:t>项目</w:t>
            </w:r>
          </w:p>
        </w:tc>
        <w:tc>
          <w:tcPr>
            <w:tcW w:w="7318" w:type="dxa"/>
            <w:tcBorders>
              <w:top w:val="single" w:color="auto" w:sz="12" w:space="0"/>
              <w:left w:val="single" w:color="auto" w:sz="4" w:space="0"/>
              <w:bottom w:val="single" w:color="auto" w:sz="12" w:space="0"/>
              <w:right w:val="single" w:color="auto" w:sz="12" w:space="0"/>
            </w:tcBorders>
            <w:noWrap w:val="0"/>
            <w:vAlign w:val="center"/>
          </w:tcPr>
          <w:p w14:paraId="2707DF18">
            <w:pPr>
              <w:jc w:val="center"/>
              <w:rPr>
                <w:rFonts w:hint="eastAsia"/>
                <w:color w:val="auto"/>
              </w:rPr>
            </w:pPr>
            <w:r>
              <w:rPr>
                <w:rFonts w:hint="eastAsia" w:asciiTheme="minorEastAsia" w:hAnsiTheme="minorEastAsia" w:eastAsiaTheme="minorEastAsia" w:cstheme="minorEastAsia"/>
                <w:b/>
                <w:bCs/>
                <w:color w:val="auto"/>
                <w:sz w:val="24"/>
                <w:szCs w:val="24"/>
              </w:rPr>
              <w:t>质量要求</w:t>
            </w:r>
          </w:p>
        </w:tc>
      </w:tr>
      <w:tr w14:paraId="13FF8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61" w:type="dxa"/>
            <w:tcBorders>
              <w:top w:val="single" w:color="auto" w:sz="12" w:space="0"/>
              <w:left w:val="single" w:color="auto" w:sz="12" w:space="0"/>
              <w:bottom w:val="single" w:color="auto" w:sz="4" w:space="0"/>
              <w:right w:val="single" w:color="auto" w:sz="4" w:space="0"/>
            </w:tcBorders>
            <w:noWrap w:val="0"/>
            <w:vAlign w:val="center"/>
          </w:tcPr>
          <w:p w14:paraId="54BC783B">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99" w:type="dxa"/>
            <w:tcBorders>
              <w:top w:val="single" w:color="auto" w:sz="12" w:space="0"/>
              <w:left w:val="single" w:color="auto" w:sz="4" w:space="0"/>
              <w:bottom w:val="single" w:color="auto" w:sz="4" w:space="0"/>
              <w:right w:val="single" w:color="auto" w:sz="4" w:space="0"/>
            </w:tcBorders>
            <w:noWrap w:val="0"/>
            <w:vAlign w:val="center"/>
          </w:tcPr>
          <w:p w14:paraId="6F3AAE12">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7318" w:type="dxa"/>
            <w:tcBorders>
              <w:top w:val="single" w:color="auto" w:sz="12" w:space="0"/>
              <w:left w:val="single" w:color="auto" w:sz="4" w:space="0"/>
              <w:bottom w:val="single" w:color="auto" w:sz="4" w:space="0"/>
              <w:right w:val="single" w:color="auto" w:sz="12" w:space="0"/>
            </w:tcBorders>
            <w:noWrap w:val="0"/>
            <w:vAlign w:val="center"/>
          </w:tcPr>
          <w:p w14:paraId="3163A513">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植物配置基本合理，积尘少，具绿化效果和一定的观赏效果。</w:t>
            </w:r>
          </w:p>
        </w:tc>
      </w:tr>
      <w:tr w14:paraId="1E0A1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1881D7AC">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07D97D30">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CA879E8">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植物生长良好，符合物候状况，叶的颜色、形状、大小正常，树体基本正直。达标率＞85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627A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0AEDC1B7">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1EF2801E">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EC2BDE3">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大的干枯枝、病虫枝、过密枝，树冠匀称，观赏效果较好。孤植灌木按观赏要求养成一定形态，无明显枯枝，生长茂密，脚叶丰满具有一定的观赏效果；片植灌木：图形清晰、线条明显，无明显杂草；地被常绿，无明显枯黄叶、杂草，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AD05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644FBD4B">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164BF6FC">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094FB47D">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有地被树盘：其形状、大小基本一致，基本满盘；不攀缠植株，无明显杂草、杂物。无地被树盘：大小合适，土壤疏松；无明显杂草、杂物。达标率＞85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E0AE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6A09B308">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23842ABC">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2005C80">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生长季节青绿，无明显枯黄现象；基本无大型杂草，目的草种纯度85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cm以下，边缘线基本清晰。达标率＞85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2BDA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52E6A451">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571DA558">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355C4168">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E9BCE09">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无严重病虫危害迹象；病虫为害率＜25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2092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03914731">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136EA3EC">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56FA337C">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C51B117">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4B5EE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761" w:type="dxa"/>
            <w:tcBorders>
              <w:top w:val="single" w:color="auto" w:sz="4" w:space="0"/>
              <w:left w:val="single" w:color="auto" w:sz="12" w:space="0"/>
              <w:bottom w:val="single" w:color="auto" w:sz="8" w:space="0"/>
              <w:right w:val="single" w:color="auto" w:sz="4" w:space="0"/>
            </w:tcBorders>
            <w:noWrap w:val="0"/>
            <w:vAlign w:val="center"/>
          </w:tcPr>
          <w:p w14:paraId="5A6E1625">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399" w:type="dxa"/>
            <w:tcBorders>
              <w:top w:val="single" w:color="auto" w:sz="4" w:space="0"/>
              <w:left w:val="single" w:color="auto" w:sz="4" w:space="0"/>
              <w:bottom w:val="single" w:color="auto" w:sz="8" w:space="0"/>
              <w:right w:val="single" w:color="auto" w:sz="4" w:space="0"/>
            </w:tcBorders>
            <w:noWrap w:val="0"/>
            <w:vAlign w:val="center"/>
          </w:tcPr>
          <w:p w14:paraId="52F33D2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318" w:type="dxa"/>
            <w:tcBorders>
              <w:top w:val="single" w:color="auto" w:sz="4" w:space="0"/>
              <w:left w:val="single" w:color="auto" w:sz="4" w:space="0"/>
              <w:bottom w:val="single" w:color="auto" w:sz="8" w:space="0"/>
              <w:right w:val="single" w:color="auto" w:sz="12" w:space="0"/>
            </w:tcBorders>
            <w:noWrap w:val="0"/>
            <w:vAlign w:val="center"/>
          </w:tcPr>
          <w:p w14:paraId="0262586A">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绿地设施基本完好、整洁；无死树、残桩头及陈旧堆积物；远观无明显垃圾，基本无果皮、烟头、瓜子壳、纸屑等垃圾。达标率＞85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5725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9478" w:type="dxa"/>
            <w:gridSpan w:val="3"/>
            <w:tcBorders>
              <w:top w:val="single" w:color="auto" w:sz="8" w:space="0"/>
              <w:left w:val="single" w:color="auto" w:sz="12" w:space="0"/>
              <w:bottom w:val="single" w:color="auto" w:sz="12" w:space="0"/>
              <w:right w:val="single" w:color="auto" w:sz="12" w:space="0"/>
            </w:tcBorders>
            <w:noWrap w:val="0"/>
            <w:vAlign w:val="center"/>
          </w:tcPr>
          <w:p w14:paraId="70C56B46">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7434D9BE">
      <w:pPr>
        <w:pStyle w:val="184"/>
        <w:numPr>
          <w:ilvl w:val="0"/>
          <w:numId w:val="0"/>
        </w:numPr>
        <w:spacing w:before="156"/>
        <w:ind w:leftChars="0"/>
        <w:rPr>
          <w:rFonts w:hint="eastAsia" w:asciiTheme="minorEastAsia" w:hAnsiTheme="minorEastAsia" w:eastAsiaTheme="minorEastAsia" w:cstheme="minorEastAsia"/>
          <w:color w:val="auto"/>
          <w:sz w:val="24"/>
          <w:szCs w:val="24"/>
        </w:rPr>
        <w:sectPr>
          <w:pgSz w:w="11910" w:h="16840"/>
          <w:pgMar w:top="1440" w:right="1080" w:bottom="1440" w:left="1080" w:header="720" w:footer="720" w:gutter="0"/>
          <w:pgNumType w:fmt="decimal"/>
          <w:cols w:space="720" w:num="1"/>
          <w:titlePg/>
          <w:docGrid w:linePitch="286" w:charSpace="0"/>
        </w:sectPr>
      </w:pPr>
      <w:bookmarkStart w:id="65" w:name="_Toc421120718"/>
    </w:p>
    <w:p w14:paraId="38FB2FE4">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一级分车绿带养护质量要求</w:t>
      </w:r>
      <w:bookmarkEnd w:id="65"/>
    </w:p>
    <w:p w14:paraId="4B8F2A66">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应符合表A.4的规定。</w:t>
      </w:r>
    </w:p>
    <w:p w14:paraId="1162186F">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表A.4 一级分车绿带养护质量要求表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109"/>
        <w:gridCol w:w="7381"/>
      </w:tblGrid>
      <w:tr w14:paraId="1D663F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07"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26230748">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109" w:type="dxa"/>
            <w:tcBorders>
              <w:top w:val="single" w:color="auto" w:sz="12" w:space="0"/>
              <w:left w:val="single" w:color="auto" w:sz="2" w:space="0"/>
              <w:bottom w:val="single" w:color="auto" w:sz="12" w:space="0"/>
              <w:right w:val="single" w:color="auto" w:sz="2" w:space="0"/>
            </w:tcBorders>
            <w:noWrap w:val="0"/>
            <w:vAlign w:val="center"/>
          </w:tcPr>
          <w:p w14:paraId="47D35707">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381" w:type="dxa"/>
            <w:tcBorders>
              <w:top w:val="single" w:color="auto" w:sz="12" w:space="0"/>
              <w:left w:val="single" w:color="auto" w:sz="2" w:space="0"/>
              <w:bottom w:val="single" w:color="auto" w:sz="12" w:space="0"/>
              <w:right w:val="single" w:color="auto" w:sz="12" w:space="0"/>
            </w:tcBorders>
            <w:noWrap w:val="0"/>
            <w:vAlign w:val="center"/>
          </w:tcPr>
          <w:p w14:paraId="28C42A0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6EB1830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0DAD477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109" w:type="dxa"/>
            <w:tcBorders>
              <w:top w:val="single" w:color="auto" w:sz="12" w:space="0"/>
              <w:left w:val="single" w:color="auto" w:sz="2" w:space="0"/>
              <w:bottom w:val="single" w:color="auto" w:sz="2" w:space="0"/>
              <w:right w:val="single" w:color="auto" w:sz="2" w:space="0"/>
            </w:tcBorders>
            <w:noWrap w:val="0"/>
            <w:vAlign w:val="center"/>
          </w:tcPr>
          <w:p w14:paraId="1EE8269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381" w:type="dxa"/>
            <w:tcBorders>
              <w:top w:val="single" w:color="auto" w:sz="12" w:space="0"/>
              <w:left w:val="single" w:color="auto" w:sz="2" w:space="0"/>
              <w:bottom w:val="single" w:color="auto" w:sz="2" w:space="0"/>
              <w:right w:val="single" w:color="auto" w:sz="12" w:space="0"/>
            </w:tcBorders>
            <w:noWrap w:val="0"/>
            <w:vAlign w:val="center"/>
          </w:tcPr>
          <w:p w14:paraId="1B1AF00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植株生长空间与层次处理得当，基本无积尘，整体观赏效果良好。</w:t>
            </w:r>
          </w:p>
        </w:tc>
      </w:tr>
      <w:tr w14:paraId="6F23194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676692D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200A492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1976F8F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植物生长良好，符合物候状况，叶的颜色、形状、大小正常，植株正直；观花植物适时开花，花色艳丽，花期基本一致。达标率＞95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FD1BA8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B7CFD0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785964A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0654BA7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整形片植灌木：图形清晰、优美，线条明显、流畅，无明显杂草；非整形片植灌木和草本地被按要求养成常绿、观花或观叶形态，整体基本整齐，基本无枯黄叶、杂草。达标率＞95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5B88D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AE1BF6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0F94140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4701C24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草坪青绿，无明显枯黄现象；无大型杂草，目的草种纯度95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以上；草坪平整，基本无起团，高度控制在8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cm以下；无明显坑洼、小洞，草坪边缘线清晰。达标率＞95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92829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5D262A4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0FB46639">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w:t>
            </w:r>
          </w:p>
          <w:p w14:paraId="399F7048">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控制</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70D83833">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，基本无寄生。</w:t>
            </w:r>
          </w:p>
        </w:tc>
      </w:tr>
      <w:tr w14:paraId="23C110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B1D1182">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333EEA8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37493C4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；花坛色块中的时花及时换种，保持常年有花。 </w:t>
            </w:r>
          </w:p>
        </w:tc>
      </w:tr>
      <w:tr w14:paraId="212511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5A9BCCF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109" w:type="dxa"/>
            <w:tcBorders>
              <w:top w:val="single" w:color="auto" w:sz="2" w:space="0"/>
              <w:left w:val="single" w:color="auto" w:sz="2" w:space="0"/>
              <w:bottom w:val="single" w:color="auto" w:sz="8" w:space="0"/>
              <w:right w:val="single" w:color="auto" w:sz="2" w:space="0"/>
            </w:tcBorders>
            <w:noWrap w:val="0"/>
            <w:vAlign w:val="center"/>
          </w:tcPr>
          <w:p w14:paraId="36A81EE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381" w:type="dxa"/>
            <w:tcBorders>
              <w:top w:val="single" w:color="auto" w:sz="2" w:space="0"/>
              <w:left w:val="single" w:color="auto" w:sz="2" w:space="0"/>
              <w:bottom w:val="single" w:color="auto" w:sz="8" w:space="0"/>
              <w:right w:val="single" w:color="auto" w:sz="12" w:space="0"/>
            </w:tcBorders>
            <w:noWrap w:val="0"/>
            <w:vAlign w:val="center"/>
          </w:tcPr>
          <w:p w14:paraId="35DBF20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分车带的色块及草坪上无散落枝叶、泥土、堆积物；泥土面略低于路沿石，色块里无石头、砖块。达标率＞95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00C371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66"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50E85E1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26973052">
      <w:pPr>
        <w:pStyle w:val="184"/>
        <w:numPr>
          <w:ilvl w:val="0"/>
          <w:numId w:val="0"/>
        </w:numPr>
        <w:spacing w:before="156"/>
        <w:rPr>
          <w:rFonts w:hint="eastAsia" w:asciiTheme="minorEastAsia" w:hAnsiTheme="minorEastAsia" w:eastAsiaTheme="minorEastAsia" w:cstheme="minorEastAsia"/>
          <w:color w:val="auto"/>
          <w:sz w:val="24"/>
          <w:szCs w:val="24"/>
        </w:rPr>
      </w:pPr>
    </w:p>
    <w:p w14:paraId="786AAC82">
      <w:pPr>
        <w:pStyle w:val="178"/>
        <w:rPr>
          <w:rFonts w:hint="eastAsia" w:asciiTheme="minorEastAsia" w:hAnsiTheme="minorEastAsia" w:eastAsiaTheme="minorEastAsia" w:cstheme="minorEastAsia"/>
          <w:color w:val="auto"/>
          <w:sz w:val="24"/>
          <w:szCs w:val="24"/>
        </w:rPr>
      </w:pPr>
    </w:p>
    <w:p w14:paraId="31115FAC">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6" w:name="_Toc421120719"/>
      <w:r>
        <w:rPr>
          <w:rFonts w:hint="eastAsia" w:asciiTheme="minorEastAsia" w:hAnsiTheme="minorEastAsia" w:eastAsiaTheme="minorEastAsia" w:cstheme="minorEastAsia"/>
          <w:color w:val="auto"/>
          <w:sz w:val="24"/>
          <w:szCs w:val="24"/>
        </w:rPr>
        <w:t>二级分车绿带养护质量要求</w:t>
      </w:r>
      <w:bookmarkEnd w:id="66"/>
    </w:p>
    <w:p w14:paraId="3FB74DAE">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应符合表A.5的规定。</w:t>
      </w:r>
    </w:p>
    <w:p w14:paraId="36B02209">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表A.5 二级分车绿带养护质量要求表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86"/>
        <w:gridCol w:w="1381"/>
        <w:gridCol w:w="7078"/>
      </w:tblGrid>
      <w:tr w14:paraId="64E5B7A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8" w:hRule="atLeast"/>
        </w:trPr>
        <w:tc>
          <w:tcPr>
            <w:tcW w:w="886" w:type="dxa"/>
            <w:tcBorders>
              <w:top w:val="single" w:color="auto" w:sz="12" w:space="0"/>
              <w:left w:val="single" w:color="auto" w:sz="12" w:space="0"/>
              <w:bottom w:val="single" w:color="auto" w:sz="12" w:space="0"/>
              <w:right w:val="single" w:color="auto" w:sz="2" w:space="0"/>
            </w:tcBorders>
            <w:noWrap w:val="0"/>
            <w:vAlign w:val="center"/>
          </w:tcPr>
          <w:p w14:paraId="00E6BD59">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81" w:type="dxa"/>
            <w:tcBorders>
              <w:top w:val="single" w:color="auto" w:sz="12" w:space="0"/>
              <w:left w:val="single" w:color="auto" w:sz="2" w:space="0"/>
              <w:bottom w:val="single" w:color="auto" w:sz="12" w:space="0"/>
              <w:right w:val="single" w:color="auto" w:sz="2" w:space="0"/>
            </w:tcBorders>
            <w:noWrap w:val="0"/>
            <w:vAlign w:val="center"/>
          </w:tcPr>
          <w:p w14:paraId="209A51B2">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078" w:type="dxa"/>
            <w:tcBorders>
              <w:top w:val="single" w:color="auto" w:sz="12" w:space="0"/>
              <w:left w:val="single" w:color="auto" w:sz="2" w:space="0"/>
              <w:bottom w:val="single" w:color="auto" w:sz="12" w:space="0"/>
              <w:right w:val="single" w:color="auto" w:sz="12" w:space="0"/>
            </w:tcBorders>
            <w:noWrap w:val="0"/>
            <w:vAlign w:val="center"/>
          </w:tcPr>
          <w:p w14:paraId="2393D711">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13B5907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12" w:space="0"/>
              <w:left w:val="single" w:color="auto" w:sz="12" w:space="0"/>
              <w:bottom w:val="single" w:color="auto" w:sz="2" w:space="0"/>
              <w:right w:val="single" w:color="auto" w:sz="2" w:space="0"/>
            </w:tcBorders>
            <w:noWrap w:val="0"/>
            <w:vAlign w:val="center"/>
          </w:tcPr>
          <w:p w14:paraId="10FEEBE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81" w:type="dxa"/>
            <w:tcBorders>
              <w:top w:val="single" w:color="auto" w:sz="12" w:space="0"/>
              <w:left w:val="single" w:color="auto" w:sz="2" w:space="0"/>
              <w:bottom w:val="single" w:color="auto" w:sz="2" w:space="0"/>
              <w:right w:val="single" w:color="auto" w:sz="2" w:space="0"/>
            </w:tcBorders>
            <w:noWrap w:val="0"/>
            <w:vAlign w:val="center"/>
          </w:tcPr>
          <w:p w14:paraId="2ADFD2F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078" w:type="dxa"/>
            <w:tcBorders>
              <w:top w:val="single" w:color="auto" w:sz="12" w:space="0"/>
              <w:left w:val="single" w:color="auto" w:sz="2" w:space="0"/>
              <w:bottom w:val="single" w:color="auto" w:sz="2" w:space="0"/>
              <w:right w:val="single" w:color="auto" w:sz="12" w:space="0"/>
            </w:tcBorders>
            <w:noWrap w:val="0"/>
            <w:vAlign w:val="center"/>
          </w:tcPr>
          <w:p w14:paraId="49ED027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植物生长空间与层次处理得当，积尘少，整体观赏效果较好。</w:t>
            </w:r>
          </w:p>
        </w:tc>
      </w:tr>
      <w:tr w14:paraId="0D868F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50F5C22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5F43DB7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149E323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植物生长较好，符合物候状况，叶的颜色、形状、大小正常，树体基本正直；观花植物适时开花，花期基本一致。达标率＞90</w:t>
            </w:r>
            <w:r>
              <w:rPr>
                <w:rFonts w:hint="eastAsia" w:asciiTheme="minorEastAsia" w:hAnsiTheme="minorEastAsia" w:eastAsiaTheme="minorEastAsia" w:cstheme="minorEastAsia"/>
                <w:color w:val="auto"/>
                <w:spacing w:val="-30"/>
                <w:sz w:val="24"/>
                <w:szCs w:val="24"/>
              </w:rPr>
              <w:t xml:space="preserve"> ％</w:t>
            </w:r>
          </w:p>
        </w:tc>
      </w:tr>
      <w:tr w14:paraId="323939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6E9F2B7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6623E5F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6A22B5B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整形片植灌木：图形清晰、美观，线条明显、流畅，无明显杂草；非整形片植灌木和草本地被按要求养成常绿、观花或观叶形态，整体基本整齐，无明显枯黄叶、杂草。达标率＞90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6757C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66CEC1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025434C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40A7953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草坪青绿，无明显枯黄现象；无大型杂草，目的草种纯度90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以上；草坪平整，无明显起团，高度控制在8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cm以下；无明显坑洼、小洞，草坪边缘线基本清晰。达标率＞90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60750F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3DC6AE9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3810B345">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w:t>
            </w:r>
          </w:p>
          <w:p w14:paraId="49AA7F64">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控制</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47F88AC6">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450289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3927B7FD">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4C26615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4A51460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，单处明显裸露面积＜8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；花坛色块中的时花及时换种，保持常年有花。 </w:t>
            </w:r>
          </w:p>
        </w:tc>
      </w:tr>
      <w:tr w14:paraId="585E03D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8" w:space="0"/>
              <w:right w:val="single" w:color="auto" w:sz="2" w:space="0"/>
            </w:tcBorders>
            <w:noWrap w:val="0"/>
            <w:vAlign w:val="center"/>
          </w:tcPr>
          <w:p w14:paraId="3400F4C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81" w:type="dxa"/>
            <w:tcBorders>
              <w:top w:val="single" w:color="auto" w:sz="2" w:space="0"/>
              <w:left w:val="single" w:color="auto" w:sz="2" w:space="0"/>
              <w:bottom w:val="single" w:color="auto" w:sz="8" w:space="0"/>
              <w:right w:val="single" w:color="auto" w:sz="2" w:space="0"/>
            </w:tcBorders>
            <w:noWrap w:val="0"/>
            <w:vAlign w:val="center"/>
          </w:tcPr>
          <w:p w14:paraId="23763F5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078" w:type="dxa"/>
            <w:tcBorders>
              <w:top w:val="single" w:color="auto" w:sz="2" w:space="0"/>
              <w:left w:val="single" w:color="auto" w:sz="2" w:space="0"/>
              <w:bottom w:val="single" w:color="auto" w:sz="8" w:space="0"/>
              <w:right w:val="single" w:color="auto" w:sz="12" w:space="0"/>
            </w:tcBorders>
            <w:noWrap w:val="0"/>
            <w:vAlign w:val="center"/>
          </w:tcPr>
          <w:p w14:paraId="60DCBA3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分车带的色块、草坪上基本无散落枝叶、泥土；泥土面略低于路沿石，色块里无明显的石头、砖块。达标率＞90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A4B12E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791731F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16D07D08">
      <w:pPr>
        <w:rPr>
          <w:rFonts w:hint="eastAsia" w:asciiTheme="minorEastAsia" w:hAnsiTheme="minorEastAsia" w:eastAsiaTheme="minorEastAsia" w:cstheme="minorEastAsia"/>
          <w:color w:val="auto"/>
          <w:sz w:val="24"/>
          <w:szCs w:val="24"/>
        </w:rPr>
      </w:pPr>
    </w:p>
    <w:p w14:paraId="66084078">
      <w:pPr>
        <w:rPr>
          <w:rFonts w:hint="eastAsia" w:asciiTheme="minorEastAsia" w:hAnsiTheme="minorEastAsia" w:eastAsiaTheme="minorEastAsia" w:cstheme="minorEastAsia"/>
          <w:color w:val="auto"/>
          <w:sz w:val="24"/>
          <w:szCs w:val="24"/>
        </w:rPr>
      </w:pPr>
    </w:p>
    <w:p w14:paraId="513CC479">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7" w:name="_Toc421120720"/>
      <w:r>
        <w:rPr>
          <w:rFonts w:hint="eastAsia" w:asciiTheme="minorEastAsia" w:hAnsiTheme="minorEastAsia" w:eastAsiaTheme="minorEastAsia" w:cstheme="minorEastAsia"/>
          <w:color w:val="auto"/>
          <w:sz w:val="24"/>
          <w:szCs w:val="24"/>
        </w:rPr>
        <w:t>三级分车绿带养护质量要求</w:t>
      </w:r>
      <w:bookmarkEnd w:id="67"/>
    </w:p>
    <w:p w14:paraId="0C768AF4">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应符合表A.6的规定。</w:t>
      </w:r>
    </w:p>
    <w:p w14:paraId="2AA3849A">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表A.6 三级分车绿带养护质量要求表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86"/>
        <w:gridCol w:w="1529"/>
        <w:gridCol w:w="6930"/>
      </w:tblGrid>
      <w:tr w14:paraId="59D8B2F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91" w:hRule="atLeast"/>
        </w:trPr>
        <w:tc>
          <w:tcPr>
            <w:tcW w:w="886" w:type="dxa"/>
            <w:tcBorders>
              <w:top w:val="single" w:color="auto" w:sz="12" w:space="0"/>
              <w:left w:val="single" w:color="auto" w:sz="12" w:space="0"/>
              <w:bottom w:val="single" w:color="auto" w:sz="12" w:space="0"/>
              <w:right w:val="single" w:color="auto" w:sz="2" w:space="0"/>
            </w:tcBorders>
            <w:noWrap w:val="0"/>
            <w:vAlign w:val="center"/>
          </w:tcPr>
          <w:p w14:paraId="051F2F0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529" w:type="dxa"/>
            <w:tcBorders>
              <w:top w:val="single" w:color="auto" w:sz="12" w:space="0"/>
              <w:left w:val="single" w:color="auto" w:sz="2" w:space="0"/>
              <w:bottom w:val="single" w:color="auto" w:sz="12" w:space="0"/>
              <w:right w:val="single" w:color="auto" w:sz="2" w:space="0"/>
            </w:tcBorders>
            <w:noWrap w:val="0"/>
            <w:vAlign w:val="center"/>
          </w:tcPr>
          <w:p w14:paraId="4F72A6D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6930" w:type="dxa"/>
            <w:tcBorders>
              <w:top w:val="single" w:color="auto" w:sz="12" w:space="0"/>
              <w:left w:val="single" w:color="auto" w:sz="2" w:space="0"/>
              <w:bottom w:val="single" w:color="auto" w:sz="12" w:space="0"/>
              <w:right w:val="single" w:color="auto" w:sz="12" w:space="0"/>
            </w:tcBorders>
            <w:noWrap w:val="0"/>
            <w:vAlign w:val="center"/>
          </w:tcPr>
          <w:p w14:paraId="7F0A53FF">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5A69CD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12" w:space="0"/>
              <w:left w:val="single" w:color="auto" w:sz="12" w:space="0"/>
              <w:bottom w:val="single" w:color="auto" w:sz="2" w:space="0"/>
              <w:right w:val="single" w:color="auto" w:sz="2" w:space="0"/>
            </w:tcBorders>
            <w:noWrap w:val="0"/>
            <w:vAlign w:val="center"/>
          </w:tcPr>
          <w:p w14:paraId="0158701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529" w:type="dxa"/>
            <w:tcBorders>
              <w:top w:val="single" w:color="auto" w:sz="12" w:space="0"/>
              <w:left w:val="single" w:color="auto" w:sz="2" w:space="0"/>
              <w:bottom w:val="single" w:color="auto" w:sz="2" w:space="0"/>
              <w:right w:val="single" w:color="auto" w:sz="2" w:space="0"/>
            </w:tcBorders>
            <w:noWrap w:val="0"/>
            <w:vAlign w:val="center"/>
          </w:tcPr>
          <w:p w14:paraId="0EE8F60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6930" w:type="dxa"/>
            <w:tcBorders>
              <w:top w:val="single" w:color="auto" w:sz="12" w:space="0"/>
              <w:left w:val="single" w:color="auto" w:sz="2" w:space="0"/>
              <w:bottom w:val="single" w:color="auto" w:sz="2" w:space="0"/>
              <w:right w:val="single" w:color="auto" w:sz="12" w:space="0"/>
            </w:tcBorders>
            <w:noWrap w:val="0"/>
            <w:vAlign w:val="center"/>
          </w:tcPr>
          <w:p w14:paraId="0F8628C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植物生长空间与层次处理得当，具绿化、观赏效果。</w:t>
            </w:r>
          </w:p>
        </w:tc>
      </w:tr>
      <w:tr w14:paraId="0F8B7F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46C6F1B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359A746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3EF5B6F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植物生长正常，符合物候状况，叶的颜色、形状、大小正常，树体基本正直；观花植物适时开花。达标率＞85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EF407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29F6D18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2FEB942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720CBA3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整形片植灌木：图形清晰，线条明显，无明显杂草；非整形片植灌木和草本地被按要求养成常绿、观花或观叶形态，整体基本整齐，无明显枯黄叶、杂草。达标率＞85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DF24A1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3DDC515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446DE3A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4F3F9AE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草坪青绿，无明显枯黄现象；基本无大型杂草，目的草种纯度85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以上；草坪平整，无明显起团，高度控制在10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cm以下；无明显坑洼，草坪边缘线基本清晰。达标率＞85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B0734D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6193BFC0">
            <w:pPr>
              <w:pStyle w:val="31"/>
              <w:pBdr>
                <w:bottom w:val="none" w:color="auto" w:sz="0" w:space="0"/>
              </w:pBdr>
              <w:tabs>
                <w:tab w:val="left" w:pos="420"/>
                <w:tab w:val="center" w:pos="4153"/>
                <w:tab w:val="right" w:pos="8306"/>
                <w:tab w:val="clear" w:pos="0"/>
              </w:tabs>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五</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0E4CE78A">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35AA848A">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2D9EA9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5FF4814F">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1C08F25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6C771B0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，单处明显裸露面积＜12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 </w:t>
            </w:r>
          </w:p>
        </w:tc>
      </w:tr>
      <w:tr w14:paraId="57B09C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8" w:space="0"/>
              <w:right w:val="single" w:color="auto" w:sz="2" w:space="0"/>
            </w:tcBorders>
            <w:noWrap w:val="0"/>
            <w:vAlign w:val="center"/>
          </w:tcPr>
          <w:p w14:paraId="46A022B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529" w:type="dxa"/>
            <w:tcBorders>
              <w:top w:val="single" w:color="auto" w:sz="2" w:space="0"/>
              <w:left w:val="single" w:color="auto" w:sz="2" w:space="0"/>
              <w:bottom w:val="single" w:color="auto" w:sz="8" w:space="0"/>
              <w:right w:val="single" w:color="auto" w:sz="2" w:space="0"/>
            </w:tcBorders>
            <w:noWrap w:val="0"/>
            <w:vAlign w:val="center"/>
          </w:tcPr>
          <w:p w14:paraId="0A4AB5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6930" w:type="dxa"/>
            <w:tcBorders>
              <w:top w:val="single" w:color="auto" w:sz="2" w:space="0"/>
              <w:left w:val="single" w:color="auto" w:sz="2" w:space="0"/>
              <w:bottom w:val="single" w:color="auto" w:sz="8" w:space="0"/>
              <w:right w:val="single" w:color="auto" w:sz="12" w:space="0"/>
            </w:tcBorders>
            <w:noWrap w:val="0"/>
            <w:vAlign w:val="center"/>
          </w:tcPr>
          <w:p w14:paraId="3EBE32B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分车带的色块、草坪上基本无散落枝叶、泥土；泥土面略低于路沿石，色块里无明显的石头、砖块。达标率＞85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C20630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20943E4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6903A59">
      <w:pPr>
        <w:pStyle w:val="184"/>
        <w:numPr>
          <w:ilvl w:val="0"/>
          <w:numId w:val="0"/>
        </w:numPr>
        <w:spacing w:before="156"/>
        <w:rPr>
          <w:rFonts w:hint="eastAsia" w:asciiTheme="minorEastAsia" w:hAnsiTheme="minorEastAsia" w:eastAsiaTheme="minorEastAsia" w:cstheme="minorEastAsia"/>
          <w:color w:val="auto"/>
          <w:sz w:val="24"/>
          <w:szCs w:val="24"/>
        </w:rPr>
      </w:pPr>
    </w:p>
    <w:p w14:paraId="3E525B45">
      <w:pPr>
        <w:pStyle w:val="178"/>
        <w:rPr>
          <w:rFonts w:hint="eastAsia" w:asciiTheme="minorEastAsia" w:hAnsiTheme="minorEastAsia" w:eastAsiaTheme="minorEastAsia" w:cstheme="minorEastAsia"/>
          <w:color w:val="auto"/>
          <w:sz w:val="24"/>
          <w:szCs w:val="24"/>
        </w:rPr>
        <w:sectPr>
          <w:pgSz w:w="11910" w:h="16840"/>
          <w:pgMar w:top="1440" w:right="1080" w:bottom="1440" w:left="1080" w:header="720" w:footer="720" w:gutter="0"/>
          <w:pgNumType w:fmt="decimal"/>
          <w:cols w:space="720" w:num="1"/>
          <w:titlePg/>
          <w:docGrid w:linePitch="286" w:charSpace="0"/>
        </w:sectPr>
      </w:pPr>
    </w:p>
    <w:p w14:paraId="0FD8430F">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8" w:name="_Toc421120721"/>
      <w:r>
        <w:rPr>
          <w:rFonts w:hint="eastAsia" w:asciiTheme="minorEastAsia" w:hAnsiTheme="minorEastAsia" w:eastAsiaTheme="minorEastAsia" w:cstheme="minorEastAsia"/>
          <w:color w:val="auto"/>
          <w:sz w:val="24"/>
          <w:szCs w:val="24"/>
        </w:rPr>
        <w:t>一级行道树养护质量要求</w:t>
      </w:r>
      <w:bookmarkEnd w:id="68"/>
    </w:p>
    <w:p w14:paraId="7949E87E">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应符合表A.7的规定。</w:t>
      </w:r>
    </w:p>
    <w:p w14:paraId="6085610E">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表A.7 一级行道树养护质量要求表</w:t>
      </w:r>
    </w:p>
    <w:tbl>
      <w:tblPr>
        <w:tblStyle w:val="47"/>
        <w:tblW w:w="9463"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960"/>
        <w:gridCol w:w="7783"/>
      </w:tblGrid>
      <w:tr w14:paraId="5BD1997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1"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08433FE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960" w:type="dxa"/>
            <w:tcBorders>
              <w:top w:val="single" w:color="auto" w:sz="12" w:space="0"/>
              <w:left w:val="single" w:color="auto" w:sz="2" w:space="0"/>
              <w:bottom w:val="single" w:color="auto" w:sz="12" w:space="0"/>
              <w:right w:val="single" w:color="auto" w:sz="2" w:space="0"/>
            </w:tcBorders>
            <w:noWrap w:val="0"/>
            <w:vAlign w:val="center"/>
          </w:tcPr>
          <w:p w14:paraId="4FC86D8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7783" w:type="dxa"/>
            <w:tcBorders>
              <w:top w:val="single" w:color="auto" w:sz="12" w:space="0"/>
              <w:left w:val="single" w:color="auto" w:sz="2" w:space="0"/>
              <w:bottom w:val="single" w:color="auto" w:sz="12" w:space="0"/>
              <w:right w:val="single" w:color="auto" w:sz="12" w:space="0"/>
            </w:tcBorders>
            <w:noWrap w:val="0"/>
            <w:vAlign w:val="center"/>
          </w:tcPr>
          <w:p w14:paraId="488A0A0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4260A3C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5"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756250F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960" w:type="dxa"/>
            <w:tcBorders>
              <w:top w:val="single" w:color="auto" w:sz="12" w:space="0"/>
              <w:left w:val="single" w:color="auto" w:sz="2" w:space="0"/>
              <w:bottom w:val="single" w:color="auto" w:sz="2" w:space="0"/>
              <w:right w:val="single" w:color="auto" w:sz="2" w:space="0"/>
            </w:tcBorders>
            <w:noWrap w:val="0"/>
            <w:vAlign w:val="center"/>
          </w:tcPr>
          <w:p w14:paraId="391AC0C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783" w:type="dxa"/>
            <w:tcBorders>
              <w:top w:val="single" w:color="auto" w:sz="12" w:space="0"/>
              <w:left w:val="single" w:color="auto" w:sz="2" w:space="0"/>
              <w:bottom w:val="single" w:color="auto" w:sz="2" w:space="0"/>
              <w:right w:val="single" w:color="auto" w:sz="12" w:space="0"/>
            </w:tcBorders>
            <w:noWrap w:val="0"/>
            <w:vAlign w:val="center"/>
          </w:tcPr>
          <w:p w14:paraId="6C2707BC">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同一路段的第一排行道树、分车绿带上的行道树及其间的灌木，其树型与高度基本一致，树体干净，积尘少，具有良好的整体观赏效果。</w:t>
            </w:r>
          </w:p>
        </w:tc>
      </w:tr>
      <w:tr w14:paraId="2C629E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FC7C33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5015262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461EDC6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植物生长良好，符合物候状况，枝叶健壮；观花植物适时开花。达标率＞95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59F82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9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5FEB4E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206E887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3EF3E9B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乔灌木按设计要求修剪并保持一定形状，同路段同品种的树冠形状、大小基本一致，树型优美，线条流畅。一般乔木修剪要求维持树种特征，树冠优美，树体无病虫枝、过密枝、交叉枝、低垂枝、伤残枝，无钉挂物、缠绕物。一般孤植灌木按要求养成观花或观叶形态，树型美观，无枯枝，同一品种的物候、高度基本一致；无死树、残桩头，修剪的枝叶及时清理。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B1CFB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9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C2D2E6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687D60D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6554ED6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cm的阔叶树小乔木定干高度不应低于2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m，枝下高不应低于3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m。位于机动车车行道边的行道树定干高度不应低于2.5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F363B1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53055E9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7A93560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089C8E7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且树穴地被生长良好，整齐规范，不缠绕树木，无明显杂草、杂物；不宜种植地被的树穴，盘面应略低于路面，定期松土、除杂；新植乔木的树穴，无明显杂草杂物，土壤疏松通透。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7832E4D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9C5E66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3AFF44C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014B1A4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7E3FB4F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基本无危害迹象；病虫总为害率＜10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，其中蛀干、根部害虫、食叶性害虫＜5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C3F58C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53D375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435DC777">
            <w:pPr>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2239390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对有安全隐患的行道树必须设置防护设施；防护设施稳固、完好，整齐、美观。达标率＞95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20B07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762740B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960" w:type="dxa"/>
            <w:tcBorders>
              <w:top w:val="single" w:color="auto" w:sz="2" w:space="0"/>
              <w:left w:val="single" w:color="auto" w:sz="2" w:space="0"/>
              <w:bottom w:val="single" w:color="auto" w:sz="8" w:space="0"/>
              <w:right w:val="single" w:color="auto" w:sz="2" w:space="0"/>
            </w:tcBorders>
            <w:noWrap w:val="0"/>
            <w:vAlign w:val="center"/>
          </w:tcPr>
          <w:p w14:paraId="242E87A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保存率与补种</w:t>
            </w:r>
          </w:p>
        </w:tc>
        <w:tc>
          <w:tcPr>
            <w:tcW w:w="7783" w:type="dxa"/>
            <w:tcBorders>
              <w:top w:val="single" w:color="auto" w:sz="2" w:space="0"/>
              <w:left w:val="single" w:color="auto" w:sz="2" w:space="0"/>
              <w:bottom w:val="single" w:color="auto" w:sz="8" w:space="0"/>
              <w:right w:val="single" w:color="auto" w:sz="12" w:space="0"/>
            </w:tcBorders>
            <w:noWrap w:val="0"/>
            <w:vAlign w:val="center"/>
          </w:tcPr>
          <w:p w14:paraId="5786964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第一排行道树、分车绿带上的行道树及其间的灌木无缺株；补种的乔灌木品种、规格、株距应与同路段原种植的相同；补植苗木规格：棕榈科乔木地径＞25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cm，其它乔木胸径＞7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 xml:space="preserve">cm。 </w:t>
            </w:r>
          </w:p>
        </w:tc>
      </w:tr>
      <w:tr w14:paraId="5486FCA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trPr>
        <w:tc>
          <w:tcPr>
            <w:tcW w:w="9463" w:type="dxa"/>
            <w:gridSpan w:val="3"/>
            <w:tcBorders>
              <w:top w:val="single" w:color="auto" w:sz="8" w:space="0"/>
              <w:left w:val="single" w:color="auto" w:sz="12" w:space="0"/>
              <w:bottom w:val="single" w:color="auto" w:sz="12" w:space="0"/>
              <w:right w:val="single" w:color="auto" w:sz="12" w:space="0"/>
            </w:tcBorders>
            <w:noWrap w:val="0"/>
            <w:vAlign w:val="center"/>
          </w:tcPr>
          <w:p w14:paraId="385D8CF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78DC81EA">
      <w:pPr>
        <w:pStyle w:val="178"/>
        <w:ind w:firstLine="0" w:firstLineChars="0"/>
        <w:rPr>
          <w:rFonts w:hint="eastAsia" w:asciiTheme="minorEastAsia" w:hAnsiTheme="minorEastAsia" w:eastAsiaTheme="minorEastAsia" w:cstheme="minorEastAsia"/>
          <w:color w:val="auto"/>
          <w:sz w:val="24"/>
          <w:szCs w:val="24"/>
        </w:rPr>
      </w:pPr>
    </w:p>
    <w:p w14:paraId="40CD0B38">
      <w:pPr>
        <w:pStyle w:val="178"/>
        <w:ind w:firstLine="0" w:firstLineChars="0"/>
        <w:rPr>
          <w:rFonts w:hint="eastAsia" w:asciiTheme="minorEastAsia" w:hAnsiTheme="minorEastAsia" w:eastAsiaTheme="minorEastAsia" w:cstheme="minorEastAsia"/>
          <w:color w:val="auto"/>
          <w:sz w:val="24"/>
          <w:szCs w:val="24"/>
        </w:rPr>
      </w:pPr>
    </w:p>
    <w:p w14:paraId="0E2CA5B5">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69" w:name="_Toc421120722"/>
      <w:r>
        <w:rPr>
          <w:rFonts w:hint="eastAsia" w:asciiTheme="minorEastAsia" w:hAnsiTheme="minorEastAsia" w:eastAsiaTheme="minorEastAsia" w:cstheme="minorEastAsia"/>
          <w:color w:val="auto"/>
          <w:sz w:val="24"/>
          <w:szCs w:val="24"/>
        </w:rPr>
        <w:t>二级行道树养护质量要求</w:t>
      </w:r>
      <w:bookmarkEnd w:id="69"/>
    </w:p>
    <w:p w14:paraId="7088AE12">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应符合表A.8的规定。</w:t>
      </w:r>
    </w:p>
    <w:p w14:paraId="2E1E3426">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表A.8 二级行道树养护质量要求表</w:t>
      </w:r>
    </w:p>
    <w:tbl>
      <w:tblPr>
        <w:tblStyle w:val="47"/>
        <w:tblW w:w="0" w:type="auto"/>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35"/>
        <w:gridCol w:w="1050"/>
        <w:gridCol w:w="7560"/>
      </w:tblGrid>
      <w:tr w14:paraId="06E33E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5" w:hRule="atLeast"/>
        </w:trPr>
        <w:tc>
          <w:tcPr>
            <w:tcW w:w="735" w:type="dxa"/>
            <w:tcBorders>
              <w:top w:val="single" w:color="auto" w:sz="12" w:space="0"/>
              <w:left w:val="single" w:color="auto" w:sz="12" w:space="0"/>
              <w:bottom w:val="single" w:color="auto" w:sz="12" w:space="0"/>
              <w:right w:val="single" w:color="auto" w:sz="2" w:space="0"/>
            </w:tcBorders>
            <w:noWrap w:val="0"/>
            <w:vAlign w:val="center"/>
          </w:tcPr>
          <w:p w14:paraId="30034A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1050" w:type="dxa"/>
            <w:tcBorders>
              <w:top w:val="single" w:color="auto" w:sz="12" w:space="0"/>
              <w:left w:val="single" w:color="auto" w:sz="2" w:space="0"/>
              <w:bottom w:val="single" w:color="auto" w:sz="12" w:space="0"/>
              <w:right w:val="single" w:color="auto" w:sz="2" w:space="0"/>
            </w:tcBorders>
            <w:noWrap w:val="0"/>
            <w:vAlign w:val="center"/>
          </w:tcPr>
          <w:p w14:paraId="07FF7A2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7560" w:type="dxa"/>
            <w:tcBorders>
              <w:top w:val="single" w:color="auto" w:sz="12" w:space="0"/>
              <w:left w:val="single" w:color="auto" w:sz="2" w:space="0"/>
              <w:bottom w:val="single" w:color="auto" w:sz="12" w:space="0"/>
              <w:right w:val="single" w:color="auto" w:sz="12" w:space="0"/>
            </w:tcBorders>
            <w:noWrap w:val="0"/>
            <w:vAlign w:val="center"/>
          </w:tcPr>
          <w:p w14:paraId="1BE7936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5B603D2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45" w:hRule="atLeast"/>
        </w:trPr>
        <w:tc>
          <w:tcPr>
            <w:tcW w:w="735" w:type="dxa"/>
            <w:tcBorders>
              <w:top w:val="single" w:color="auto" w:sz="12" w:space="0"/>
              <w:left w:val="single" w:color="auto" w:sz="12" w:space="0"/>
              <w:bottom w:val="single" w:color="auto" w:sz="2" w:space="0"/>
              <w:right w:val="single" w:color="auto" w:sz="2" w:space="0"/>
            </w:tcBorders>
            <w:noWrap w:val="0"/>
            <w:vAlign w:val="center"/>
          </w:tcPr>
          <w:p w14:paraId="3519EBA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050" w:type="dxa"/>
            <w:tcBorders>
              <w:top w:val="single" w:color="auto" w:sz="12" w:space="0"/>
              <w:left w:val="single" w:color="auto" w:sz="2" w:space="0"/>
              <w:bottom w:val="single" w:color="auto" w:sz="2" w:space="0"/>
              <w:right w:val="single" w:color="auto" w:sz="2" w:space="0"/>
            </w:tcBorders>
            <w:noWrap w:val="0"/>
            <w:vAlign w:val="center"/>
          </w:tcPr>
          <w:p w14:paraId="187742A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560" w:type="dxa"/>
            <w:tcBorders>
              <w:top w:val="single" w:color="auto" w:sz="12" w:space="0"/>
              <w:left w:val="single" w:color="auto" w:sz="2" w:space="0"/>
              <w:bottom w:val="single" w:color="auto" w:sz="2" w:space="0"/>
              <w:right w:val="single" w:color="auto" w:sz="12" w:space="0"/>
            </w:tcBorders>
            <w:noWrap w:val="0"/>
            <w:vAlign w:val="center"/>
          </w:tcPr>
          <w:p w14:paraId="0A290948">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同一路段的第一排行道树、分车绿带上的行道树及其间的灌木，同品种的树型与高度基本一致；树体基本干净，无明显积尘；具有较好的整体观赏效果。</w:t>
            </w:r>
          </w:p>
        </w:tc>
      </w:tr>
      <w:tr w14:paraId="424C629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71"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7DD3DE5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1E724D2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14AB2AD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生长良好，符合物候状况，枝叶健壮，树体正直不偏斜，观花植物适时开花。达标率＞90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1ADCD9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45"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24818A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2D14817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21DBDC0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乔灌木按要求修剪并保持一定形状，同路段同品种的树冠形状、大小基本一致，树型良好，线条流畅；一般乔木修剪要求维持树种特征，树冠匀称，分枝合理，基本无病虫枝、过密枝、交叉枝、低垂枝、伤残枝，无明显钉挂物、缠绕物；一般孤植灌木按要求养成观花或观叶形态，树型良好，无枯枝，同品种的植株高度基本一致；无死树、残桩头，修剪的枝叶及时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99DBB3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45"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362B9AA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342F4EC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20CA2F5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cm的阔叶小乔木定干高度不应低于2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m，枝下高不应低于3m。位于机动车车行道边的行道树定干高度不应低于2.5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m。达标率＞90%。</w:t>
            </w:r>
          </w:p>
        </w:tc>
      </w:tr>
      <w:tr w14:paraId="5D1ADC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39546CC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2C816D2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086801B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且树穴地被生长良好，基本整齐，不缠绕树木，无明显杂草、杂物。不宜种植地被的树穴盘面应略低于路面，无明显杂草、杂物，新植乔木的树穴，无明显杂草杂物，土壤疏松通透。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A2D2FB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52077FF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20E3942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5C481A5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2AB99C5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无明显危害迹象；总的病虫为害率＜15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C7274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2AC742B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0A1E5DF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743437C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对有安全隐患的行道树必须设置防护设施；防护设施稳固、完好，整齐、美观。达标率＞90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7EBAC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8" w:space="0"/>
              <w:right w:val="single" w:color="auto" w:sz="2" w:space="0"/>
            </w:tcBorders>
            <w:noWrap w:val="0"/>
            <w:vAlign w:val="center"/>
          </w:tcPr>
          <w:p w14:paraId="6D16988C">
            <w:pPr>
              <w:pStyle w:val="186"/>
              <w:widowControl w:val="0"/>
              <w:spacing w:before="0"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八</w:t>
            </w:r>
          </w:p>
        </w:tc>
        <w:tc>
          <w:tcPr>
            <w:tcW w:w="1050" w:type="dxa"/>
            <w:tcBorders>
              <w:top w:val="single" w:color="auto" w:sz="2" w:space="0"/>
              <w:left w:val="single" w:color="auto" w:sz="2" w:space="0"/>
              <w:bottom w:val="single" w:color="auto" w:sz="8" w:space="0"/>
              <w:right w:val="single" w:color="auto" w:sz="2" w:space="0"/>
            </w:tcBorders>
            <w:noWrap w:val="0"/>
            <w:vAlign w:val="center"/>
          </w:tcPr>
          <w:p w14:paraId="3AEDF481">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保存率与补种</w:t>
            </w:r>
          </w:p>
        </w:tc>
        <w:tc>
          <w:tcPr>
            <w:tcW w:w="7560" w:type="dxa"/>
            <w:tcBorders>
              <w:top w:val="single" w:color="auto" w:sz="2" w:space="0"/>
              <w:left w:val="single" w:color="auto" w:sz="2" w:space="0"/>
              <w:bottom w:val="single" w:color="auto" w:sz="8" w:space="0"/>
              <w:right w:val="single" w:color="auto" w:sz="12" w:space="0"/>
            </w:tcBorders>
            <w:noWrap w:val="0"/>
            <w:vAlign w:val="center"/>
          </w:tcPr>
          <w:p w14:paraId="0099E3F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第一排行道树以及分车绿带上的行道树基本无缺株，缺株率＜1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；其它乔灌木缺株率＜3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；补种的乔灌木品种、规格、株距应与同路段原种植的相同；补植苗木规格：棕榈科乔木地径＞20㎝，其它乔木胸径＞6㎝。</w:t>
            </w:r>
          </w:p>
        </w:tc>
      </w:tr>
      <w:tr w14:paraId="2A805A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3A26B1F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0716359C">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bookmarkStart w:id="70" w:name="_Toc421120723"/>
      <w:r>
        <w:rPr>
          <w:rFonts w:hint="eastAsia" w:asciiTheme="minorEastAsia" w:hAnsiTheme="minorEastAsia" w:eastAsiaTheme="minorEastAsia" w:cstheme="minorEastAsia"/>
          <w:color w:val="auto"/>
          <w:sz w:val="24"/>
          <w:szCs w:val="24"/>
        </w:rPr>
        <w:t>三级行道树养护质量要求</w:t>
      </w:r>
      <w:bookmarkEnd w:id="70"/>
    </w:p>
    <w:p w14:paraId="5DC85241">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应符合表A.9的规定。</w:t>
      </w:r>
    </w:p>
    <w:p w14:paraId="0613815E">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表A.9  三级行道树养护质量要求表</w:t>
      </w:r>
    </w:p>
    <w:tbl>
      <w:tblPr>
        <w:tblStyle w:val="47"/>
        <w:tblW w:w="0" w:type="auto"/>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04"/>
        <w:gridCol w:w="976"/>
        <w:gridCol w:w="7665"/>
      </w:tblGrid>
      <w:tr w14:paraId="3C6E30B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90" w:hRule="atLeast"/>
        </w:trPr>
        <w:tc>
          <w:tcPr>
            <w:tcW w:w="704" w:type="dxa"/>
            <w:tcBorders>
              <w:top w:val="single" w:color="auto" w:sz="12" w:space="0"/>
              <w:left w:val="single" w:color="auto" w:sz="12" w:space="0"/>
              <w:bottom w:val="single" w:color="auto" w:sz="12" w:space="0"/>
              <w:right w:val="single" w:color="auto" w:sz="2" w:space="0"/>
            </w:tcBorders>
            <w:noWrap w:val="0"/>
            <w:vAlign w:val="center"/>
          </w:tcPr>
          <w:p w14:paraId="2323DCF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976" w:type="dxa"/>
            <w:tcBorders>
              <w:top w:val="single" w:color="auto" w:sz="12" w:space="0"/>
              <w:left w:val="single" w:color="auto" w:sz="2" w:space="0"/>
              <w:bottom w:val="single" w:color="auto" w:sz="12" w:space="0"/>
              <w:right w:val="single" w:color="auto" w:sz="2" w:space="0"/>
            </w:tcBorders>
            <w:noWrap w:val="0"/>
            <w:vAlign w:val="center"/>
          </w:tcPr>
          <w:p w14:paraId="029A8AE6">
            <w:pPr>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b/>
                <w:bCs/>
                <w:color w:val="auto"/>
                <w:sz w:val="24"/>
                <w:szCs w:val="24"/>
              </w:rPr>
              <w:t>项目</w:t>
            </w:r>
          </w:p>
        </w:tc>
        <w:tc>
          <w:tcPr>
            <w:tcW w:w="7665" w:type="dxa"/>
            <w:tcBorders>
              <w:top w:val="single" w:color="auto" w:sz="12" w:space="0"/>
              <w:left w:val="single" w:color="auto" w:sz="2" w:space="0"/>
              <w:bottom w:val="single" w:color="auto" w:sz="12" w:space="0"/>
              <w:right w:val="single" w:color="auto" w:sz="12" w:space="0"/>
            </w:tcBorders>
            <w:noWrap w:val="0"/>
            <w:vAlign w:val="center"/>
          </w:tcPr>
          <w:p w14:paraId="1FC49166">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sz w:val="24"/>
                <w:szCs w:val="24"/>
              </w:rPr>
              <w:t>质量要求</w:t>
            </w:r>
          </w:p>
        </w:tc>
      </w:tr>
      <w:tr w14:paraId="50048B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12" w:space="0"/>
              <w:left w:val="single" w:color="auto" w:sz="12" w:space="0"/>
              <w:bottom w:val="single" w:color="auto" w:sz="2" w:space="0"/>
              <w:right w:val="single" w:color="auto" w:sz="2" w:space="0"/>
            </w:tcBorders>
            <w:noWrap w:val="0"/>
            <w:vAlign w:val="center"/>
          </w:tcPr>
          <w:p w14:paraId="7687023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976" w:type="dxa"/>
            <w:tcBorders>
              <w:top w:val="single" w:color="auto" w:sz="12" w:space="0"/>
              <w:left w:val="single" w:color="auto" w:sz="2" w:space="0"/>
              <w:bottom w:val="single" w:color="auto" w:sz="2" w:space="0"/>
              <w:right w:val="single" w:color="auto" w:sz="2" w:space="0"/>
            </w:tcBorders>
            <w:noWrap w:val="0"/>
            <w:vAlign w:val="center"/>
          </w:tcPr>
          <w:p w14:paraId="7ED2807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665" w:type="dxa"/>
            <w:tcBorders>
              <w:top w:val="single" w:color="auto" w:sz="12" w:space="0"/>
              <w:left w:val="single" w:color="auto" w:sz="2" w:space="0"/>
              <w:bottom w:val="single" w:color="auto" w:sz="2" w:space="0"/>
              <w:right w:val="single" w:color="auto" w:sz="12" w:space="0"/>
            </w:tcBorders>
            <w:noWrap w:val="0"/>
            <w:vAlign w:val="center"/>
          </w:tcPr>
          <w:p w14:paraId="19E6A9CB">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同路段同品种第一排行道的树型与高度基本一致，具有绿化效果和一定的观赏效果。</w:t>
            </w:r>
          </w:p>
        </w:tc>
      </w:tr>
      <w:tr w14:paraId="53EE4CB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6837F5B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03626BE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5E81210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生长良好，符合物候状况，枝叶健壮，树体正直不偏斜。达标率＞85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A4EDB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03BA5DD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3259F5B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3C69293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修剪能保持树种本来特征，树冠匀称，分枝合理，无明显病虫枝、过密枝、交叉枝、低垂枝、干枯枝、伤残枝，无明显钉挂物、缠绕物；无死树、残桩头，修剪的枝叶及时清理。达标率＞85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E4838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7463E87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24623FB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758FFC1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cm的阔叶树小乔木定干高度不低于2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m。位于机动车车行道边的行道树定干高度不低于2.5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93671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8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7FE4EC9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4B022C6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092E898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并要求树穴地被生地被长良好，基本整齐，不缠绕树木，无明显杂草、杂物。不宜种植的树穴盘面应略低于路面，无明显杂草、杂物，新植乔木的树穴，无明显杂草杂物，且土壤应疏松通透。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C4A041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79"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3F810A8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5AD4377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234F718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2DA1B2B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无严重病虫危害迹象；病虫为害率＜25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B485A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9"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5FA910C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388CFC1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7AB6B21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D374F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80" w:hRule="atLeast"/>
        </w:trPr>
        <w:tc>
          <w:tcPr>
            <w:tcW w:w="704" w:type="dxa"/>
            <w:tcBorders>
              <w:top w:val="single" w:color="auto" w:sz="2" w:space="0"/>
              <w:left w:val="single" w:color="auto" w:sz="12" w:space="0"/>
              <w:bottom w:val="single" w:color="auto" w:sz="8" w:space="0"/>
              <w:right w:val="single" w:color="auto" w:sz="2" w:space="0"/>
            </w:tcBorders>
            <w:noWrap w:val="0"/>
            <w:vAlign w:val="center"/>
          </w:tcPr>
          <w:p w14:paraId="2D07F4B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976" w:type="dxa"/>
            <w:tcBorders>
              <w:top w:val="single" w:color="auto" w:sz="2" w:space="0"/>
              <w:left w:val="single" w:color="auto" w:sz="2" w:space="0"/>
              <w:bottom w:val="single" w:color="auto" w:sz="8" w:space="0"/>
              <w:right w:val="single" w:color="auto" w:sz="2" w:space="0"/>
            </w:tcBorders>
            <w:noWrap w:val="0"/>
            <w:vAlign w:val="center"/>
          </w:tcPr>
          <w:p w14:paraId="3D79629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保存率与补种</w:t>
            </w:r>
          </w:p>
        </w:tc>
        <w:tc>
          <w:tcPr>
            <w:tcW w:w="7665" w:type="dxa"/>
            <w:tcBorders>
              <w:top w:val="single" w:color="auto" w:sz="2" w:space="0"/>
              <w:left w:val="single" w:color="auto" w:sz="2" w:space="0"/>
              <w:bottom w:val="single" w:color="auto" w:sz="8" w:space="0"/>
              <w:right w:val="single" w:color="auto" w:sz="12" w:space="0"/>
            </w:tcBorders>
            <w:noWrap w:val="0"/>
            <w:vAlign w:val="center"/>
          </w:tcPr>
          <w:p w14:paraId="320D5DF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人行道第一排行道树基本无缺株，人行道第一排行道树缺株率＜5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；补植的乔木品种、规格、株距应与同路段原种植的基本相同；补植苗木规格：棕榈科乔木地径＞20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cm，其它乔木胸径＞5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w:t>
            </w:r>
          </w:p>
        </w:tc>
      </w:tr>
      <w:tr w14:paraId="3124A2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282F18A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757528D9">
      <w:pPr>
        <w:pStyle w:val="184"/>
        <w:numPr>
          <w:ilvl w:val="0"/>
          <w:numId w:val="0"/>
        </w:numPr>
        <w:spacing w:before="156"/>
        <w:ind w:leftChars="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bookmarkStart w:id="71" w:name="_Toc421120724"/>
    </w:p>
    <w:p w14:paraId="14A11D6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一级花坛养护质量要求</w:t>
      </w:r>
      <w:bookmarkEnd w:id="71"/>
    </w:p>
    <w:p w14:paraId="78BB9C6F">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应符合表A.10的规定。</w:t>
      </w:r>
    </w:p>
    <w:p w14:paraId="497C07A0">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表A.10一级花坛养护质量要求表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361"/>
        <w:gridCol w:w="7129"/>
      </w:tblGrid>
      <w:tr w14:paraId="0A9FA2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6"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7AEB0A0B">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61" w:type="dxa"/>
            <w:tcBorders>
              <w:top w:val="single" w:color="auto" w:sz="12" w:space="0"/>
              <w:left w:val="single" w:color="auto" w:sz="2" w:space="0"/>
              <w:bottom w:val="single" w:color="auto" w:sz="12" w:space="0"/>
              <w:right w:val="single" w:color="auto" w:sz="2" w:space="0"/>
            </w:tcBorders>
            <w:noWrap w:val="0"/>
            <w:vAlign w:val="center"/>
          </w:tcPr>
          <w:p w14:paraId="26DDD319">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129" w:type="dxa"/>
            <w:tcBorders>
              <w:top w:val="single" w:color="auto" w:sz="12" w:space="0"/>
              <w:left w:val="single" w:color="auto" w:sz="2" w:space="0"/>
              <w:bottom w:val="single" w:color="auto" w:sz="12" w:space="0"/>
              <w:right w:val="single" w:color="auto" w:sz="12" w:space="0"/>
            </w:tcBorders>
            <w:noWrap w:val="0"/>
            <w:vAlign w:val="center"/>
          </w:tcPr>
          <w:p w14:paraId="578325E3">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63ECA3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7"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4FFF15A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61" w:type="dxa"/>
            <w:tcBorders>
              <w:top w:val="single" w:color="auto" w:sz="12" w:space="0"/>
              <w:left w:val="single" w:color="auto" w:sz="2" w:space="0"/>
              <w:bottom w:val="single" w:color="auto" w:sz="2" w:space="0"/>
              <w:right w:val="single" w:color="auto" w:sz="2" w:space="0"/>
            </w:tcBorders>
            <w:noWrap w:val="0"/>
            <w:vAlign w:val="center"/>
          </w:tcPr>
          <w:p w14:paraId="53D3B08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29" w:type="dxa"/>
            <w:tcBorders>
              <w:top w:val="single" w:color="auto" w:sz="12" w:space="0"/>
              <w:left w:val="single" w:color="auto" w:sz="2" w:space="0"/>
              <w:bottom w:val="single" w:color="auto" w:sz="2" w:space="0"/>
              <w:right w:val="single" w:color="auto" w:sz="12" w:space="0"/>
            </w:tcBorders>
            <w:noWrap w:val="0"/>
            <w:vAlign w:val="center"/>
          </w:tcPr>
          <w:p w14:paraId="5FCA3A2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花坛布置主题鲜明，花卉、饰物、设施、环境等配置相互协调；色彩搭配层次处理得当，色块分界明显，线条流畅，同一色块顶面高度保持一致，整体观赏效果优良。</w:t>
            </w:r>
          </w:p>
        </w:tc>
      </w:tr>
      <w:tr w14:paraId="6BC261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14"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7FF8FC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2DDB877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花卉生长</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6FA40F5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植株健壮，叶的形状、大小、色泽正常，开花整齐、应时，花型正，花色艳，花期达至规定要求。达标率＞95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DC77B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2EE8244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51C52C4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7E8F3FC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无残花、枯枝、黄叶，无杂草，无倒伏现象，花坛同一色块顶面高度保持一致，保持良好的观赏效果。达标率＞95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DC9AA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5769933C">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四</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385CFF85">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56C15693">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3AF0E3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62"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7AA00385">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五</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807C86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5925C93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更换</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7A1AD3F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花坛应黄土裸露、缺株和萎蔫现象。存在黄土裸露、缺株和萎蔫现象时应及时补种和更换。更换时边缘土面低于花坛边缘石顶5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cm，同一色块的顶面保持一致。达标率＞98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D02D2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4647A8F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00DF4D4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5532D7D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设施稳固、整洁、完好，与花坛协调美观。饰物和雕塑等应安全、美观。</w:t>
            </w:r>
          </w:p>
        </w:tc>
      </w:tr>
      <w:tr w14:paraId="1753F4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9"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38ABA91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61" w:type="dxa"/>
            <w:tcBorders>
              <w:top w:val="single" w:color="auto" w:sz="2" w:space="0"/>
              <w:left w:val="single" w:color="auto" w:sz="2" w:space="0"/>
              <w:bottom w:val="single" w:color="auto" w:sz="8" w:space="0"/>
              <w:right w:val="single" w:color="auto" w:sz="2" w:space="0"/>
            </w:tcBorders>
            <w:noWrap w:val="0"/>
            <w:vAlign w:val="center"/>
          </w:tcPr>
          <w:p w14:paraId="243D460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29" w:type="dxa"/>
            <w:tcBorders>
              <w:top w:val="single" w:color="auto" w:sz="2" w:space="0"/>
              <w:left w:val="single" w:color="auto" w:sz="2" w:space="0"/>
              <w:bottom w:val="single" w:color="auto" w:sz="8" w:space="0"/>
              <w:right w:val="single" w:color="auto" w:sz="12" w:space="0"/>
            </w:tcBorders>
            <w:noWrap w:val="0"/>
            <w:vAlign w:val="center"/>
          </w:tcPr>
          <w:p w14:paraId="55A8A3E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无垃圾，无泥土散落、污染道路和周围环境现象；假花、饰物无散落现象。达标率＞98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F2A9C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26"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64BB06D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3A140B5">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footerReference r:id="rId16" w:type="first"/>
          <w:footerReference r:id="rId15" w:type="default"/>
          <w:pgSz w:w="11910" w:h="16840"/>
          <w:pgMar w:top="1304" w:right="1247" w:bottom="1304" w:left="1247" w:header="720" w:footer="720" w:gutter="0"/>
          <w:pgNumType w:fmt="decimal"/>
          <w:cols w:space="720" w:num="1"/>
          <w:titlePg/>
          <w:docGrid w:linePitch="286" w:charSpace="0"/>
        </w:sectPr>
      </w:pPr>
      <w:bookmarkStart w:id="72" w:name="_Toc421120725"/>
    </w:p>
    <w:p w14:paraId="5BD434C9">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二级花坛养护质量要求</w:t>
      </w:r>
      <w:bookmarkEnd w:id="72"/>
    </w:p>
    <w:p w14:paraId="728D62F0">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应符合表A.11的规定。</w:t>
      </w:r>
    </w:p>
    <w:p w14:paraId="32072E3D">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表A.11 二级花坛养护质量要求表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361"/>
        <w:gridCol w:w="7129"/>
      </w:tblGrid>
      <w:tr w14:paraId="743D89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6"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2D4B63DC">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61" w:type="dxa"/>
            <w:tcBorders>
              <w:top w:val="single" w:color="auto" w:sz="12" w:space="0"/>
              <w:left w:val="single" w:color="auto" w:sz="2" w:space="0"/>
              <w:bottom w:val="single" w:color="auto" w:sz="12" w:space="0"/>
              <w:right w:val="single" w:color="auto" w:sz="2" w:space="0"/>
            </w:tcBorders>
            <w:noWrap w:val="0"/>
            <w:vAlign w:val="center"/>
          </w:tcPr>
          <w:p w14:paraId="3B60F34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129" w:type="dxa"/>
            <w:tcBorders>
              <w:top w:val="single" w:color="auto" w:sz="12" w:space="0"/>
              <w:left w:val="single" w:color="auto" w:sz="2" w:space="0"/>
              <w:bottom w:val="single" w:color="auto" w:sz="12" w:space="0"/>
              <w:right w:val="single" w:color="auto" w:sz="12" w:space="0"/>
            </w:tcBorders>
            <w:noWrap w:val="0"/>
            <w:vAlign w:val="center"/>
          </w:tcPr>
          <w:p w14:paraId="35461E27">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4DA4E9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56"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6C0DF0F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61" w:type="dxa"/>
            <w:tcBorders>
              <w:top w:val="single" w:color="auto" w:sz="12" w:space="0"/>
              <w:left w:val="single" w:color="auto" w:sz="2" w:space="0"/>
              <w:bottom w:val="single" w:color="auto" w:sz="2" w:space="0"/>
              <w:right w:val="single" w:color="auto" w:sz="2" w:space="0"/>
            </w:tcBorders>
            <w:noWrap w:val="0"/>
            <w:vAlign w:val="center"/>
          </w:tcPr>
          <w:p w14:paraId="0441176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29" w:type="dxa"/>
            <w:tcBorders>
              <w:top w:val="single" w:color="auto" w:sz="12" w:space="0"/>
              <w:left w:val="single" w:color="auto" w:sz="2" w:space="0"/>
              <w:bottom w:val="single" w:color="auto" w:sz="2" w:space="0"/>
              <w:right w:val="single" w:color="auto" w:sz="12" w:space="0"/>
            </w:tcBorders>
            <w:noWrap w:val="0"/>
            <w:vAlign w:val="center"/>
          </w:tcPr>
          <w:p w14:paraId="2F09758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花卉、饰物、设施、环境等配置相互协调，花坛花卉色彩搭配与层次处理得当，色块分界明显，线条流畅，同一色块顶面高度保持一致，整体观赏效果良好。</w:t>
            </w:r>
          </w:p>
        </w:tc>
      </w:tr>
      <w:tr w14:paraId="402DFB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63A46F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92859C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700673D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植株健壮，叶的形状、大小、色泽正常，开花整齐、应时，花型正，花色艳，花期达至规定要求。达标率＞90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902410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0845E9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404230B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048EE61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无残花、枯枝、黄叶，基本无杂草，无倒伏现象，保持花坛同一色块顶面高度一致，保持良好的观赏效果。达标率＞90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853BEC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8"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45DF6FE">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四</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9B0B19D">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34AA9494">
            <w:pPr>
              <w:pStyle w:val="186"/>
              <w:widowControl w:val="0"/>
              <w:spacing w:line="240" w:lineRule="auto"/>
              <w:ind w:firstLine="360" w:firstLineChars="15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61971AC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23"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6BEF8569">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五</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5EFCD1E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0215E88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更换</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23B25AA1">
            <w:pPr>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花坛应无黄土裸露、缺株和萎蔫现象。存在黄土裸露、缺株和萎蔫现象时应及时补种和更换；更换时边缘土面低于花坛边缘石顶5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cm，同一色块的顶面保持一致。达标率＞95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 xml:space="preserve">。 </w:t>
            </w:r>
          </w:p>
        </w:tc>
      </w:tr>
      <w:tr w14:paraId="35E54B3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3"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2C31DEB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12434FD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3E4E8F85">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设施稳固、整洁、完好，与花坛协调美观；饰物和雕塑等应安全、美观。达标率＞90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025F51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3"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6BA6F8A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61" w:type="dxa"/>
            <w:tcBorders>
              <w:top w:val="single" w:color="auto" w:sz="2" w:space="0"/>
              <w:left w:val="single" w:color="auto" w:sz="2" w:space="0"/>
              <w:bottom w:val="single" w:color="auto" w:sz="8" w:space="0"/>
              <w:right w:val="single" w:color="auto" w:sz="2" w:space="0"/>
            </w:tcBorders>
            <w:noWrap w:val="0"/>
            <w:vAlign w:val="center"/>
          </w:tcPr>
          <w:p w14:paraId="69D8F4E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29" w:type="dxa"/>
            <w:tcBorders>
              <w:top w:val="single" w:color="auto" w:sz="2" w:space="0"/>
              <w:left w:val="single" w:color="auto" w:sz="2" w:space="0"/>
              <w:bottom w:val="single" w:color="auto" w:sz="8" w:space="0"/>
              <w:right w:val="single" w:color="auto" w:sz="12" w:space="0"/>
            </w:tcBorders>
            <w:noWrap w:val="0"/>
            <w:vAlign w:val="center"/>
          </w:tcPr>
          <w:p w14:paraId="4F226094">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无垃圾，无泥土散落、弄脏道路及周围环境现象；假花无散落现象；设施完好、整洁、美观。达标率＞95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984FA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31F7A36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5AE2C597">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bookmarkStart w:id="73" w:name="_Toc421120726"/>
    </w:p>
    <w:p w14:paraId="05AAB0EA">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特级护坡养护质量要求</w:t>
      </w:r>
      <w:bookmarkEnd w:id="73"/>
    </w:p>
    <w:p w14:paraId="4DCC5421">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应符合表A.12的规定。</w:t>
      </w:r>
    </w:p>
    <w:p w14:paraId="58BB4E4E">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表A.12 特级护坡养护质量要求表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440"/>
        <w:gridCol w:w="7154"/>
      </w:tblGrid>
      <w:tr w14:paraId="6F89B4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3" w:hRule="atLeast"/>
        </w:trPr>
        <w:tc>
          <w:tcPr>
            <w:tcW w:w="751" w:type="dxa"/>
            <w:tcBorders>
              <w:top w:val="single" w:color="auto" w:sz="12" w:space="0"/>
              <w:left w:val="single" w:color="auto" w:sz="12" w:space="0"/>
              <w:bottom w:val="single" w:color="auto" w:sz="12" w:space="0"/>
              <w:right w:val="single" w:color="auto" w:sz="2" w:space="0"/>
            </w:tcBorders>
            <w:noWrap w:val="0"/>
            <w:vAlign w:val="center"/>
          </w:tcPr>
          <w:p w14:paraId="4BAFBD6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0343104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2" w:space="0"/>
              <w:bottom w:val="single" w:color="auto" w:sz="12" w:space="0"/>
              <w:right w:val="single" w:color="auto" w:sz="12" w:space="0"/>
            </w:tcBorders>
            <w:noWrap w:val="0"/>
            <w:vAlign w:val="center"/>
          </w:tcPr>
          <w:p w14:paraId="5890317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04C0F1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751" w:type="dxa"/>
            <w:tcBorders>
              <w:top w:val="single" w:color="auto" w:sz="12" w:space="0"/>
              <w:left w:val="single" w:color="auto" w:sz="12" w:space="0"/>
              <w:bottom w:val="single" w:color="auto" w:sz="2" w:space="0"/>
              <w:right w:val="single" w:color="auto" w:sz="2" w:space="0"/>
            </w:tcBorders>
            <w:noWrap w:val="0"/>
            <w:vAlign w:val="center"/>
          </w:tcPr>
          <w:p w14:paraId="49E27D0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0DFE349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54" w:type="dxa"/>
            <w:tcBorders>
              <w:top w:val="single" w:color="auto" w:sz="12" w:space="0"/>
              <w:left w:val="single" w:color="auto" w:sz="2" w:space="0"/>
              <w:bottom w:val="single" w:color="auto" w:sz="2" w:space="0"/>
              <w:right w:val="single" w:color="auto" w:sz="12" w:space="0"/>
            </w:tcBorders>
            <w:noWrap w:val="0"/>
            <w:vAlign w:val="center"/>
          </w:tcPr>
          <w:p w14:paraId="1EF95CFC">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植物配置合理，具景观特色和固土护坡作用，整体观赏效果优良。</w:t>
            </w:r>
          </w:p>
        </w:tc>
      </w:tr>
      <w:tr w14:paraId="605B4B8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6880D43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E7FE5D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78CF4A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植物生长良好，符合物候状况；叶的颜色、形状、大小正常，树体自然；观花植物适时开花，花期基本一致。达标率＞95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9EB3BF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558"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770A141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4E4E1C8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B38532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树形良好。整型孤植乔灌木：按要求养成并维持一定形态，形态美观。整形的片植灌木和草本植物：图形优美，边线清晰、流畅。一般片植灌木和草本地被按要求养成常绿、观花或观叶形态，整体基本整齐，无明显的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CD6F9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653F680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EB5982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33AB2B4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小乔木与孤植灌木应做树盘，树盘土壤疏松、大小基本一致，无明显的杂草、杂物。达标率＞95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28D491C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5"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D0274D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17072CB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C23CC4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草坪青绿；无大型杂草和异型杂草；草坪基本平整，高度控制在10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DA654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97"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C52A2F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B3D29C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3A1E0F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基本无危害迹象；病虫总为害率＜15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8BAA1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5C7DF40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A4C3F9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DDDC50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4798B3C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67" w:hRule="atLeast"/>
        </w:trPr>
        <w:tc>
          <w:tcPr>
            <w:tcW w:w="751" w:type="dxa"/>
            <w:tcBorders>
              <w:top w:val="single" w:color="auto" w:sz="2" w:space="0"/>
              <w:left w:val="single" w:color="auto" w:sz="12" w:space="0"/>
              <w:bottom w:val="single" w:color="auto" w:sz="8" w:space="0"/>
              <w:right w:val="single" w:color="auto" w:sz="2" w:space="0"/>
            </w:tcBorders>
            <w:noWrap w:val="0"/>
            <w:vAlign w:val="center"/>
          </w:tcPr>
          <w:p w14:paraId="55C6BB0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2AA4AD3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2" w:space="0"/>
              <w:left w:val="single" w:color="auto" w:sz="2" w:space="0"/>
              <w:bottom w:val="single" w:color="auto" w:sz="8" w:space="0"/>
              <w:right w:val="single" w:color="auto" w:sz="12" w:space="0"/>
            </w:tcBorders>
            <w:noWrap w:val="0"/>
            <w:vAlign w:val="center"/>
          </w:tcPr>
          <w:p w14:paraId="56AA042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设施完好，无塌方现象；无死树、残桩头、堆积物；远观无明显垃圾，修剪枝叶当天清理。达标率＞95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4B40E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91"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45BE7B6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5F4C1903">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bookmarkStart w:id="74" w:name="_Toc421120727"/>
    </w:p>
    <w:p w14:paraId="343D7382">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一级护坡养护质量要求</w:t>
      </w:r>
      <w:bookmarkEnd w:id="74"/>
    </w:p>
    <w:p w14:paraId="3184C27F">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应符合表A.13的规定。</w:t>
      </w:r>
    </w:p>
    <w:p w14:paraId="7A37EC7B">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表A.13　一级护坡养护质量要求表</w:t>
      </w:r>
    </w:p>
    <w:tbl>
      <w:tblPr>
        <w:tblStyle w:val="47"/>
        <w:tblW w:w="9581"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0"/>
        <w:gridCol w:w="7421"/>
      </w:tblGrid>
      <w:tr w14:paraId="1C2A921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6FCE6DE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4B38A3A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421" w:type="dxa"/>
            <w:tcBorders>
              <w:top w:val="single" w:color="auto" w:sz="12" w:space="0"/>
              <w:left w:val="single" w:color="auto" w:sz="2" w:space="0"/>
              <w:bottom w:val="single" w:color="auto" w:sz="12" w:space="0"/>
              <w:right w:val="single" w:color="auto" w:sz="12" w:space="0"/>
            </w:tcBorders>
            <w:noWrap w:val="0"/>
            <w:vAlign w:val="center"/>
          </w:tcPr>
          <w:p w14:paraId="59F5F9A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22508C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5"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4BE4633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677ECCB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421" w:type="dxa"/>
            <w:tcBorders>
              <w:top w:val="single" w:color="auto" w:sz="12" w:space="0"/>
              <w:left w:val="single" w:color="auto" w:sz="2" w:space="0"/>
              <w:bottom w:val="single" w:color="auto" w:sz="2" w:space="0"/>
              <w:right w:val="single" w:color="auto" w:sz="12" w:space="0"/>
            </w:tcBorders>
            <w:noWrap w:val="0"/>
            <w:vAlign w:val="center"/>
          </w:tcPr>
          <w:p w14:paraId="088DD2D7">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植物配置合理，具固土护坡作用和良好的绿化观赏效果。</w:t>
            </w:r>
          </w:p>
        </w:tc>
      </w:tr>
      <w:tr w14:paraId="55B680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2CE2B5E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0A4E21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399BDE1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生长季节植物生长正常，符合物候状况，树体自然；旱季片植地被植物无明显的枯死现象。达标率＞90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B52D22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381FCC2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039BE91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1D26E48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乔木、一般孤植灌木：无明显的干枯枝、病虫枝。整型乔灌木：按要求养成并维持一定形态。片植灌木及地被植物：整体基本平整，无明显的枯黄叶、杂草。达标率＞90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DD455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0"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4474EC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157587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269DB57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小乔木与孤植灌木应做树盘，树盘土壤疏松，无明显的杂草、杂物。达标率＞90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47018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480822F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17B710F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4DFC76E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草坪生长季节基本青绿；高度控制在15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B93D9D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3"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CEEF63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86805E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3356610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1F4A60A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无严重的危害迹象；病虫总为害率＜20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147D07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19"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726FEB6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295FBB3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48CDDC6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，乔灌木缺株率＜8</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，单处明显裸露面积＜10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4EBC02A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3"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6C49693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7C4FAC9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421" w:type="dxa"/>
            <w:tcBorders>
              <w:top w:val="single" w:color="auto" w:sz="2" w:space="0"/>
              <w:left w:val="single" w:color="auto" w:sz="2" w:space="0"/>
              <w:bottom w:val="single" w:color="auto" w:sz="8" w:space="0"/>
              <w:right w:val="single" w:color="auto" w:sz="12" w:space="0"/>
            </w:tcBorders>
            <w:noWrap w:val="0"/>
            <w:vAlign w:val="center"/>
          </w:tcPr>
          <w:p w14:paraId="3E210A5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设施完好，无塌方现象；无死树、堆积物；远观无明显垃圾，修剪枝叶当天清理。达标率＞90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F73332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86" w:hRule="atLeast"/>
        </w:trPr>
        <w:tc>
          <w:tcPr>
            <w:tcW w:w="9581" w:type="dxa"/>
            <w:gridSpan w:val="3"/>
            <w:tcBorders>
              <w:top w:val="single" w:color="auto" w:sz="8" w:space="0"/>
              <w:left w:val="single" w:color="auto" w:sz="12" w:space="0"/>
              <w:bottom w:val="single" w:color="auto" w:sz="12" w:space="0"/>
              <w:right w:val="single" w:color="auto" w:sz="12" w:space="0"/>
            </w:tcBorders>
            <w:noWrap w:val="0"/>
            <w:vAlign w:val="center"/>
          </w:tcPr>
          <w:p w14:paraId="6214DE0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5982B07C">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bookmarkStart w:id="75" w:name="_Toc421120728"/>
    </w:p>
    <w:p w14:paraId="7AC5ED2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二级护坡养护质量要求</w:t>
      </w:r>
      <w:bookmarkEnd w:id="75"/>
    </w:p>
    <w:p w14:paraId="57D4EFAA">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应符合表A.14的规定。</w:t>
      </w:r>
    </w:p>
    <w:p w14:paraId="482B2E76">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表A.14 二级护坡养护质量要求表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440"/>
        <w:gridCol w:w="7154"/>
      </w:tblGrid>
      <w:tr w14:paraId="077894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trPr>
        <w:tc>
          <w:tcPr>
            <w:tcW w:w="751" w:type="dxa"/>
            <w:tcBorders>
              <w:top w:val="single" w:color="auto" w:sz="12" w:space="0"/>
              <w:left w:val="single" w:color="auto" w:sz="12" w:space="0"/>
              <w:bottom w:val="single" w:color="auto" w:sz="12" w:space="0"/>
              <w:right w:val="single" w:color="auto" w:sz="2" w:space="0"/>
            </w:tcBorders>
            <w:noWrap w:val="0"/>
            <w:vAlign w:val="center"/>
          </w:tcPr>
          <w:p w14:paraId="120233F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7412146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2" w:space="0"/>
              <w:bottom w:val="single" w:color="auto" w:sz="12" w:space="0"/>
              <w:right w:val="single" w:color="auto" w:sz="12" w:space="0"/>
            </w:tcBorders>
            <w:noWrap w:val="0"/>
            <w:vAlign w:val="center"/>
          </w:tcPr>
          <w:p w14:paraId="6C8541B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68F0DD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0" w:hRule="atLeast"/>
        </w:trPr>
        <w:tc>
          <w:tcPr>
            <w:tcW w:w="751" w:type="dxa"/>
            <w:tcBorders>
              <w:top w:val="single" w:color="auto" w:sz="12" w:space="0"/>
              <w:left w:val="single" w:color="auto" w:sz="12" w:space="0"/>
              <w:bottom w:val="single" w:color="auto" w:sz="2" w:space="0"/>
              <w:right w:val="single" w:color="auto" w:sz="2" w:space="0"/>
            </w:tcBorders>
            <w:noWrap w:val="0"/>
            <w:vAlign w:val="center"/>
          </w:tcPr>
          <w:p w14:paraId="58FF53A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142B93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54" w:type="dxa"/>
            <w:tcBorders>
              <w:top w:val="single" w:color="auto" w:sz="12" w:space="0"/>
              <w:left w:val="single" w:color="auto" w:sz="2" w:space="0"/>
              <w:bottom w:val="single" w:color="auto" w:sz="2" w:space="0"/>
              <w:right w:val="single" w:color="auto" w:sz="12" w:space="0"/>
            </w:tcBorders>
            <w:noWrap w:val="0"/>
            <w:vAlign w:val="center"/>
          </w:tcPr>
          <w:p w14:paraId="7FA7BD67">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植物配置基本合理，具固土护坡作用和较好的绿化效果。</w:t>
            </w:r>
          </w:p>
        </w:tc>
      </w:tr>
      <w:tr w14:paraId="2249B8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7"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D76590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98D268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6918355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生长季节植物生长正常，符合物候状况；旱季片植地被植物无成片枯死现象。达标率＞85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0C1407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9"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6C79AAA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8C9DB9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1AB08F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乔木、一般孤植灌木：无明显的干枯枝、病虫枝。片植灌木及地被植物：基本平整，无明显的枯枝、黄叶、杂草。达标率＞85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0977D0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6"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29BAA53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A0DA92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556F50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小乔木应做树盘，树盘土壤疏松，无明显的杂草、杂物。达标率＞85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B8DB22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0"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A3789D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25D8569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7E8A7CA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草坪生长季节基本青绿；高度控制在20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2CBDD3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9"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3F1A015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135A7E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A2C84A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无严重的危害迹象；病虫害总为害率＜25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5E6D5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48"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6CFFECB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C5B30B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6E04B99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改造</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F59142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0DF72D5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69" w:hRule="atLeast"/>
        </w:trPr>
        <w:tc>
          <w:tcPr>
            <w:tcW w:w="751" w:type="dxa"/>
            <w:tcBorders>
              <w:top w:val="single" w:color="auto" w:sz="2" w:space="0"/>
              <w:left w:val="single" w:color="auto" w:sz="12" w:space="0"/>
              <w:bottom w:val="single" w:color="auto" w:sz="8" w:space="0"/>
              <w:right w:val="single" w:color="auto" w:sz="2" w:space="0"/>
            </w:tcBorders>
            <w:noWrap w:val="0"/>
            <w:vAlign w:val="center"/>
          </w:tcPr>
          <w:p w14:paraId="4B01C86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1A06C99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2" w:space="0"/>
              <w:left w:val="single" w:color="auto" w:sz="2" w:space="0"/>
              <w:bottom w:val="single" w:color="auto" w:sz="8" w:space="0"/>
              <w:right w:val="single" w:color="auto" w:sz="12" w:space="0"/>
            </w:tcBorders>
            <w:noWrap w:val="0"/>
            <w:vAlign w:val="center"/>
          </w:tcPr>
          <w:p w14:paraId="120C5EA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无明显塌方现象；无死树、堆积物；远观无明显垃圾，修剪枝叶当天清理。达标率＞90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5D44E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47"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5F1805C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56B82C87">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bookmarkStart w:id="76" w:name="_Toc421120729"/>
    </w:p>
    <w:p w14:paraId="1A5F869F">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三级护坡养护质量要求</w:t>
      </w:r>
      <w:bookmarkEnd w:id="76"/>
    </w:p>
    <w:p w14:paraId="27882AEE">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应符合表A.15的规定。</w:t>
      </w:r>
    </w:p>
    <w:p w14:paraId="52590AD7">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表A.15 三级护坡养护质量要求表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0"/>
        <w:gridCol w:w="7185"/>
      </w:tblGrid>
      <w:tr w14:paraId="254159C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58"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2B12E9F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605442D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85" w:type="dxa"/>
            <w:tcBorders>
              <w:top w:val="single" w:color="auto" w:sz="12" w:space="0"/>
              <w:left w:val="single" w:color="auto" w:sz="2" w:space="0"/>
              <w:bottom w:val="single" w:color="auto" w:sz="12" w:space="0"/>
              <w:right w:val="single" w:color="auto" w:sz="12" w:space="0"/>
            </w:tcBorders>
            <w:noWrap w:val="0"/>
            <w:vAlign w:val="center"/>
          </w:tcPr>
          <w:p w14:paraId="418E301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06D7B89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0"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4DB296B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41ECBC0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85" w:type="dxa"/>
            <w:tcBorders>
              <w:top w:val="single" w:color="auto" w:sz="12" w:space="0"/>
              <w:left w:val="single" w:color="auto" w:sz="2" w:space="0"/>
              <w:bottom w:val="single" w:color="auto" w:sz="2" w:space="0"/>
              <w:right w:val="single" w:color="auto" w:sz="12" w:space="0"/>
            </w:tcBorders>
            <w:noWrap w:val="0"/>
            <w:vAlign w:val="center"/>
          </w:tcPr>
          <w:p w14:paraId="5912EDDA">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具固土护坡作用和一定的绿化效果。</w:t>
            </w:r>
          </w:p>
        </w:tc>
      </w:tr>
      <w:tr w14:paraId="78D0F82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5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239ECE5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0FBBA8B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293D2AA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生长季节植物生长正常，符合物候状况；旱季片植地被植物无成片枯死现象。达标率＞80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6C1FF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72"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0C3F0E4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1BEFFB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302DDF5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乔木、一般孤植灌木：无明显的干枯枝、病虫枝。片植灌木及地被植物：无明显的杂物。达标率＞80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DEA2F0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2"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77A56B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8BBF93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0C4C66C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小乔木应做树盘，树盘土壤疏松，无明显的杂草、杂物。达标率＞80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5FC1DC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91D6AB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2F772B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0553B4C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0450D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9A59A1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25F4EC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4DDF13C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无严重的危害迹象；病虫害总为害率＜35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47E0E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7"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C48A85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FD81F8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36DC95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改造</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7C8776C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078108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0"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2CCCC4D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57B2C24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85" w:type="dxa"/>
            <w:tcBorders>
              <w:top w:val="single" w:color="auto" w:sz="2" w:space="0"/>
              <w:left w:val="single" w:color="auto" w:sz="2" w:space="0"/>
              <w:bottom w:val="single" w:color="auto" w:sz="8" w:space="0"/>
              <w:right w:val="single" w:color="auto" w:sz="12" w:space="0"/>
            </w:tcBorders>
            <w:noWrap w:val="0"/>
            <w:vAlign w:val="center"/>
          </w:tcPr>
          <w:p w14:paraId="58271CF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无明显塌方现象；无死树；远观无明显杂物。达标率＞85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42630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9"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37C508D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2C0AEB0F">
      <w:pPr>
        <w:tabs>
          <w:tab w:val="left" w:pos="180"/>
          <w:tab w:val="left" w:pos="1620"/>
        </w:tabs>
        <w:spacing w:line="360" w:lineRule="auto"/>
        <w:ind w:firstLine="482" w:firstLineChars="200"/>
        <w:jc w:val="center"/>
        <w:outlineLvl w:val="0"/>
        <w:rPr>
          <w:rFonts w:hint="eastAsia" w:asciiTheme="minorEastAsia" w:hAnsiTheme="minorEastAsia" w:eastAsiaTheme="minorEastAsia" w:cstheme="minorEastAsia"/>
          <w:b/>
          <w:bCs/>
          <w:color w:val="auto"/>
          <w:sz w:val="24"/>
          <w:szCs w:val="24"/>
        </w:rPr>
      </w:pPr>
    </w:p>
    <w:p w14:paraId="3224773F">
      <w:pPr>
        <w:tabs>
          <w:tab w:val="left" w:pos="180"/>
          <w:tab w:val="left" w:pos="1620"/>
        </w:tabs>
        <w:spacing w:line="360" w:lineRule="auto"/>
        <w:ind w:firstLine="482" w:firstLineChars="200"/>
        <w:jc w:val="center"/>
        <w:outlineLvl w:val="0"/>
        <w:rPr>
          <w:rFonts w:hint="eastAsia" w:asciiTheme="minorEastAsia" w:hAnsiTheme="minorEastAsia" w:eastAsiaTheme="minorEastAsia" w:cstheme="minorEastAsia"/>
          <w:b/>
          <w:bCs/>
          <w:color w:val="auto"/>
          <w:sz w:val="24"/>
          <w:szCs w:val="24"/>
        </w:rPr>
        <w:sectPr>
          <w:pgSz w:w="11910" w:h="16840"/>
          <w:pgMar w:top="1304" w:right="1247" w:bottom="1304" w:left="1247" w:header="720" w:footer="720" w:gutter="0"/>
          <w:pgNumType w:fmt="decimal"/>
          <w:cols w:space="720" w:num="1"/>
          <w:titlePg/>
          <w:docGrid w:linePitch="286" w:charSpace="0"/>
        </w:sectPr>
      </w:pPr>
    </w:p>
    <w:p w14:paraId="72AB3ED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附件3：</w:t>
      </w:r>
    </w:p>
    <w:p w14:paraId="6DA06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color w:val="auto"/>
          <w:spacing w:val="-11"/>
          <w:sz w:val="24"/>
          <w:szCs w:val="24"/>
        </w:rPr>
      </w:pPr>
      <w:r>
        <w:rPr>
          <w:rFonts w:hint="eastAsia" w:asciiTheme="minorEastAsia" w:hAnsiTheme="minorEastAsia" w:eastAsiaTheme="minorEastAsia" w:cstheme="minorEastAsia"/>
          <w:b w:val="0"/>
          <w:bCs w:val="0"/>
          <w:color w:val="auto"/>
          <w:sz w:val="24"/>
          <w:szCs w:val="24"/>
          <w:lang w:eastAsia="zh-CN"/>
        </w:rPr>
        <w:t>蒙山县县</w:t>
      </w:r>
      <w:r>
        <w:rPr>
          <w:rFonts w:hint="eastAsia" w:asciiTheme="minorEastAsia" w:hAnsiTheme="minorEastAsia" w:eastAsiaTheme="minorEastAsia" w:cstheme="minorEastAsia"/>
          <w:b w:val="0"/>
          <w:bCs w:val="0"/>
          <w:color w:val="auto"/>
          <w:sz w:val="24"/>
          <w:szCs w:val="24"/>
        </w:rPr>
        <w:t>城园林绿化养护、绿地管理内容、标准及考核办法</w:t>
      </w:r>
    </w:p>
    <w:p w14:paraId="642CA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rPr>
      </w:pPr>
    </w:p>
    <w:p w14:paraId="2CE32D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为了加强对县城园林绿地的管理、监管，进一步落实责任，全面提升绿地的管理养护质量和水平，根据</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梧州</w:t>
      </w:r>
      <w:r>
        <w:rPr>
          <w:rFonts w:hint="eastAsia" w:asciiTheme="minorEastAsia" w:hAnsiTheme="minorEastAsia" w:eastAsiaTheme="minorEastAsia" w:cstheme="minorEastAsia"/>
          <w:color w:val="auto"/>
          <w:sz w:val="24"/>
          <w:szCs w:val="24"/>
        </w:rPr>
        <w:t>市城市绿化条例》</w:t>
      </w:r>
      <w:r>
        <w:rPr>
          <w:rFonts w:hint="eastAsia" w:asciiTheme="minorEastAsia" w:hAnsiTheme="minorEastAsia" w:eastAsiaTheme="minorEastAsia" w:cstheme="minorEastAsia"/>
          <w:color w:val="auto"/>
          <w:kern w:val="0"/>
          <w:sz w:val="24"/>
          <w:szCs w:val="24"/>
        </w:rPr>
        <w:t>有关法律法规，制定本办法。</w:t>
      </w:r>
    </w:p>
    <w:p w14:paraId="1364E2F4">
      <w:pPr>
        <w:keepNext w:val="0"/>
        <w:keepLines w:val="0"/>
        <w:pageBreakBefore w:val="0"/>
        <w:widowControl/>
        <w:kinsoku/>
        <w:wordWrap/>
        <w:overflowPunct/>
        <w:topLinePunct w:val="0"/>
        <w:autoSpaceDE/>
        <w:autoSpaceDN/>
        <w:bidi w:val="0"/>
        <w:adjustRightInd/>
        <w:snapToGrid/>
        <w:spacing w:line="360" w:lineRule="auto"/>
        <w:ind w:firstLine="645"/>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4"/>
          <w:szCs w:val="24"/>
        </w:rPr>
        <w:t>一、指导思想</w:t>
      </w:r>
    </w:p>
    <w:p w14:paraId="7F41A90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以</w:t>
      </w:r>
      <w:r>
        <w:rPr>
          <w:rFonts w:hint="eastAsia" w:asciiTheme="minorEastAsia" w:hAnsiTheme="minorEastAsia" w:eastAsiaTheme="minorEastAsia" w:cstheme="minorEastAsia"/>
          <w:color w:val="auto"/>
          <w:sz w:val="24"/>
          <w:szCs w:val="24"/>
        </w:rPr>
        <w:t>贯彻落实中央提出的“创新、协调、绿色、开放、共享”的发展理念</w:t>
      </w:r>
      <w:r>
        <w:rPr>
          <w:rFonts w:hint="eastAsia" w:asciiTheme="minorEastAsia" w:hAnsiTheme="minorEastAsia" w:eastAsiaTheme="minorEastAsia" w:cstheme="minorEastAsia"/>
          <w:color w:val="auto"/>
          <w:kern w:val="0"/>
          <w:sz w:val="24"/>
          <w:szCs w:val="24"/>
        </w:rPr>
        <w:t>为指导，围绕我县</w:t>
      </w:r>
      <w:r>
        <w:rPr>
          <w:rFonts w:hint="eastAsia" w:asciiTheme="minorEastAsia" w:hAnsiTheme="minorEastAsia" w:eastAsiaTheme="minorEastAsia" w:cstheme="minorEastAsia"/>
          <w:color w:val="auto"/>
          <w:kern w:val="0"/>
          <w:sz w:val="24"/>
          <w:szCs w:val="24"/>
          <w:lang w:eastAsia="zh-CN"/>
        </w:rPr>
        <w:t>巩固</w:t>
      </w:r>
      <w:r>
        <w:rPr>
          <w:rFonts w:hint="eastAsia" w:asciiTheme="minorEastAsia" w:hAnsiTheme="minorEastAsia" w:eastAsiaTheme="minorEastAsia" w:cstheme="minorEastAsia"/>
          <w:color w:val="auto"/>
          <w:kern w:val="0"/>
          <w:sz w:val="24"/>
          <w:szCs w:val="24"/>
        </w:rPr>
        <w:t>创建</w:t>
      </w:r>
      <w:r>
        <w:rPr>
          <w:rFonts w:hint="eastAsia" w:asciiTheme="minorEastAsia" w:hAnsiTheme="minorEastAsia" w:eastAsiaTheme="minorEastAsia" w:cstheme="minorEastAsia"/>
          <w:color w:val="auto"/>
          <w:kern w:val="0"/>
          <w:sz w:val="24"/>
          <w:szCs w:val="24"/>
          <w:lang w:eastAsia="zh-CN"/>
        </w:rPr>
        <w:t>国家</w:t>
      </w:r>
      <w:r>
        <w:rPr>
          <w:rFonts w:hint="eastAsia" w:asciiTheme="minorEastAsia" w:hAnsiTheme="minorEastAsia" w:eastAsiaTheme="minorEastAsia" w:cstheme="minorEastAsia"/>
          <w:color w:val="auto"/>
          <w:kern w:val="0"/>
          <w:sz w:val="24"/>
          <w:szCs w:val="24"/>
        </w:rPr>
        <w:t>园林县城的目标，不断提升城市绿化景观效果；不断提升城市绿地养护管理科学化、精细化和规范化的水平，建立完善园林长效管理机制。</w:t>
      </w:r>
    </w:p>
    <w:p w14:paraId="0A38B8D1">
      <w:pPr>
        <w:keepNext w:val="0"/>
        <w:keepLines w:val="0"/>
        <w:pageBreakBefore w:val="0"/>
        <w:numPr>
          <w:ilvl w:val="0"/>
          <w:numId w:val="8"/>
        </w:numPr>
        <w:kinsoku/>
        <w:wordWrap/>
        <w:overflowPunct/>
        <w:topLinePunct w:val="0"/>
        <w:autoSpaceDE/>
        <w:autoSpaceDN/>
        <w:bidi w:val="0"/>
        <w:adjustRightInd/>
        <w:snapToGrid/>
        <w:spacing w:line="360" w:lineRule="auto"/>
        <w:ind w:firstLine="472" w:firstLineChars="196"/>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园林绿化养护、绿地管理内容</w:t>
      </w:r>
    </w:p>
    <w:p w14:paraId="0DCEAAD8">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按照</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广西城市绿化养护规范及验收要求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三级养护标准进行养护管理</w:t>
      </w:r>
      <w:r>
        <w:rPr>
          <w:rFonts w:hint="eastAsia" w:asciiTheme="minorEastAsia" w:hAnsiTheme="minorEastAsia" w:eastAsiaTheme="minorEastAsia" w:cstheme="minorEastAsia"/>
          <w:color w:val="auto"/>
          <w:sz w:val="24"/>
          <w:szCs w:val="24"/>
          <w:lang w:val="en-US" w:eastAsia="zh-CN"/>
        </w:rPr>
        <w:t>（详见附件）</w:t>
      </w:r>
      <w:r>
        <w:rPr>
          <w:rFonts w:hint="eastAsia" w:asciiTheme="minorEastAsia" w:hAnsiTheme="minorEastAsia" w:eastAsiaTheme="minorEastAsia" w:cstheme="minorEastAsia"/>
          <w:color w:val="auto"/>
          <w:sz w:val="24"/>
          <w:szCs w:val="24"/>
        </w:rPr>
        <w:t>。</w:t>
      </w:r>
    </w:p>
    <w:p w14:paraId="0F11430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val="en-US" w:eastAsia="zh-CN"/>
        </w:rPr>
        <w:t xml:space="preserve">  </w:t>
      </w:r>
      <w:r>
        <w:rPr>
          <w:rFonts w:hint="eastAsia" w:asciiTheme="minorEastAsia" w:hAnsiTheme="minorEastAsia" w:eastAsiaTheme="minorEastAsia" w:cstheme="minorEastAsia"/>
          <w:color w:val="auto"/>
          <w:kern w:val="0"/>
          <w:sz w:val="24"/>
          <w:szCs w:val="24"/>
        </w:rPr>
        <w:t xml:space="preserve">  </w:t>
      </w:r>
      <w:r>
        <w:rPr>
          <w:rFonts w:hint="eastAsia" w:asciiTheme="minorEastAsia" w:hAnsiTheme="minorEastAsia" w:eastAsiaTheme="minorEastAsia" w:cstheme="minorEastAsia"/>
          <w:b/>
          <w:bCs/>
          <w:color w:val="auto"/>
          <w:sz w:val="24"/>
          <w:szCs w:val="24"/>
        </w:rPr>
        <w:t>三、考核内容及标准</w:t>
      </w:r>
    </w:p>
    <w:p w14:paraId="09046890">
      <w:pPr>
        <w:keepNext w:val="0"/>
        <w:keepLines w:val="0"/>
        <w:pageBreakBefore w:val="0"/>
        <w:widowControl/>
        <w:kinsoku/>
        <w:wordWrap/>
        <w:overflowPunct/>
        <w:topLinePunct w:val="0"/>
        <w:autoSpaceDE/>
        <w:autoSpaceDN/>
        <w:bidi w:val="0"/>
        <w:adjustRightInd/>
        <w:snapToGrid/>
        <w:spacing w:line="360" w:lineRule="auto"/>
        <w:ind w:firstLine="645"/>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县城建成区公共绿地，具体标准附后。</w:t>
      </w:r>
    </w:p>
    <w:p w14:paraId="24C42DCA">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四、被考核单位</w:t>
      </w:r>
    </w:p>
    <w:p w14:paraId="3A8C6DB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eastAsia="zh-CN"/>
        </w:rPr>
        <w:t>建成区</w:t>
      </w:r>
      <w:r>
        <w:rPr>
          <w:rFonts w:hint="eastAsia" w:asciiTheme="minorEastAsia" w:hAnsiTheme="minorEastAsia" w:eastAsiaTheme="minorEastAsia" w:cstheme="minorEastAsia"/>
          <w:color w:val="auto"/>
          <w:kern w:val="0"/>
          <w:sz w:val="24"/>
          <w:szCs w:val="24"/>
        </w:rPr>
        <w:t>公共绿地养护单位。</w:t>
      </w:r>
    </w:p>
    <w:p w14:paraId="5F274255">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pacing w:val="-6"/>
          <w:sz w:val="24"/>
          <w:szCs w:val="24"/>
        </w:rPr>
      </w:pPr>
      <w:r>
        <w:rPr>
          <w:rFonts w:hint="eastAsia" w:asciiTheme="minorEastAsia" w:hAnsiTheme="minorEastAsia" w:eastAsiaTheme="minorEastAsia" w:cstheme="minorEastAsia"/>
          <w:b/>
          <w:bCs/>
          <w:color w:val="auto"/>
          <w:sz w:val="24"/>
          <w:szCs w:val="24"/>
        </w:rPr>
        <w:t>五、</w:t>
      </w:r>
      <w:r>
        <w:rPr>
          <w:rFonts w:hint="eastAsia" w:asciiTheme="minorEastAsia" w:hAnsiTheme="minorEastAsia" w:eastAsiaTheme="minorEastAsia" w:cstheme="minorEastAsia"/>
          <w:b/>
          <w:bCs/>
          <w:color w:val="auto"/>
          <w:sz w:val="24"/>
          <w:szCs w:val="24"/>
          <w:lang w:eastAsia="zh-CN"/>
        </w:rPr>
        <w:t>蒙山县县</w:t>
      </w:r>
      <w:r>
        <w:rPr>
          <w:rFonts w:hint="eastAsia" w:asciiTheme="minorEastAsia" w:hAnsiTheme="minorEastAsia" w:eastAsiaTheme="minorEastAsia" w:cstheme="minorEastAsia"/>
          <w:b/>
          <w:bCs/>
          <w:color w:val="auto"/>
          <w:sz w:val="24"/>
          <w:szCs w:val="24"/>
        </w:rPr>
        <w:t>城园林绿化养护、绿地管理内容、标准及考核办法</w:t>
      </w:r>
    </w:p>
    <w:p w14:paraId="67687C97">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第一章   总    则</w:t>
      </w:r>
    </w:p>
    <w:p w14:paraId="44EAD4C6">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为促进</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园林绿化建设，加强园林绿化行业管理，提高园林绿化养护质量，根据广西壮族自治区地方标准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广西城市绿化养护规范及验收要求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的有关工作要求，结合本县实际制定本办法。</w:t>
      </w:r>
    </w:p>
    <w:p w14:paraId="4AFE9C88">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第二章   管理内容</w:t>
      </w:r>
    </w:p>
    <w:p w14:paraId="6686AEFA">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所承包范围内所有公共区域的绿化养护工作。</w:t>
      </w:r>
    </w:p>
    <w:p w14:paraId="2166CE44">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第三章   绿化养护标准</w:t>
      </w:r>
    </w:p>
    <w:p w14:paraId="6DC17766">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参看附件《</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县城园林绿化养护质量考核评分细则》中“评分标准”一栏。</w:t>
      </w:r>
    </w:p>
    <w:p w14:paraId="5DAA1D26">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第四章   实施与监督</w:t>
      </w:r>
    </w:p>
    <w:p w14:paraId="176F2E06">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一、考核实施机构</w:t>
      </w:r>
    </w:p>
    <w:p w14:paraId="5340A051">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1、为确保园绿化养护各项规范能贯彻执行，维护园林绿地，</w:t>
      </w:r>
      <w:r>
        <w:rPr>
          <w:rFonts w:hint="eastAsia" w:asciiTheme="minorEastAsia" w:hAnsiTheme="minorEastAsia" w:eastAsiaTheme="minorEastAsia" w:cstheme="minorEastAsia"/>
          <w:color w:val="auto"/>
          <w:sz w:val="24"/>
          <w:szCs w:val="24"/>
          <w:lang w:eastAsia="zh-CN"/>
        </w:rPr>
        <w:t>蒙山县园林绿化管理所</w:t>
      </w:r>
      <w:r>
        <w:rPr>
          <w:rFonts w:hint="eastAsia" w:asciiTheme="minorEastAsia" w:hAnsiTheme="minorEastAsia" w:eastAsiaTheme="minorEastAsia" w:cstheme="minorEastAsia"/>
          <w:color w:val="auto"/>
          <w:sz w:val="24"/>
          <w:szCs w:val="24"/>
        </w:rPr>
        <w:t>具体负责对县城园林绿化养护工作进行直接管理，对发包区域的园林管护质量检查验收和考核</w:t>
      </w:r>
      <w:r>
        <w:rPr>
          <w:rFonts w:hint="eastAsia" w:asciiTheme="minorEastAsia" w:hAnsiTheme="minorEastAsia" w:eastAsiaTheme="minorEastAsia" w:cstheme="minorEastAsia"/>
          <w:color w:val="auto"/>
          <w:sz w:val="24"/>
          <w:szCs w:val="24"/>
          <w:lang w:eastAsia="zh-CN"/>
        </w:rPr>
        <w:t>。</w:t>
      </w:r>
    </w:p>
    <w:p w14:paraId="25571C6D">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2、检查考核采取日常巡查</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月度考核</w:t>
      </w:r>
      <w:r>
        <w:rPr>
          <w:rFonts w:hint="eastAsia" w:asciiTheme="minorEastAsia" w:hAnsiTheme="minorEastAsia" w:eastAsiaTheme="minorEastAsia" w:cstheme="minorEastAsia"/>
          <w:color w:val="auto"/>
          <w:sz w:val="24"/>
          <w:szCs w:val="24"/>
          <w:lang w:eastAsia="zh-CN"/>
        </w:rPr>
        <w:t>和</w:t>
      </w:r>
      <w:r>
        <w:rPr>
          <w:rFonts w:hint="eastAsia" w:asciiTheme="minorEastAsia" w:hAnsiTheme="minorEastAsia" w:eastAsiaTheme="minorEastAsia" w:cstheme="minorEastAsia"/>
          <w:color w:val="auto"/>
          <w:sz w:val="24"/>
          <w:szCs w:val="24"/>
          <w:lang w:val="en-US" w:eastAsia="zh-CN"/>
        </w:rPr>
        <w:t>量化考核</w:t>
      </w:r>
      <w:r>
        <w:rPr>
          <w:rFonts w:hint="eastAsia" w:asciiTheme="minorEastAsia" w:hAnsiTheme="minorEastAsia" w:eastAsiaTheme="minorEastAsia" w:cstheme="minorEastAsia"/>
          <w:color w:val="auto"/>
          <w:sz w:val="24"/>
          <w:szCs w:val="24"/>
        </w:rPr>
        <w:t>相结合办法，考核评分结果作为养护工作质量评价、费用核拨及其它奖惩的重要依据。</w:t>
      </w:r>
    </w:p>
    <w:p w14:paraId="74DAB5A9">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二、考核责任分工</w:t>
      </w:r>
    </w:p>
    <w:p w14:paraId="0C50E3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日常巡查工作由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日常工作需要，对承包单位开展的绿化养护进行全面检查。考核初步结果报考核工作领导小组办公室。具体职责包括：组织人员、日常巡查记录、下发整改通知、参与月度考核评分、结果整理保存、上报。承包单位必须委派项目现场负责人参加日常巡查工作。</w:t>
      </w:r>
    </w:p>
    <w:p w14:paraId="2711227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月度考核工作由</w:t>
      </w:r>
      <w:r>
        <w:rPr>
          <w:rFonts w:hint="eastAsia" w:asciiTheme="minorEastAsia" w:hAnsiTheme="minorEastAsia" w:eastAsiaTheme="minorEastAsia" w:cstheme="minorEastAsia"/>
          <w:color w:val="auto"/>
          <w:sz w:val="24"/>
          <w:szCs w:val="24"/>
          <w:lang w:eastAsia="zh-CN"/>
        </w:rPr>
        <w:t>考核工作领导小组办公室</w:t>
      </w:r>
      <w:r>
        <w:rPr>
          <w:rFonts w:hint="eastAsia" w:asciiTheme="minorEastAsia" w:hAnsiTheme="minorEastAsia" w:eastAsiaTheme="minorEastAsia" w:cstheme="minorEastAsia"/>
          <w:color w:val="auto"/>
          <w:sz w:val="24"/>
          <w:szCs w:val="24"/>
        </w:rPr>
        <w:t>组织</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和承包单位，对承包单位每月园林绿化养护工作分别进行检查考核。具体职责包括：组织人员、检查记录、月度考核评分、经费核拨。</w:t>
      </w:r>
    </w:p>
    <w:p w14:paraId="1B5AB5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承包单位要按考核标准做好日常管理和作业，并积极配合开展日常巡查和月度考核工作。</w:t>
      </w:r>
    </w:p>
    <w:p w14:paraId="7A444796">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第五章    考核办法</w:t>
      </w:r>
    </w:p>
    <w:p w14:paraId="6EBB2873">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一、检查时间</w:t>
      </w:r>
    </w:p>
    <w:p w14:paraId="45D784A2">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日常巡查安排每天进行，月度检查考核时间为</w:t>
      </w:r>
      <w:r>
        <w:rPr>
          <w:rFonts w:hint="eastAsia" w:asciiTheme="minorEastAsia" w:hAnsiTheme="minorEastAsia" w:eastAsiaTheme="minorEastAsia" w:cstheme="minorEastAsia"/>
          <w:color w:val="auto"/>
          <w:sz w:val="24"/>
          <w:szCs w:val="24"/>
          <w:lang w:val="en-US" w:eastAsia="zh-CN"/>
        </w:rPr>
        <w:t>次月</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合同签订日</w:t>
      </w:r>
      <w:r>
        <w:rPr>
          <w:rFonts w:hint="eastAsia" w:asciiTheme="minorEastAsia" w:hAnsiTheme="minorEastAsia" w:eastAsiaTheme="minorEastAsia" w:cstheme="minorEastAsia"/>
          <w:color w:val="auto"/>
          <w:sz w:val="24"/>
          <w:szCs w:val="24"/>
          <w:lang w:val="en-US" w:eastAsia="zh-CN"/>
        </w:rPr>
        <w:t>下</w:t>
      </w:r>
      <w:r>
        <w:rPr>
          <w:rFonts w:hint="eastAsia" w:asciiTheme="minorEastAsia" w:hAnsiTheme="minorEastAsia" w:eastAsiaTheme="minorEastAsia" w:cstheme="minorEastAsia"/>
          <w:color w:val="auto"/>
          <w:sz w:val="24"/>
          <w:szCs w:val="24"/>
        </w:rPr>
        <w:t>一周，若遇到特殊情况，以临时通知为准。</w:t>
      </w:r>
    </w:p>
    <w:p w14:paraId="0C63D012">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二、检查程序</w:t>
      </w:r>
    </w:p>
    <w:p w14:paraId="58B2AE62">
      <w:pPr>
        <w:keepNext w:val="0"/>
        <w:keepLines w:val="0"/>
        <w:pageBreakBefore w:val="0"/>
        <w:kinsoku/>
        <w:wordWrap/>
        <w:overflowPunct/>
        <w:topLinePunct w:val="0"/>
        <w:autoSpaceDE/>
        <w:autoSpaceDN/>
        <w:bidi w:val="0"/>
        <w:adjustRightInd/>
        <w:snapToGrid/>
        <w:spacing w:line="360" w:lineRule="auto"/>
        <w:ind w:firstLine="470"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1.日常巡查</w:t>
      </w:r>
    </w:p>
    <w:p w14:paraId="0F7B5157">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通知中标单位→现场巡查→下发整改通知</w:t>
      </w:r>
      <w:r>
        <w:rPr>
          <w:rFonts w:hint="eastAsia" w:asciiTheme="minorEastAsia" w:hAnsiTheme="minorEastAsia" w:eastAsiaTheme="minorEastAsia" w:cstheme="minorEastAsia"/>
          <w:color w:val="auto"/>
          <w:sz w:val="24"/>
          <w:szCs w:val="24"/>
          <w:lang w:eastAsia="zh-CN"/>
        </w:rPr>
        <w:t>（可通过电话、微信群等方式）</w:t>
      </w:r>
      <w:r>
        <w:rPr>
          <w:rFonts w:hint="eastAsia" w:asciiTheme="minorEastAsia" w:hAnsiTheme="minorEastAsia" w:eastAsiaTheme="minorEastAsia" w:cstheme="minorEastAsia"/>
          <w:color w:val="auto"/>
          <w:sz w:val="24"/>
          <w:szCs w:val="24"/>
        </w:rPr>
        <w:t>→复查验收→上报结果</w:t>
      </w:r>
    </w:p>
    <w:p w14:paraId="6CCD32DA">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2.月度考核</w:t>
      </w:r>
    </w:p>
    <w:p w14:paraId="75869EC1">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通知中标单位→现场检查考核→评分→通报结果</w:t>
      </w:r>
    </w:p>
    <w:p w14:paraId="14ABE4B0">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三、日常巡查办法</w:t>
      </w:r>
    </w:p>
    <w:p w14:paraId="72106E27">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日常巡查工作由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日常工作需要，对承包单位开展的绿化养护工作进行全面检查，现场检查发现存在问题，下发整改通知，并将有关情况登记上报。若未能按相关要求完成整改，则按规定扣除相应分值，并计入当月月度考核总评分。造成严重影响的，则按规定扣除相应分值，并计入当月月度考核总评。考核结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县城园林绿化养护质量日常巡查考核情况表》详细列明考核情况及存在问题，上报考核工作领导小组办公室，再由局考核工作领导小组审定后将考核结果反馈给承包单位。</w:t>
      </w:r>
    </w:p>
    <w:p w14:paraId="424314A4">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四、月度考核办法</w:t>
      </w:r>
    </w:p>
    <w:p w14:paraId="75602BFA">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月度考核工作由</w:t>
      </w:r>
      <w:r>
        <w:rPr>
          <w:rFonts w:hint="eastAsia" w:asciiTheme="minorEastAsia" w:hAnsiTheme="minorEastAsia" w:eastAsiaTheme="minorEastAsia" w:cstheme="minorEastAsia"/>
          <w:color w:val="auto"/>
          <w:sz w:val="24"/>
          <w:szCs w:val="24"/>
          <w:lang w:eastAsia="zh-CN"/>
        </w:rPr>
        <w:t>考核工作领导小组办公室</w:t>
      </w:r>
      <w:r>
        <w:rPr>
          <w:rFonts w:hint="eastAsia" w:asciiTheme="minorEastAsia" w:hAnsiTheme="minorEastAsia" w:eastAsiaTheme="minorEastAsia" w:cstheme="minorEastAsia"/>
          <w:color w:val="auto"/>
          <w:sz w:val="24"/>
          <w:szCs w:val="24"/>
        </w:rPr>
        <w:t>组织</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和承包单位，对承包单位每月园林绿化养护工作分别进行检查考核，按照《</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县城园林绿化管护权招标承包检查考核实施细则》、填报《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县城园林绿化管护权招标承包检查考核评分标准》，每月月度考核结果由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县城园林绿化养护质量月度考核情况表》详细列明考核情况及存在问题，上报考核工作领导小组办公室，再由局考核工作领导小组审定后将考核结果反馈给承包单位。</w:t>
      </w:r>
    </w:p>
    <w:p w14:paraId="07421E64">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五、量化考核办法</w:t>
      </w:r>
    </w:p>
    <w:p w14:paraId="66100300">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制定养护管理工作计划</w:t>
      </w:r>
      <w:r>
        <w:rPr>
          <w:rFonts w:hint="eastAsia" w:asciiTheme="minorEastAsia" w:hAnsiTheme="minorEastAsia" w:eastAsiaTheme="minorEastAsia" w:cstheme="minorEastAsia"/>
          <w:color w:val="auto"/>
          <w:sz w:val="24"/>
          <w:szCs w:val="24"/>
          <w:lang w:eastAsia="zh-CN"/>
        </w:rPr>
        <w:t>报县园林绿化管理所</w:t>
      </w:r>
      <w:r>
        <w:rPr>
          <w:rFonts w:hint="eastAsia" w:asciiTheme="minorEastAsia" w:hAnsiTheme="minorEastAsia" w:eastAsiaTheme="minorEastAsia" w:cstheme="minorEastAsia"/>
          <w:color w:val="auto"/>
          <w:sz w:val="24"/>
          <w:szCs w:val="24"/>
        </w:rPr>
        <w:t>审批，由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核定服务区域应实施的服务次数。量化考核主要内容包括：施肥、修剪、补植和设施维护等。</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根据审批后的养护管理工作计划、核定服务区域应实施的服务次数，对</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的量化工作完成情况等进行检查考核。量化考核结果作为当月核发养护经费的依据之一。</w:t>
      </w:r>
    </w:p>
    <w:p w14:paraId="7694046B">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eastAsia="zh-CN"/>
        </w:rPr>
        <w:t>六</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auto"/>
          <w:sz w:val="24"/>
          <w:szCs w:val="24"/>
          <w:lang w:val="en-US" w:eastAsia="zh-CN"/>
        </w:rPr>
        <w:t>养护人员配置考核办法</w:t>
      </w:r>
    </w:p>
    <w:p w14:paraId="2F1BE3BF">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（一）绿化养护人员人工数按照一年周期统计结算，一年周期总人工数不得少于9000人工，大于9000人工按照9000人工结算；</w:t>
      </w:r>
    </w:p>
    <w:p w14:paraId="4A56DF2E">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（二）发包方须对承包方养护人员出勤人数进行年度考核，即若承包方养护人员一年度出勤人数在 8000-9000人工的，每少1人工，按照（9000人工-实际出勤人工数）×120元/人工扣除相应费用；</w:t>
      </w:r>
    </w:p>
    <w:p w14:paraId="079285C9">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（三）若承包方养护人员一年度出勤人数少于8000人工的，每少1人工，按照（9000人工-实际出勤人工数）×（240元）/人工扣除相应费用，上不封顶。 </w:t>
      </w:r>
    </w:p>
    <w:p w14:paraId="392DB664">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（四）年度出勤人员考核所发生应扣减费用，在合同期内一年周期中的最后一个月养护经费中结算扣除。</w:t>
      </w:r>
    </w:p>
    <w:p w14:paraId="300E325E">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七、</w:t>
      </w:r>
      <w:r>
        <w:rPr>
          <w:rFonts w:hint="eastAsia" w:asciiTheme="minorEastAsia" w:hAnsiTheme="minorEastAsia" w:eastAsiaTheme="minorEastAsia" w:cstheme="minorEastAsia"/>
          <w:b/>
          <w:bCs/>
          <w:color w:val="auto"/>
          <w:sz w:val="24"/>
          <w:szCs w:val="24"/>
        </w:rPr>
        <w:t>计分办法</w:t>
      </w:r>
    </w:p>
    <w:p w14:paraId="11427E18">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总评分计算方式为：总评分=100分-月度考核扣分分值-日常巡查扣分分值</w:t>
      </w:r>
    </w:p>
    <w:p w14:paraId="60CDB8B7">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八</w:t>
      </w:r>
      <w:r>
        <w:rPr>
          <w:rFonts w:hint="eastAsia" w:asciiTheme="minorEastAsia" w:hAnsiTheme="minorEastAsia" w:eastAsiaTheme="minorEastAsia" w:cstheme="minorEastAsia"/>
          <w:b/>
          <w:bCs/>
          <w:color w:val="auto"/>
          <w:sz w:val="24"/>
          <w:szCs w:val="24"/>
        </w:rPr>
        <w:t>、罚则</w:t>
      </w:r>
    </w:p>
    <w:p w14:paraId="1D7FCDC9">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1、园林考核验收以每扣一分扣100元计，月累计扣罚达</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000元）的给予警告，责令限期整改。如连续两个月累计被扣罚达</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000元）的，</w:t>
      </w:r>
      <w:r>
        <w:rPr>
          <w:rFonts w:hint="eastAsia" w:asciiTheme="minorEastAsia" w:hAnsiTheme="minorEastAsia" w:eastAsiaTheme="minorEastAsia" w:cstheme="minorEastAsia"/>
          <w:color w:val="auto"/>
          <w:sz w:val="24"/>
          <w:szCs w:val="24"/>
          <w:lang w:val="en-US" w:eastAsia="zh-CN"/>
        </w:rPr>
        <w:t>县园林绿化管理所有权终止合同，并收取合同中标价5%作为违约金。</w:t>
      </w:r>
    </w:p>
    <w:p w14:paraId="60F46B5D">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2、在需完成突击或应急任务时，承包方不服从县统一安排，第一次扣除2000元，第二次扣除3000元，第三次</w:t>
      </w:r>
      <w:bookmarkStart w:id="77" w:name="OLE_LINK2"/>
      <w:r>
        <w:rPr>
          <w:rFonts w:hint="eastAsia" w:asciiTheme="minorEastAsia" w:hAnsiTheme="minorEastAsia" w:eastAsiaTheme="minorEastAsia" w:cstheme="minorEastAsia"/>
          <w:color w:val="auto"/>
          <w:sz w:val="24"/>
          <w:szCs w:val="24"/>
          <w:lang w:val="en-US" w:eastAsia="zh-CN"/>
        </w:rPr>
        <w:t>县园林绿化管理所有权终止合同，并收取合同中标价5%作为违约金。</w:t>
      </w:r>
    </w:p>
    <w:bookmarkEnd w:id="77"/>
    <w:p w14:paraId="52675D6D">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bCs/>
          <w:color w:val="auto"/>
          <w:sz w:val="24"/>
          <w:szCs w:val="24"/>
        </w:rPr>
        <w:t>如有</w:t>
      </w:r>
      <w:r>
        <w:rPr>
          <w:rFonts w:hint="eastAsia" w:asciiTheme="minorEastAsia" w:hAnsiTheme="minorEastAsia" w:eastAsiaTheme="minorEastAsia" w:cstheme="minorEastAsia"/>
          <w:bCs/>
          <w:color w:val="auto"/>
          <w:sz w:val="24"/>
          <w:szCs w:val="24"/>
          <w:lang w:eastAsia="zh-CN"/>
        </w:rPr>
        <w:t>居民</w:t>
      </w:r>
      <w:r>
        <w:rPr>
          <w:rFonts w:hint="eastAsia" w:asciiTheme="minorEastAsia" w:hAnsiTheme="minorEastAsia" w:eastAsiaTheme="minorEastAsia" w:cstheme="minorEastAsia"/>
          <w:bCs/>
          <w:color w:val="auto"/>
          <w:sz w:val="24"/>
          <w:szCs w:val="24"/>
        </w:rPr>
        <w:t>对县城绿化问题投诉信或电话投拆</w:t>
      </w:r>
      <w:r>
        <w:rPr>
          <w:rFonts w:hint="eastAsia" w:asciiTheme="minorEastAsia" w:hAnsiTheme="minorEastAsia" w:eastAsiaTheme="minorEastAsia" w:cstheme="minorEastAsia"/>
          <w:bCs/>
          <w:color w:val="auto"/>
          <w:sz w:val="24"/>
          <w:szCs w:val="24"/>
          <w:lang w:eastAsia="zh-CN"/>
        </w:rPr>
        <w:t>、相关部门对养护管理问题检查通报的；</w:t>
      </w:r>
      <w:r>
        <w:rPr>
          <w:rFonts w:hint="eastAsia" w:asciiTheme="minorEastAsia" w:hAnsiTheme="minorEastAsia" w:eastAsiaTheme="minorEastAsia" w:cstheme="minorEastAsia"/>
          <w:bCs/>
          <w:color w:val="auto"/>
          <w:sz w:val="24"/>
          <w:szCs w:val="24"/>
        </w:rPr>
        <w:t>经调查核实，属</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责任范围的</w:t>
      </w:r>
      <w:r>
        <w:rPr>
          <w:rFonts w:hint="eastAsia" w:asciiTheme="minorEastAsia" w:hAnsiTheme="minorEastAsia" w:eastAsiaTheme="minorEastAsia" w:cstheme="minorEastAsia"/>
          <w:bCs/>
          <w:color w:val="auto"/>
          <w:sz w:val="24"/>
          <w:szCs w:val="24"/>
          <w:lang w:eastAsia="zh-CN"/>
        </w:rPr>
        <w:t>；同一问题</w:t>
      </w:r>
      <w:r>
        <w:rPr>
          <w:rFonts w:hint="eastAsia" w:asciiTheme="minorEastAsia" w:hAnsiTheme="minorEastAsia" w:eastAsiaTheme="minorEastAsia" w:cstheme="minorEastAsia"/>
          <w:bCs/>
          <w:color w:val="auto"/>
          <w:sz w:val="24"/>
          <w:szCs w:val="24"/>
        </w:rPr>
        <w:t>一个月内被投诉</w:t>
      </w:r>
      <w:r>
        <w:rPr>
          <w:rFonts w:hint="eastAsia" w:asciiTheme="minorEastAsia" w:hAnsiTheme="minorEastAsia" w:eastAsiaTheme="minorEastAsia" w:cstheme="minorEastAsia"/>
          <w:bCs/>
          <w:color w:val="auto"/>
          <w:sz w:val="24"/>
          <w:szCs w:val="24"/>
          <w:lang w:eastAsia="zh-CN"/>
        </w:rPr>
        <w:t>或通报</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次，则</w:t>
      </w:r>
      <w:r>
        <w:rPr>
          <w:rFonts w:hint="eastAsia" w:asciiTheme="minorEastAsia" w:hAnsiTheme="minorEastAsia" w:eastAsiaTheme="minorEastAsia" w:cstheme="minorEastAsia"/>
          <w:bCs/>
          <w:color w:val="auto"/>
          <w:sz w:val="24"/>
          <w:szCs w:val="24"/>
          <w:lang w:eastAsia="zh-CN"/>
        </w:rPr>
        <w:t>再</w:t>
      </w:r>
      <w:r>
        <w:rPr>
          <w:rFonts w:hint="eastAsia" w:asciiTheme="minorEastAsia" w:hAnsiTheme="minorEastAsia" w:eastAsiaTheme="minorEastAsia" w:cstheme="minorEastAsia"/>
          <w:bCs/>
          <w:color w:val="auto"/>
          <w:sz w:val="24"/>
          <w:szCs w:val="24"/>
        </w:rPr>
        <w:t>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当月承包费的</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%，3次扣罚10%，4次以上（含4次）扣罚20%。</w:t>
      </w:r>
    </w:p>
    <w:p w14:paraId="48B1FEAF">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按照要求提交年度工作计划、月度工作计划。未</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sz w:val="24"/>
          <w:szCs w:val="24"/>
        </w:rPr>
        <w:t>照要求提交年度和月度工作计划的，每次扣罚</w:t>
      </w:r>
      <w:r>
        <w:rPr>
          <w:rFonts w:hint="eastAsia" w:asciiTheme="minorEastAsia" w:hAnsiTheme="minorEastAsia" w:eastAsiaTheme="minorEastAsia" w:cstheme="minorEastAsia"/>
          <w:color w:val="auto"/>
          <w:sz w:val="24"/>
          <w:szCs w:val="24"/>
          <w:lang w:val="en-US" w:eastAsia="zh-CN"/>
        </w:rPr>
        <w:t>8000元</w:t>
      </w:r>
      <w:r>
        <w:rPr>
          <w:rFonts w:hint="eastAsia" w:asciiTheme="minorEastAsia" w:hAnsiTheme="minorEastAsia" w:eastAsiaTheme="minorEastAsia" w:cstheme="minorEastAsia"/>
          <w:color w:val="auto"/>
          <w:sz w:val="24"/>
          <w:szCs w:val="24"/>
        </w:rPr>
        <w:t>。按照审核批准的年度和月度养护管理工作计划开展施肥、修剪、补植、园林设施维护等工作，并且要达到计划所要求的数量。未按照计划开展相关工作的，每缺一项扣罚</w:t>
      </w:r>
      <w:r>
        <w:rPr>
          <w:rFonts w:hint="eastAsia" w:asciiTheme="minorEastAsia" w:hAnsiTheme="minorEastAsia" w:eastAsiaTheme="minorEastAsia" w:cstheme="minorEastAsia"/>
          <w:color w:val="auto"/>
          <w:sz w:val="24"/>
          <w:szCs w:val="24"/>
          <w:lang w:val="en-US" w:eastAsia="zh-CN"/>
        </w:rPr>
        <w:t>5000元</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开展计划相关工作，但未达到数量要求的，每项扣罚</w:t>
      </w:r>
      <w:r>
        <w:rPr>
          <w:rFonts w:hint="eastAsia" w:asciiTheme="minorEastAsia" w:hAnsiTheme="minorEastAsia" w:eastAsiaTheme="minorEastAsia" w:cstheme="minorEastAsia"/>
          <w:color w:val="auto"/>
          <w:sz w:val="24"/>
          <w:szCs w:val="24"/>
          <w:lang w:val="en-US" w:eastAsia="zh-CN"/>
        </w:rPr>
        <w:t>1000元</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如遇</w:t>
      </w:r>
      <w:r>
        <w:rPr>
          <w:rFonts w:hint="eastAsia" w:asciiTheme="minorEastAsia" w:hAnsiTheme="minorEastAsia" w:eastAsiaTheme="minorEastAsia" w:cstheme="minorEastAsia"/>
          <w:color w:val="auto"/>
          <w:sz w:val="24"/>
          <w:szCs w:val="24"/>
        </w:rPr>
        <w:t>不可抗拒因素</w:t>
      </w:r>
      <w:r>
        <w:rPr>
          <w:rFonts w:hint="eastAsia" w:asciiTheme="minorEastAsia" w:hAnsiTheme="minorEastAsia" w:eastAsiaTheme="minorEastAsia" w:cstheme="minorEastAsia"/>
          <w:color w:val="auto"/>
          <w:sz w:val="24"/>
          <w:szCs w:val="24"/>
          <w:lang w:val="en-US" w:eastAsia="zh-CN"/>
        </w:rPr>
        <w:t>，说明原因，原因合理可免</w:t>
      </w:r>
      <w:r>
        <w:rPr>
          <w:rFonts w:hint="eastAsia" w:asciiTheme="minorEastAsia" w:hAnsiTheme="minorEastAsia" w:eastAsiaTheme="minorEastAsia" w:cstheme="minorEastAsia"/>
          <w:color w:val="auto"/>
          <w:sz w:val="24"/>
          <w:szCs w:val="24"/>
        </w:rPr>
        <w:t>扣罚</w:t>
      </w:r>
      <w:r>
        <w:rPr>
          <w:rFonts w:hint="eastAsia" w:asciiTheme="minorEastAsia" w:hAnsiTheme="minorEastAsia" w:eastAsiaTheme="minorEastAsia" w:cstheme="minorEastAsia"/>
          <w:color w:val="auto"/>
          <w:sz w:val="24"/>
          <w:szCs w:val="24"/>
          <w:lang w:val="en-US" w:eastAsia="zh-CN"/>
        </w:rPr>
        <w:t>。</w:t>
      </w:r>
    </w:p>
    <w:p w14:paraId="6526D1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因工作不到位被扣罚承包费的，</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可对直接管护责任人给予适当地扣罚,但不能全额扣罚管护责任人。</w:t>
      </w:r>
    </w:p>
    <w:p w14:paraId="6D1C80FC">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承包方在履行服务合同期间，出现安全生产事故的，责任全部由承包方负责，除保险公司赔付部分外，其余费用由承包方承担。出现重大安全事故，或出现群体性安全事故，或安全事故造成3人以上人员死亡的，县园林绿化管理所有权无条件终止合同。</w:t>
      </w:r>
    </w:p>
    <w:p w14:paraId="4B737DC5">
      <w:p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14:paraId="49E3930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color w:val="auto"/>
          <w:sz w:val="24"/>
          <w:szCs w:val="24"/>
          <w:lang w:val="en-US" w:eastAsia="zh-CN"/>
        </w:rPr>
        <w:t>附件4：</w:t>
      </w:r>
    </w:p>
    <w:p w14:paraId="30DDB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eastAsia="zh-CN"/>
        </w:rPr>
        <w:t>蒙山县</w:t>
      </w:r>
      <w:r>
        <w:rPr>
          <w:rFonts w:hint="eastAsia" w:asciiTheme="minorEastAsia" w:hAnsiTheme="minorEastAsia" w:eastAsiaTheme="minorEastAsia" w:cstheme="minorEastAsia"/>
          <w:b w:val="0"/>
          <w:bCs w:val="0"/>
          <w:color w:val="auto"/>
          <w:sz w:val="24"/>
          <w:szCs w:val="24"/>
        </w:rPr>
        <w:t>县城园林绿化管护权招标承包检查考核实施细则</w:t>
      </w:r>
    </w:p>
    <w:p w14:paraId="04F3D762">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一、园林绿化考核标准</w:t>
      </w:r>
    </w:p>
    <w:p w14:paraId="6BC3F12A">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w:t>
      </w:r>
      <w:r>
        <w:rPr>
          <w:rFonts w:hint="eastAsia" w:asciiTheme="minorEastAsia" w:hAnsiTheme="minorEastAsia" w:eastAsiaTheme="minorEastAsia" w:cstheme="minorEastAsia"/>
          <w:bCs/>
          <w:color w:val="auto"/>
          <w:sz w:val="24"/>
          <w:szCs w:val="24"/>
          <w:lang w:eastAsia="zh-CN"/>
        </w:rPr>
        <w:t>蒙山县园林绿化管理所</w:t>
      </w:r>
      <w:r>
        <w:rPr>
          <w:rFonts w:hint="eastAsia" w:asciiTheme="minorEastAsia" w:hAnsiTheme="minorEastAsia" w:eastAsiaTheme="minorEastAsia" w:cstheme="minorEastAsia"/>
          <w:bCs/>
          <w:color w:val="auto"/>
          <w:sz w:val="24"/>
          <w:szCs w:val="24"/>
        </w:rPr>
        <w:t>负责对发包路段的园林管护质量检查验收和考核</w:t>
      </w:r>
    </w:p>
    <w:p w14:paraId="653ADA59">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1.乔木:(16分)(抽查任一项不合格扣1分,严重的扣完该项分数)</w:t>
      </w:r>
    </w:p>
    <w:p w14:paraId="5CC3B4F4">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符合植物生长要求。(1分);枝叶健壮,茂盛(2分);树叶干净积尘少(3分);无明显干枯枝(3分)[注:抽查每2株树有一枝干枯扣1分,若因病虫害引起扣病虫防治2分,扣完3分为止];树体正直不偏斜(1分);树干枝条无气生根、无钉挂物，铁丝等缠绕物（3分）；剪口要求平整,无损树皮现象,无干明显的伤残现象(3分)。</w:t>
      </w:r>
    </w:p>
    <w:p w14:paraId="2B4CC43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2.灌木(孤植)：(20分）（抽查任一项不合格扣1分,严重的扣完该项分数)</w:t>
      </w:r>
    </w:p>
    <w:p w14:paraId="1CA6577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①整形灌木(10分):</w:t>
      </w:r>
    </w:p>
    <w:p w14:paraId="70706558">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树体正直不偏斜(1分);叶色嫩绿,干净无积尘,叶的形状大小正常(2分);根据设计要求达到和维持一定的形状(1分);修剪后植株及地面无散落枝叶(2分);树盘边线整齐,大小合适,盘面略低于草面(1分);干净整洁,无杂草、杂物及积水(2分);土壤保持疏松通透温润(1分).</w:t>
      </w:r>
    </w:p>
    <w:p w14:paraId="6E434169">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②一般灌木:(10分)</w:t>
      </w:r>
    </w:p>
    <w:p w14:paraId="1804F434">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树体正直不偏斜(1分);剪后成形美观,内部通透(2分);叶色嫩绿,干净无积尘,叶的形状大小正常(2分);树盘边线整齐,大小适当,盘面略低于草面(1分);土壤保持疏松通透湿润(2分);干净整洁,无杂草、杂物及积水(2分)。</w:t>
      </w:r>
    </w:p>
    <w:p w14:paraId="4F9A2B6B">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3.绿篱：（6分）（抽查任一项不合格扣1分,严重的扣完该项分数)</w:t>
      </w:r>
    </w:p>
    <w:p w14:paraId="543FA723">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叶色嫩绿,干净无积尘，叶的形状大小正常（1分）；修剪整洁一致，篱平整，两边垂直(1分);修剪后当天及时清理,篱体及地面无散落的枝叶(1分);绿篱无光脚，无死株，无断档现象(1分);绿篱根部边线整齐(，无杂草、杂物及积水（1分）；土壤保持疏松通透湿润（1分）。</w:t>
      </w:r>
    </w:p>
    <w:p w14:paraId="60BECBD2">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4.花坛色块：（7分）（抽查任一项不合格扣1分,严重的扣完该项分数)</w:t>
      </w:r>
    </w:p>
    <w:p w14:paraId="227F5D4C">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叶色嫩绿,干净无积尘,叶的形状大小正常(1分)；花坛色块丰满无缺（1分），图形清晰，边线明显（2分）；色块中无杂草（1分）[抽查每㎡发现明显杂草1棵即扣1分，扣完为止]；无杂物及积水，修剪当天做好清场（1分）；土壤保持疏松通透湿润（1分）。</w:t>
      </w:r>
    </w:p>
    <w:p w14:paraId="4BD08E9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5.草坪：（4分）（抽查任一项不合格扣0.5分，严重的扣完该项分数）</w:t>
      </w:r>
    </w:p>
    <w:p w14:paraId="62772523">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草坪青绿无枯黄（1分）[注：枯黄面达5%扣0.5分，10%扣1分，扣完为止]；草坪平整，无起团，边线平整，不超出草坪范围，高度控制在8厘米以下，打草当天及时灌水、打草、打孔当天清场，无裸露地面（1分）[注：有裸露地面1㎡以上即扣一分，扣完为止]；无杂草，杂草高度不超过草平面（1分）[注：抽查10㎡见显眼杂草10棵扣一分，每10㎡酢浆草占5%扣一分，扣完为止]；除草后形成的小洞坑要即用土填平，泥土不散落周边草地，，草坪无烧痕(1分)[每发现一处扣0.5分，面积大的扣完为止]。</w:t>
      </w:r>
    </w:p>
    <w:p w14:paraId="24881FD8">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6.病虫害防治：（14分）（抽查任一项不合格扣1分,严重的扣完该项分数)</w:t>
      </w:r>
    </w:p>
    <w:p w14:paraId="7A8A6739">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地段出现病虫害初期应及时防治,虫情较严重时应及时向园林绿化所通报（2分）;（2）食叶害虫食叶片最严重的每株控制在5%以下,刺吸害虫明显造成为害的枝条少于8%;蛀干害虫为害的枝条少于3%,病虫害杆侏占总植侏的5%以下 [因工作失职造成病虫蔓廷,或因药害而造成植物生长不良,如草坪200㎡以上,独立乔、灌木10株以上,片植灌木40㎡以上,本项工作0分（6分）；（3）无寄生物危害（6分）（以草坪每10㎡,独立乔、灌木各1株,片植灌木1㎡为单位,每发现一处扣1分，严重的扣完该项分数）。</w:t>
      </w:r>
    </w:p>
    <w:p w14:paraId="0609B5A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7.绿地卫生（8分）</w:t>
      </w:r>
    </w:p>
    <w:p w14:paraId="7788BF73">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保持绿地、园路、游园设施干净、整洁，规定时间内清扫干净，保洁期间无垃圾，无枝叶草堆积，无余泥、杂物堆积等，无搭棚和圈占树木，修剪后树叶及垃圾当天清运，严禁在园道上焚烧垃圾、树叶等 （8分），[抽查每10平方米可见垃圾杂物1件扣1分，扣完为止。</w:t>
      </w:r>
    </w:p>
    <w:p w14:paraId="71EEA73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8.其它：（10分）（抽查任一项不合格扣1分,严重的扣完该项分数)</w:t>
      </w:r>
    </w:p>
    <w:p w14:paraId="13A919B2">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(1)死树、残桩,及时清理填平地面。(1分)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(2)发现破坏绿化或设施的要及时制止,无法处理的及时向园林绿化所反映协商处理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(3)要求保持地被覆盖率大于98%,乔灌木缺株率小于2%,否则要及时补种。(2分)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(4)游园设施及防护设施完好。(2分)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（5）管区内土壤结构良好，对土壤结构较差的，应充分利用植物残体及有机肥不断改良土壤。（2分）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（6）在地段施工期间，</w:t>
      </w:r>
    </w:p>
    <w:p w14:paraId="675415DF">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本地段人员应做好配合及善后工作。（1分）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（7）在双方约定检查时间内，承包方到场（1分）。</w:t>
      </w:r>
    </w:p>
    <w:p w14:paraId="3552D93C">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9.植物抗旱：（15分）</w:t>
      </w:r>
    </w:p>
    <w:p w14:paraId="2AC6303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保持乔木、灌木、绿篱、色块叶色饱满、枝叶无因缺水萎缩、发黄、脱落，叶片无积尘（15分）。〔以5㎡为单位，发现一项扣1分〕</w:t>
      </w:r>
    </w:p>
    <w:p w14:paraId="537F2234">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10.每年要求在春季、秋季施肥两次，施肥品种要求为合格品种，不按施肥要求、规定的次数和数量施肥的，每个季节扣总分10分。</w:t>
      </w:r>
    </w:p>
    <w:p w14:paraId="6708371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11.预防霜冻，天气预报呈黄色预警信号时需采取防冻措施，喷洒防冻剂或塑料薄膜包裹等，不完成此项工作</w:t>
      </w:r>
      <w:r>
        <w:rPr>
          <w:rFonts w:hint="eastAsia" w:asciiTheme="minorEastAsia" w:hAnsiTheme="minorEastAsia" w:eastAsiaTheme="minorEastAsia" w:cstheme="minorEastAsia"/>
          <w:bCs/>
          <w:color w:val="auto"/>
          <w:sz w:val="24"/>
          <w:szCs w:val="24"/>
          <w:lang w:eastAsia="zh-CN"/>
        </w:rPr>
        <w:t>致植物受灾</w:t>
      </w:r>
      <w:r>
        <w:rPr>
          <w:rFonts w:hint="eastAsia" w:asciiTheme="minorEastAsia" w:hAnsiTheme="minorEastAsia" w:eastAsiaTheme="minorEastAsia" w:cstheme="minorEastAsia"/>
          <w:bCs/>
          <w:color w:val="auto"/>
          <w:sz w:val="24"/>
          <w:szCs w:val="24"/>
        </w:rPr>
        <w:t>，扣总分2分。</w:t>
      </w:r>
    </w:p>
    <w:p w14:paraId="1D725DC7">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（二）考核办法</w:t>
      </w:r>
    </w:p>
    <w:p w14:paraId="66BC7F70">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每月检查</w:t>
      </w:r>
      <w:r>
        <w:rPr>
          <w:rFonts w:hint="eastAsia" w:asciiTheme="minorEastAsia" w:hAnsiTheme="minorEastAsia" w:eastAsiaTheme="minorEastAsia" w:cstheme="minorEastAsia"/>
          <w:bCs/>
          <w:color w:val="auto"/>
          <w:sz w:val="24"/>
          <w:szCs w:val="24"/>
          <w:lang w:val="en-US" w:eastAsia="zh-CN"/>
        </w:rPr>
        <w:t>至少一次</w:t>
      </w:r>
      <w:r>
        <w:rPr>
          <w:rFonts w:hint="eastAsia" w:asciiTheme="minorEastAsia" w:hAnsiTheme="minorEastAsia" w:eastAsiaTheme="minorEastAsia" w:cstheme="minorEastAsia"/>
          <w:bCs/>
          <w:color w:val="auto"/>
          <w:sz w:val="24"/>
          <w:szCs w:val="24"/>
        </w:rPr>
        <w:t>，采取定期与不定期相结合，定期检查至少提前一天通知</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，不定期包括区、市、县领导检查采取临时通知。双方现场实地检查验收，全面检查与抽样检查相结合。</w:t>
      </w:r>
    </w:p>
    <w:p w14:paraId="07973378">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（三）罚则</w:t>
      </w:r>
    </w:p>
    <w:p w14:paraId="289FD59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w:t>
      </w:r>
      <w:r>
        <w:rPr>
          <w:rFonts w:hint="eastAsia" w:asciiTheme="minorEastAsia" w:hAnsiTheme="minorEastAsia" w:eastAsiaTheme="minorEastAsia" w:cstheme="minorEastAsia"/>
          <w:color w:val="auto"/>
          <w:sz w:val="24"/>
          <w:szCs w:val="24"/>
        </w:rPr>
        <w:t>1、园林考核验收以每扣一分扣100元计，月累计扣罚达</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000元）的给予警告，责令限期整改。如连续两个月累计被扣罚达</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000元）的，</w:t>
      </w:r>
      <w:r>
        <w:rPr>
          <w:rFonts w:hint="eastAsia" w:asciiTheme="minorEastAsia" w:hAnsiTheme="minorEastAsia" w:eastAsiaTheme="minorEastAsia" w:cstheme="minorEastAsia"/>
          <w:color w:val="auto"/>
          <w:sz w:val="24"/>
          <w:szCs w:val="24"/>
          <w:lang w:val="en-US" w:eastAsia="zh-CN"/>
        </w:rPr>
        <w:t>县园林绿化管理所则有权</w:t>
      </w:r>
      <w:r>
        <w:rPr>
          <w:rFonts w:hint="eastAsia" w:asciiTheme="minorEastAsia" w:hAnsiTheme="minorEastAsia" w:eastAsiaTheme="minorEastAsia" w:cstheme="minorEastAsia"/>
          <w:color w:val="auto"/>
          <w:sz w:val="24"/>
          <w:szCs w:val="24"/>
        </w:rPr>
        <w:t>取消</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的承包资格。</w:t>
      </w:r>
    </w:p>
    <w:p w14:paraId="224864F0">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2.如有</w:t>
      </w:r>
      <w:r>
        <w:rPr>
          <w:rFonts w:hint="eastAsia" w:asciiTheme="minorEastAsia" w:hAnsiTheme="minorEastAsia" w:eastAsiaTheme="minorEastAsia" w:cstheme="minorEastAsia"/>
          <w:bCs/>
          <w:color w:val="auto"/>
          <w:sz w:val="24"/>
          <w:szCs w:val="24"/>
          <w:lang w:eastAsia="zh-CN"/>
        </w:rPr>
        <w:t>居民</w:t>
      </w:r>
      <w:r>
        <w:rPr>
          <w:rFonts w:hint="eastAsia" w:asciiTheme="minorEastAsia" w:hAnsiTheme="minorEastAsia" w:eastAsiaTheme="minorEastAsia" w:cstheme="minorEastAsia"/>
          <w:bCs/>
          <w:color w:val="auto"/>
          <w:sz w:val="24"/>
          <w:szCs w:val="24"/>
        </w:rPr>
        <w:t>对县城绿化问题投诉信或电话投拆</w:t>
      </w:r>
      <w:r>
        <w:rPr>
          <w:rFonts w:hint="eastAsia" w:asciiTheme="minorEastAsia" w:hAnsiTheme="minorEastAsia" w:eastAsiaTheme="minorEastAsia" w:cstheme="minorEastAsia"/>
          <w:bCs/>
          <w:color w:val="auto"/>
          <w:sz w:val="24"/>
          <w:szCs w:val="24"/>
          <w:lang w:eastAsia="zh-CN"/>
        </w:rPr>
        <w:t>、相关部门对养护管理问题检查通报的；</w:t>
      </w:r>
      <w:r>
        <w:rPr>
          <w:rFonts w:hint="eastAsia" w:asciiTheme="minorEastAsia" w:hAnsiTheme="minorEastAsia" w:eastAsiaTheme="minorEastAsia" w:cstheme="minorEastAsia"/>
          <w:bCs/>
          <w:color w:val="auto"/>
          <w:sz w:val="24"/>
          <w:szCs w:val="24"/>
        </w:rPr>
        <w:t>经调查核实，属</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责任范围的</w:t>
      </w:r>
      <w:r>
        <w:rPr>
          <w:rFonts w:hint="eastAsia" w:asciiTheme="minorEastAsia" w:hAnsiTheme="minorEastAsia" w:eastAsiaTheme="minorEastAsia" w:cstheme="minorEastAsia"/>
          <w:bCs/>
          <w:color w:val="auto"/>
          <w:sz w:val="24"/>
          <w:szCs w:val="24"/>
          <w:lang w:eastAsia="zh-CN"/>
        </w:rPr>
        <w:t>；同一问题</w:t>
      </w:r>
      <w:r>
        <w:rPr>
          <w:rFonts w:hint="eastAsia" w:asciiTheme="minorEastAsia" w:hAnsiTheme="minorEastAsia" w:eastAsiaTheme="minorEastAsia" w:cstheme="minorEastAsia"/>
          <w:bCs/>
          <w:color w:val="auto"/>
          <w:sz w:val="24"/>
          <w:szCs w:val="24"/>
        </w:rPr>
        <w:t>一个月内被投诉</w:t>
      </w:r>
      <w:r>
        <w:rPr>
          <w:rFonts w:hint="eastAsia" w:asciiTheme="minorEastAsia" w:hAnsiTheme="minorEastAsia" w:eastAsiaTheme="minorEastAsia" w:cstheme="minorEastAsia"/>
          <w:bCs/>
          <w:color w:val="auto"/>
          <w:sz w:val="24"/>
          <w:szCs w:val="24"/>
          <w:lang w:eastAsia="zh-CN"/>
        </w:rPr>
        <w:t>或通报</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次，则</w:t>
      </w:r>
      <w:r>
        <w:rPr>
          <w:rFonts w:hint="eastAsia" w:asciiTheme="minorEastAsia" w:hAnsiTheme="minorEastAsia" w:eastAsiaTheme="minorEastAsia" w:cstheme="minorEastAsia"/>
          <w:bCs/>
          <w:color w:val="auto"/>
          <w:sz w:val="24"/>
          <w:szCs w:val="24"/>
          <w:lang w:eastAsia="zh-CN"/>
        </w:rPr>
        <w:t>再</w:t>
      </w:r>
      <w:r>
        <w:rPr>
          <w:rFonts w:hint="eastAsia" w:asciiTheme="minorEastAsia" w:hAnsiTheme="minorEastAsia" w:eastAsiaTheme="minorEastAsia" w:cstheme="minorEastAsia"/>
          <w:bCs/>
          <w:color w:val="auto"/>
          <w:sz w:val="24"/>
          <w:szCs w:val="24"/>
        </w:rPr>
        <w:t>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当月承包费的</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%，3次扣罚10%，4次以上（含4次）扣罚20%。</w:t>
      </w:r>
    </w:p>
    <w:p w14:paraId="439AD84D">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3.因工作不到位扣罚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承包费的，</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可对直接责任人给予适当地扣罚,但不能全额扣罚责任人。</w:t>
      </w:r>
    </w:p>
    <w:p w14:paraId="140B5F0A">
      <w:pPr>
        <w:keepNext w:val="0"/>
        <w:keepLines w:val="0"/>
        <w:pageBreakBefore w:val="0"/>
        <w:tabs>
          <w:tab w:val="left" w:pos="180"/>
          <w:tab w:val="left" w:pos="162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Cs/>
          <w:color w:val="auto"/>
          <w:sz w:val="24"/>
          <w:szCs w:val="24"/>
        </w:rPr>
        <w:br w:type="page"/>
      </w:r>
      <w:r>
        <w:rPr>
          <w:rFonts w:hint="eastAsia" w:asciiTheme="minorEastAsia" w:hAnsiTheme="minorEastAsia" w:eastAsiaTheme="minorEastAsia" w:cstheme="minorEastAsia"/>
          <w:color w:val="auto"/>
          <w:sz w:val="24"/>
          <w:szCs w:val="24"/>
          <w:lang w:val="en-US" w:eastAsia="zh-CN"/>
        </w:rPr>
        <w:t>附件5：</w:t>
      </w:r>
    </w:p>
    <w:p w14:paraId="43681C7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lang w:eastAsia="zh-CN"/>
        </w:rPr>
        <w:t>蒙山县</w:t>
      </w:r>
      <w:r>
        <w:rPr>
          <w:rFonts w:hint="eastAsia" w:asciiTheme="minorEastAsia" w:hAnsiTheme="minorEastAsia" w:eastAsiaTheme="minorEastAsia" w:cstheme="minorEastAsia"/>
          <w:b w:val="0"/>
          <w:bCs w:val="0"/>
          <w:color w:val="auto"/>
          <w:sz w:val="24"/>
          <w:szCs w:val="24"/>
        </w:rPr>
        <w:t>县城园林绿化养护月度检查考核评分表</w:t>
      </w:r>
    </w:p>
    <w:p w14:paraId="457C67F2">
      <w:pPr>
        <w:keepNext w:val="0"/>
        <w:keepLines w:val="0"/>
        <w:pageBreakBefore w:val="0"/>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b/>
          <w:color w:val="auto"/>
          <w:sz w:val="24"/>
          <w:szCs w:val="24"/>
        </w:rPr>
        <w:t>(202</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年  月)</w:t>
      </w:r>
    </w:p>
    <w:tbl>
      <w:tblPr>
        <w:tblStyle w:val="47"/>
        <w:tblW w:w="9865" w:type="dxa"/>
        <w:tblInd w:w="0" w:type="dxa"/>
        <w:tblLayout w:type="fixed"/>
        <w:tblCellMar>
          <w:top w:w="0" w:type="dxa"/>
          <w:left w:w="108" w:type="dxa"/>
          <w:bottom w:w="0" w:type="dxa"/>
          <w:right w:w="108" w:type="dxa"/>
        </w:tblCellMar>
      </w:tblPr>
      <w:tblGrid>
        <w:gridCol w:w="664"/>
        <w:gridCol w:w="643"/>
        <w:gridCol w:w="7110"/>
        <w:gridCol w:w="698"/>
        <w:gridCol w:w="750"/>
      </w:tblGrid>
      <w:tr w14:paraId="6343FBB5">
        <w:tblPrEx>
          <w:tblCellMar>
            <w:top w:w="0" w:type="dxa"/>
            <w:left w:w="108" w:type="dxa"/>
            <w:bottom w:w="0" w:type="dxa"/>
            <w:right w:w="108" w:type="dxa"/>
          </w:tblCellMar>
        </w:tblPrEx>
        <w:trPr>
          <w:trHeight w:val="23" w:hRule="atLeast"/>
          <w:tblHeader/>
        </w:trPr>
        <w:tc>
          <w:tcPr>
            <w:tcW w:w="664" w:type="dxa"/>
            <w:tcBorders>
              <w:top w:val="single" w:color="auto" w:sz="4" w:space="0"/>
              <w:left w:val="single" w:color="auto" w:sz="4" w:space="0"/>
              <w:bottom w:val="single" w:color="auto" w:sz="4" w:space="0"/>
              <w:right w:val="single" w:color="auto" w:sz="4" w:space="0"/>
            </w:tcBorders>
            <w:noWrap w:val="0"/>
            <w:vAlign w:val="center"/>
          </w:tcPr>
          <w:p w14:paraId="07E60A52">
            <w:pPr>
              <w:jc w:val="center"/>
              <w:rPr>
                <w:rFonts w:hint="eastAsia"/>
                <w:color w:val="auto"/>
              </w:rPr>
            </w:pPr>
            <w:r>
              <w:rPr>
                <w:rFonts w:hint="eastAsia"/>
                <w:color w:val="auto"/>
              </w:rPr>
              <w:t>专业类别</w:t>
            </w:r>
          </w:p>
        </w:tc>
        <w:tc>
          <w:tcPr>
            <w:tcW w:w="643" w:type="dxa"/>
            <w:tcBorders>
              <w:top w:val="single" w:color="auto" w:sz="4" w:space="0"/>
              <w:left w:val="nil"/>
              <w:bottom w:val="single" w:color="auto" w:sz="4" w:space="0"/>
              <w:right w:val="single" w:color="auto" w:sz="4" w:space="0"/>
            </w:tcBorders>
            <w:noWrap w:val="0"/>
            <w:vAlign w:val="center"/>
          </w:tcPr>
          <w:p w14:paraId="289783BB">
            <w:pPr>
              <w:jc w:val="center"/>
              <w:rPr>
                <w:rFonts w:hint="eastAsia"/>
                <w:color w:val="auto"/>
              </w:rPr>
            </w:pPr>
            <w:r>
              <w:rPr>
                <w:rFonts w:hint="eastAsia"/>
                <w:color w:val="auto"/>
              </w:rPr>
              <w:t>检查</w:t>
            </w:r>
            <w:r>
              <w:rPr>
                <w:rFonts w:hint="eastAsia"/>
                <w:color w:val="auto"/>
              </w:rPr>
              <w:br w:type="textWrapping"/>
            </w:r>
            <w:r>
              <w:rPr>
                <w:rFonts w:hint="eastAsia"/>
                <w:color w:val="auto"/>
              </w:rPr>
              <w:t>项目</w:t>
            </w:r>
          </w:p>
        </w:tc>
        <w:tc>
          <w:tcPr>
            <w:tcW w:w="7110" w:type="dxa"/>
            <w:tcBorders>
              <w:top w:val="single" w:color="auto" w:sz="4" w:space="0"/>
              <w:left w:val="nil"/>
              <w:bottom w:val="single" w:color="auto" w:sz="4" w:space="0"/>
              <w:right w:val="single" w:color="auto" w:sz="4" w:space="0"/>
            </w:tcBorders>
            <w:noWrap w:val="0"/>
            <w:vAlign w:val="center"/>
          </w:tcPr>
          <w:p w14:paraId="4F5B99E8">
            <w:pPr>
              <w:jc w:val="center"/>
              <w:rPr>
                <w:rFonts w:hint="eastAsia"/>
                <w:color w:val="auto"/>
              </w:rPr>
            </w:pPr>
            <w:r>
              <w:rPr>
                <w:rFonts w:hint="eastAsia"/>
                <w:color w:val="auto"/>
              </w:rPr>
              <w:t>评分标准</w:t>
            </w:r>
          </w:p>
        </w:tc>
        <w:tc>
          <w:tcPr>
            <w:tcW w:w="698" w:type="dxa"/>
            <w:tcBorders>
              <w:top w:val="single" w:color="auto" w:sz="4" w:space="0"/>
              <w:left w:val="nil"/>
              <w:bottom w:val="single" w:color="auto" w:sz="4" w:space="0"/>
              <w:right w:val="single" w:color="auto" w:sz="4" w:space="0"/>
            </w:tcBorders>
            <w:noWrap w:val="0"/>
            <w:vAlign w:val="center"/>
          </w:tcPr>
          <w:p w14:paraId="07C6F061">
            <w:pPr>
              <w:jc w:val="center"/>
              <w:rPr>
                <w:rFonts w:hint="eastAsia"/>
                <w:color w:val="auto"/>
              </w:rPr>
            </w:pPr>
            <w:r>
              <w:rPr>
                <w:rFonts w:hint="eastAsia"/>
                <w:color w:val="auto"/>
              </w:rPr>
              <w:t>单项分值(分)</w:t>
            </w:r>
          </w:p>
        </w:tc>
        <w:tc>
          <w:tcPr>
            <w:tcW w:w="750" w:type="dxa"/>
            <w:tcBorders>
              <w:top w:val="single" w:color="auto" w:sz="4" w:space="0"/>
              <w:left w:val="nil"/>
              <w:bottom w:val="single" w:color="auto" w:sz="4" w:space="0"/>
              <w:right w:val="single" w:color="auto" w:sz="4" w:space="0"/>
            </w:tcBorders>
            <w:noWrap w:val="0"/>
            <w:vAlign w:val="center"/>
          </w:tcPr>
          <w:p w14:paraId="7784E647">
            <w:pPr>
              <w:jc w:val="center"/>
              <w:rPr>
                <w:rFonts w:hint="eastAsia"/>
                <w:color w:val="auto"/>
              </w:rPr>
            </w:pPr>
            <w:r>
              <w:rPr>
                <w:rFonts w:hint="eastAsia"/>
                <w:color w:val="auto"/>
              </w:rPr>
              <w:t>扣 分</w:t>
            </w:r>
          </w:p>
        </w:tc>
      </w:tr>
      <w:tr w14:paraId="66159376">
        <w:tblPrEx>
          <w:tblCellMar>
            <w:top w:w="0" w:type="dxa"/>
            <w:left w:w="108" w:type="dxa"/>
            <w:bottom w:w="0" w:type="dxa"/>
            <w:right w:w="108" w:type="dxa"/>
          </w:tblCellMar>
        </w:tblPrEx>
        <w:trPr>
          <w:trHeight w:val="23" w:hRule="atLeast"/>
        </w:trPr>
        <w:tc>
          <w:tcPr>
            <w:tcW w:w="664" w:type="dxa"/>
            <w:vMerge w:val="restart"/>
            <w:tcBorders>
              <w:top w:val="nil"/>
              <w:left w:val="single" w:color="auto" w:sz="4" w:space="0"/>
              <w:bottom w:val="single" w:color="auto" w:sz="4" w:space="0"/>
              <w:right w:val="single" w:color="auto" w:sz="4" w:space="0"/>
            </w:tcBorders>
            <w:noWrap w:val="0"/>
            <w:vAlign w:val="center"/>
          </w:tcPr>
          <w:p w14:paraId="27FF57B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县城园林绿化管养</w:t>
            </w:r>
          </w:p>
        </w:tc>
        <w:tc>
          <w:tcPr>
            <w:tcW w:w="643" w:type="dxa"/>
            <w:vMerge w:val="restart"/>
            <w:tcBorders>
              <w:top w:val="nil"/>
              <w:left w:val="single" w:color="auto" w:sz="4" w:space="0"/>
              <w:bottom w:val="single" w:color="auto" w:sz="4" w:space="0"/>
              <w:right w:val="single" w:color="auto" w:sz="4" w:space="0"/>
            </w:tcBorders>
            <w:noWrap w:val="0"/>
            <w:vAlign w:val="center"/>
          </w:tcPr>
          <w:p w14:paraId="1B132B5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修剪</w:t>
            </w:r>
          </w:p>
          <w:p w14:paraId="76F61E7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及树</w:t>
            </w:r>
          </w:p>
          <w:p w14:paraId="7C637A2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型管</w:t>
            </w:r>
          </w:p>
          <w:p w14:paraId="72001DA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理</w:t>
            </w:r>
          </w:p>
        </w:tc>
        <w:tc>
          <w:tcPr>
            <w:tcW w:w="7110" w:type="dxa"/>
            <w:tcBorders>
              <w:top w:val="nil"/>
              <w:left w:val="nil"/>
              <w:bottom w:val="single" w:color="auto" w:sz="4" w:space="0"/>
              <w:right w:val="single" w:color="auto" w:sz="4" w:space="0"/>
            </w:tcBorders>
            <w:noWrap w:val="0"/>
            <w:vAlign w:val="center"/>
          </w:tcPr>
          <w:p w14:paraId="3D3A48E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草坪没按时按要求修剪每平方米扣0.05分。</w:t>
            </w:r>
          </w:p>
        </w:tc>
        <w:tc>
          <w:tcPr>
            <w:tcW w:w="698" w:type="dxa"/>
            <w:tcBorders>
              <w:top w:val="nil"/>
              <w:left w:val="nil"/>
              <w:bottom w:val="single" w:color="auto" w:sz="4" w:space="0"/>
              <w:right w:val="single" w:color="auto" w:sz="4" w:space="0"/>
            </w:tcBorders>
            <w:noWrap w:val="0"/>
            <w:vAlign w:val="center"/>
          </w:tcPr>
          <w:p w14:paraId="316C9A5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18CE205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A07D5F0">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4AF518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3D9972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38D7EC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单植灌木、绿篱及花坛修剪不及时或整形不符合要求，每平米扣0.1分。</w:t>
            </w:r>
          </w:p>
        </w:tc>
        <w:tc>
          <w:tcPr>
            <w:tcW w:w="698" w:type="dxa"/>
            <w:tcBorders>
              <w:top w:val="nil"/>
              <w:left w:val="nil"/>
              <w:bottom w:val="single" w:color="auto" w:sz="4" w:space="0"/>
              <w:right w:val="single" w:color="auto" w:sz="4" w:space="0"/>
            </w:tcBorders>
            <w:noWrap w:val="0"/>
            <w:vAlign w:val="center"/>
          </w:tcPr>
          <w:p w14:paraId="56D6DA1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tcBorders>
              <w:top w:val="nil"/>
              <w:left w:val="nil"/>
              <w:bottom w:val="single" w:color="auto" w:sz="4" w:space="0"/>
              <w:right w:val="single" w:color="auto" w:sz="4" w:space="0"/>
            </w:tcBorders>
            <w:noWrap w:val="0"/>
            <w:vAlign w:val="center"/>
          </w:tcPr>
          <w:p w14:paraId="6B7AAFB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6CC8241">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44E537B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4557C72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7C3DC11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行道树干枝、绿地上的乔木干枝未及时清理，行道树每株扣0.2分，绿地上的乔木干枝0.05分。</w:t>
            </w:r>
          </w:p>
        </w:tc>
        <w:tc>
          <w:tcPr>
            <w:tcW w:w="698" w:type="dxa"/>
            <w:vMerge w:val="restart"/>
            <w:tcBorders>
              <w:top w:val="nil"/>
              <w:left w:val="single" w:color="auto" w:sz="4" w:space="0"/>
              <w:bottom w:val="single" w:color="auto" w:sz="4" w:space="0"/>
              <w:right w:val="single" w:color="auto" w:sz="4" w:space="0"/>
            </w:tcBorders>
            <w:noWrap w:val="0"/>
            <w:vAlign w:val="center"/>
          </w:tcPr>
          <w:p w14:paraId="28A0D1D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vMerge w:val="restart"/>
            <w:tcBorders>
              <w:top w:val="nil"/>
              <w:left w:val="single" w:color="auto" w:sz="4" w:space="0"/>
              <w:bottom w:val="single" w:color="auto" w:sz="4" w:space="0"/>
              <w:right w:val="single" w:color="auto" w:sz="4" w:space="0"/>
            </w:tcBorders>
            <w:noWrap w:val="0"/>
            <w:vAlign w:val="center"/>
          </w:tcPr>
          <w:p w14:paraId="6A36D9D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20127C1">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882F02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D1ACDB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1CF1A04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乔木没按要求修剪，严重影响景观和存在安全隐患，行道树每株扣2分，绿地乔木每株扣1分。</w:t>
            </w:r>
          </w:p>
        </w:tc>
        <w:tc>
          <w:tcPr>
            <w:tcW w:w="698" w:type="dxa"/>
            <w:vMerge w:val="continue"/>
            <w:tcBorders>
              <w:top w:val="nil"/>
              <w:left w:val="single" w:color="auto" w:sz="4" w:space="0"/>
              <w:bottom w:val="single" w:color="auto" w:sz="4" w:space="0"/>
              <w:right w:val="single" w:color="auto" w:sz="4" w:space="0"/>
            </w:tcBorders>
            <w:noWrap w:val="0"/>
            <w:vAlign w:val="center"/>
          </w:tcPr>
          <w:p w14:paraId="4D83D4B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2BB3842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39C2A3E">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A1B37C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7EBC06E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CD6CCC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行道树树钉（枝桠修剪应尽量靠近主干同时剪口最小）和下缘线以下的萌蘖芽没清除，每株扣0.5分。</w:t>
            </w:r>
          </w:p>
        </w:tc>
        <w:tc>
          <w:tcPr>
            <w:tcW w:w="698" w:type="dxa"/>
            <w:vMerge w:val="continue"/>
            <w:tcBorders>
              <w:top w:val="nil"/>
              <w:left w:val="single" w:color="auto" w:sz="4" w:space="0"/>
              <w:bottom w:val="single" w:color="auto" w:sz="4" w:space="0"/>
              <w:right w:val="single" w:color="auto" w:sz="4" w:space="0"/>
            </w:tcBorders>
            <w:noWrap w:val="0"/>
            <w:vAlign w:val="center"/>
          </w:tcPr>
          <w:p w14:paraId="3B887BD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5AECC7D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BA79A90">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110E0E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59CF9E9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774D6322">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行道树歪斜必须扶正，如未按要求扶正的，每株扣2分；绿地上乔木歪斜，影响景观的需进行扶正，每株扣1分。</w:t>
            </w:r>
          </w:p>
        </w:tc>
        <w:tc>
          <w:tcPr>
            <w:tcW w:w="698" w:type="dxa"/>
            <w:tcBorders>
              <w:top w:val="nil"/>
              <w:left w:val="nil"/>
              <w:bottom w:val="single" w:color="auto" w:sz="4" w:space="0"/>
              <w:right w:val="single" w:color="auto" w:sz="4" w:space="0"/>
            </w:tcBorders>
            <w:noWrap w:val="0"/>
            <w:vAlign w:val="center"/>
          </w:tcPr>
          <w:p w14:paraId="491908F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792482C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307C989">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46FB1F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170702E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补植</w:t>
            </w:r>
          </w:p>
        </w:tc>
        <w:tc>
          <w:tcPr>
            <w:tcW w:w="7110" w:type="dxa"/>
            <w:tcBorders>
              <w:top w:val="nil"/>
              <w:left w:val="nil"/>
              <w:bottom w:val="single" w:color="auto" w:sz="4" w:space="0"/>
              <w:right w:val="single" w:color="auto" w:sz="4" w:space="0"/>
            </w:tcBorders>
            <w:noWrap w:val="0"/>
            <w:vAlign w:val="center"/>
          </w:tcPr>
          <w:p w14:paraId="0875C13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乔、灌木和草地死亡或缺株的，不按管理要求在10天内补植同种同规格（超规格的除外）的苗木的，扣5分，不按要求补种或补植规格达不到要求和补草覆盖率小于80%的，扣</w:t>
            </w:r>
            <w:r>
              <w:rPr>
                <w:rFonts w:hint="eastAsia" w:asciiTheme="minorEastAsia" w:hAnsiTheme="minorEastAsia" w:eastAsiaTheme="minorEastAsia" w:cstheme="minorEastAsia"/>
                <w:color w:val="auto"/>
                <w:kern w:val="0"/>
                <w:sz w:val="24"/>
                <w:szCs w:val="24"/>
                <w:lang w:val="en-US" w:eastAsia="zh-CN"/>
              </w:rPr>
              <w:t>3</w:t>
            </w:r>
            <w:r>
              <w:rPr>
                <w:rFonts w:hint="eastAsia" w:asciiTheme="minorEastAsia" w:hAnsiTheme="minorEastAsia" w:eastAsiaTheme="minorEastAsia" w:cstheme="minorEastAsia"/>
                <w:color w:val="auto"/>
                <w:kern w:val="0"/>
                <w:sz w:val="24"/>
                <w:szCs w:val="24"/>
              </w:rPr>
              <w:t>分。</w:t>
            </w:r>
          </w:p>
        </w:tc>
        <w:tc>
          <w:tcPr>
            <w:tcW w:w="698" w:type="dxa"/>
            <w:vMerge w:val="restart"/>
            <w:tcBorders>
              <w:top w:val="nil"/>
              <w:left w:val="single" w:color="auto" w:sz="4" w:space="0"/>
              <w:bottom w:val="single" w:color="auto" w:sz="4" w:space="0"/>
              <w:right w:val="single" w:color="auto" w:sz="4" w:space="0"/>
            </w:tcBorders>
            <w:noWrap w:val="0"/>
            <w:vAlign w:val="center"/>
          </w:tcPr>
          <w:p w14:paraId="1DEC704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w:t>
            </w:r>
          </w:p>
        </w:tc>
        <w:tc>
          <w:tcPr>
            <w:tcW w:w="750" w:type="dxa"/>
            <w:vMerge w:val="restart"/>
            <w:tcBorders>
              <w:top w:val="nil"/>
              <w:left w:val="single" w:color="auto" w:sz="4" w:space="0"/>
              <w:bottom w:val="single" w:color="000000" w:sz="4" w:space="0"/>
              <w:right w:val="single" w:color="auto" w:sz="4" w:space="0"/>
            </w:tcBorders>
            <w:noWrap w:val="0"/>
            <w:vAlign w:val="center"/>
          </w:tcPr>
          <w:p w14:paraId="25BFEF1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E573245">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C8CEDB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CF79E1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14AB451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补植操作不符合要求的，乔木和单株灌木每株扣1分，灌木和草本花坛每平方米扣0.5分，地被每平方米扣0.2分。</w:t>
            </w:r>
          </w:p>
        </w:tc>
        <w:tc>
          <w:tcPr>
            <w:tcW w:w="698" w:type="dxa"/>
            <w:vMerge w:val="continue"/>
            <w:tcBorders>
              <w:top w:val="nil"/>
              <w:left w:val="single" w:color="auto" w:sz="4" w:space="0"/>
              <w:bottom w:val="single" w:color="auto" w:sz="4" w:space="0"/>
              <w:right w:val="single" w:color="auto" w:sz="4" w:space="0"/>
            </w:tcBorders>
            <w:noWrap w:val="0"/>
            <w:vAlign w:val="center"/>
          </w:tcPr>
          <w:p w14:paraId="404F17C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3F38116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4D81CDD">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79E43A9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5FBCB1B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04D4CAC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死树和树桩没及时挖掉，每株扣4分。</w:t>
            </w:r>
          </w:p>
        </w:tc>
        <w:tc>
          <w:tcPr>
            <w:tcW w:w="698" w:type="dxa"/>
            <w:vMerge w:val="continue"/>
            <w:tcBorders>
              <w:top w:val="nil"/>
              <w:left w:val="single" w:color="auto" w:sz="4" w:space="0"/>
              <w:bottom w:val="single" w:color="auto" w:sz="4" w:space="0"/>
              <w:right w:val="single" w:color="auto" w:sz="4" w:space="0"/>
            </w:tcBorders>
            <w:noWrap w:val="0"/>
            <w:vAlign w:val="center"/>
          </w:tcPr>
          <w:p w14:paraId="545B1CB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03C6A22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E420E56">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4BD3D4C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0047C2A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病虫</w:t>
            </w:r>
          </w:p>
          <w:p w14:paraId="09D0DB63">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害防</w:t>
            </w:r>
          </w:p>
          <w:p w14:paraId="05F0238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治</w:t>
            </w:r>
          </w:p>
        </w:tc>
        <w:tc>
          <w:tcPr>
            <w:tcW w:w="7110" w:type="dxa"/>
            <w:tcBorders>
              <w:top w:val="nil"/>
              <w:left w:val="nil"/>
              <w:bottom w:val="single" w:color="auto" w:sz="4" w:space="0"/>
              <w:right w:val="single" w:color="auto" w:sz="4" w:space="0"/>
            </w:tcBorders>
            <w:noWrap w:val="0"/>
            <w:vAlign w:val="center"/>
          </w:tcPr>
          <w:p w14:paraId="12BFCB7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未按要求防治病虫害并发现病虫害受害程度达20％，或发现检疫性病虫害，乔木每株扣1分。</w:t>
            </w:r>
          </w:p>
        </w:tc>
        <w:tc>
          <w:tcPr>
            <w:tcW w:w="698" w:type="dxa"/>
            <w:vMerge w:val="restart"/>
            <w:tcBorders>
              <w:top w:val="nil"/>
              <w:left w:val="single" w:color="auto" w:sz="4" w:space="0"/>
              <w:bottom w:val="single" w:color="auto" w:sz="4" w:space="0"/>
              <w:right w:val="single" w:color="auto" w:sz="4" w:space="0"/>
            </w:tcBorders>
            <w:noWrap w:val="0"/>
            <w:vAlign w:val="center"/>
          </w:tcPr>
          <w:p w14:paraId="3582D49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w:t>
            </w:r>
          </w:p>
        </w:tc>
        <w:tc>
          <w:tcPr>
            <w:tcW w:w="750" w:type="dxa"/>
            <w:vMerge w:val="restart"/>
            <w:tcBorders>
              <w:top w:val="nil"/>
              <w:left w:val="single" w:color="auto" w:sz="4" w:space="0"/>
              <w:bottom w:val="single" w:color="000000" w:sz="4" w:space="0"/>
              <w:right w:val="single" w:color="auto" w:sz="4" w:space="0"/>
            </w:tcBorders>
            <w:noWrap w:val="0"/>
            <w:vAlign w:val="center"/>
          </w:tcPr>
          <w:p w14:paraId="75EF2CE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CE14BCB">
        <w:tblPrEx>
          <w:tblCellMar>
            <w:top w:w="0" w:type="dxa"/>
            <w:left w:w="108" w:type="dxa"/>
            <w:bottom w:w="0" w:type="dxa"/>
            <w:right w:w="108" w:type="dxa"/>
          </w:tblCellMar>
        </w:tblPrEx>
        <w:trPr>
          <w:trHeight w:val="505"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9BF649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38886D8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8DD1D1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单植灌木每株扣0.5分；绿篱、花坛灌木花卉每平方米扣0.2分；地被每平方米扣0.15分；行道树每株扣2分；病虫害虽已治理，但造成植物损害程度达70%的，执行上述扣罚。</w:t>
            </w:r>
          </w:p>
        </w:tc>
        <w:tc>
          <w:tcPr>
            <w:tcW w:w="698" w:type="dxa"/>
            <w:vMerge w:val="continue"/>
            <w:tcBorders>
              <w:top w:val="nil"/>
              <w:left w:val="single" w:color="auto" w:sz="4" w:space="0"/>
              <w:bottom w:val="single" w:color="auto" w:sz="4" w:space="0"/>
              <w:right w:val="single" w:color="auto" w:sz="4" w:space="0"/>
            </w:tcBorders>
            <w:noWrap w:val="0"/>
            <w:vAlign w:val="center"/>
          </w:tcPr>
          <w:p w14:paraId="4B6D296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6FC860A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C5FF1FD">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BB8D3A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4DC629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6ECA8D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乔木的树洞应及时填灰保护，直径在4厘米以上的伤口要涂防腐层和保护层处理，保护层的颜色必须与树干颜色相一致，不影响景观。未达到上述要求的每株扣2分。</w:t>
            </w:r>
          </w:p>
        </w:tc>
        <w:tc>
          <w:tcPr>
            <w:tcW w:w="698" w:type="dxa"/>
            <w:tcBorders>
              <w:top w:val="nil"/>
              <w:left w:val="nil"/>
              <w:bottom w:val="single" w:color="auto" w:sz="4" w:space="0"/>
              <w:right w:val="single" w:color="auto" w:sz="4" w:space="0"/>
            </w:tcBorders>
            <w:noWrap w:val="0"/>
            <w:vAlign w:val="center"/>
          </w:tcPr>
          <w:p w14:paraId="5E6B673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76455DE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AFE891D">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750125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525D724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基础</w:t>
            </w:r>
          </w:p>
          <w:p w14:paraId="3AD3368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管养</w:t>
            </w:r>
          </w:p>
        </w:tc>
        <w:tc>
          <w:tcPr>
            <w:tcW w:w="7110" w:type="dxa"/>
            <w:tcBorders>
              <w:top w:val="nil"/>
              <w:left w:val="nil"/>
              <w:bottom w:val="single" w:color="auto" w:sz="4" w:space="0"/>
              <w:right w:val="single" w:color="auto" w:sz="4" w:space="0"/>
            </w:tcBorders>
            <w:noWrap w:val="0"/>
            <w:vAlign w:val="center"/>
          </w:tcPr>
          <w:p w14:paraId="69287BB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要求除草松土的花坛、绿篱，没除草、没松土或松土不合格，每平方米花坛、绿篱扣0.2分；种植草花绿地内的单株灌木及新种植2年以内的乔木应进行松土，没松土或松土不合格（松土沟宽度应小于或等于30厘米），每株乔木扣0.2分，单株灌木扣0.1分，行道树每株扣0.5分。</w:t>
            </w:r>
          </w:p>
        </w:tc>
        <w:tc>
          <w:tcPr>
            <w:tcW w:w="698" w:type="dxa"/>
            <w:tcBorders>
              <w:top w:val="nil"/>
              <w:left w:val="nil"/>
              <w:bottom w:val="single" w:color="auto" w:sz="4" w:space="0"/>
              <w:right w:val="single" w:color="auto" w:sz="4" w:space="0"/>
            </w:tcBorders>
            <w:noWrap w:val="0"/>
            <w:vAlign w:val="center"/>
          </w:tcPr>
          <w:p w14:paraId="655D8AC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w:t>
            </w:r>
          </w:p>
        </w:tc>
        <w:tc>
          <w:tcPr>
            <w:tcW w:w="750" w:type="dxa"/>
            <w:tcBorders>
              <w:top w:val="nil"/>
              <w:left w:val="nil"/>
              <w:bottom w:val="single" w:color="auto" w:sz="4" w:space="0"/>
              <w:right w:val="single" w:color="auto" w:sz="4" w:space="0"/>
            </w:tcBorders>
            <w:noWrap w:val="0"/>
            <w:vAlign w:val="center"/>
          </w:tcPr>
          <w:p w14:paraId="7569BB5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p w14:paraId="0C12FCD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p w14:paraId="0A08E67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000BD5C">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13228BE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1CC2270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F8A218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2平方米以下的草地凹凸不平（包括树坑、车轮印、管沟等），高差大于或等于5厘米，或长期积水的每平方米扣0.15分。</w:t>
            </w:r>
          </w:p>
        </w:tc>
        <w:tc>
          <w:tcPr>
            <w:tcW w:w="698" w:type="dxa"/>
            <w:tcBorders>
              <w:top w:val="nil"/>
              <w:left w:val="nil"/>
              <w:bottom w:val="single" w:color="auto" w:sz="4" w:space="0"/>
              <w:right w:val="single" w:color="auto" w:sz="4" w:space="0"/>
            </w:tcBorders>
            <w:noWrap w:val="0"/>
            <w:vAlign w:val="center"/>
          </w:tcPr>
          <w:p w14:paraId="159F677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6B7B82D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21CEA1A">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43C29E6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341F946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4BE51E2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乔、灌木因管理不善明显缺水的，乔木和单株灌木每株、绿篱和花坛灌木花卉每平方米扣0.2分，行道树每株扣0.5分，悬挂绿化每株扣0.3分；草坪枯黄、生长不良，每平方米扣0.01分。</w:t>
            </w:r>
          </w:p>
        </w:tc>
        <w:tc>
          <w:tcPr>
            <w:tcW w:w="698" w:type="dxa"/>
            <w:tcBorders>
              <w:top w:val="nil"/>
              <w:left w:val="nil"/>
              <w:bottom w:val="single" w:color="auto" w:sz="4" w:space="0"/>
              <w:right w:val="single" w:color="auto" w:sz="4" w:space="0"/>
            </w:tcBorders>
            <w:noWrap w:val="0"/>
            <w:vAlign w:val="center"/>
          </w:tcPr>
          <w:p w14:paraId="7364451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tcBorders>
              <w:top w:val="nil"/>
              <w:left w:val="nil"/>
              <w:bottom w:val="single" w:color="auto" w:sz="4" w:space="0"/>
              <w:right w:val="single" w:color="auto" w:sz="4" w:space="0"/>
            </w:tcBorders>
            <w:noWrap w:val="0"/>
            <w:vAlign w:val="center"/>
          </w:tcPr>
          <w:p w14:paraId="19F51E4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07D17C4">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395B844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31ABD06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F75966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绿地受人为破坏未及时整治的每平方米扣0.3分。</w:t>
            </w:r>
          </w:p>
        </w:tc>
        <w:tc>
          <w:tcPr>
            <w:tcW w:w="698" w:type="dxa"/>
            <w:tcBorders>
              <w:top w:val="nil"/>
              <w:left w:val="nil"/>
              <w:bottom w:val="single" w:color="auto" w:sz="4" w:space="0"/>
              <w:right w:val="single" w:color="auto" w:sz="4" w:space="0"/>
            </w:tcBorders>
            <w:noWrap w:val="0"/>
            <w:vAlign w:val="center"/>
          </w:tcPr>
          <w:p w14:paraId="7B2648E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2DEBF27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27EC4B5">
        <w:tblPrEx>
          <w:tblCellMar>
            <w:top w:w="0" w:type="dxa"/>
            <w:left w:w="108" w:type="dxa"/>
            <w:bottom w:w="0" w:type="dxa"/>
            <w:right w:w="108" w:type="dxa"/>
          </w:tblCellMar>
        </w:tblPrEx>
        <w:trPr>
          <w:trHeight w:val="23" w:hRule="atLeast"/>
        </w:trPr>
        <w:tc>
          <w:tcPr>
            <w:tcW w:w="664" w:type="dxa"/>
            <w:vMerge w:val="restart"/>
            <w:tcBorders>
              <w:top w:val="single" w:color="auto" w:sz="4" w:space="0"/>
              <w:left w:val="single" w:color="auto" w:sz="4" w:space="0"/>
              <w:right w:val="single" w:color="auto" w:sz="4" w:space="0"/>
            </w:tcBorders>
            <w:noWrap w:val="0"/>
            <w:vAlign w:val="center"/>
          </w:tcPr>
          <w:p w14:paraId="57B05C2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县城园林绿化管养</w:t>
            </w:r>
          </w:p>
        </w:tc>
        <w:tc>
          <w:tcPr>
            <w:tcW w:w="643" w:type="dxa"/>
            <w:vMerge w:val="restart"/>
            <w:tcBorders>
              <w:top w:val="single" w:color="auto" w:sz="4" w:space="0"/>
              <w:left w:val="single" w:color="auto" w:sz="4" w:space="0"/>
              <w:bottom w:val="single" w:color="auto" w:sz="4" w:space="0"/>
              <w:right w:val="single" w:color="auto" w:sz="4" w:space="0"/>
            </w:tcBorders>
            <w:noWrap w:val="0"/>
            <w:vAlign w:val="center"/>
          </w:tcPr>
          <w:p w14:paraId="6DCB347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施肥</w:t>
            </w:r>
          </w:p>
        </w:tc>
        <w:tc>
          <w:tcPr>
            <w:tcW w:w="7110" w:type="dxa"/>
            <w:tcBorders>
              <w:top w:val="single" w:color="auto" w:sz="4" w:space="0"/>
              <w:left w:val="nil"/>
              <w:bottom w:val="single" w:color="auto" w:sz="4" w:space="0"/>
              <w:right w:val="single" w:color="auto" w:sz="4" w:space="0"/>
            </w:tcBorders>
            <w:noWrap w:val="0"/>
            <w:vAlign w:val="center"/>
          </w:tcPr>
          <w:p w14:paraId="175A223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乔、灌木及藤本植物生长不良的，乔木和单植灌木每株扣0.5分，行道树扣1.5分，灌木花坛每平方米扣0.02分。</w:t>
            </w:r>
          </w:p>
        </w:tc>
        <w:tc>
          <w:tcPr>
            <w:tcW w:w="698" w:type="dxa"/>
            <w:vMerge w:val="restart"/>
            <w:tcBorders>
              <w:top w:val="single" w:color="auto" w:sz="4" w:space="0"/>
              <w:left w:val="single" w:color="auto" w:sz="4" w:space="0"/>
              <w:bottom w:val="single" w:color="auto" w:sz="4" w:space="0"/>
              <w:right w:val="single" w:color="auto" w:sz="4" w:space="0"/>
            </w:tcBorders>
            <w:noWrap w:val="0"/>
            <w:vAlign w:val="center"/>
          </w:tcPr>
          <w:p w14:paraId="65D7ECE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w:t>
            </w:r>
          </w:p>
        </w:tc>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14:paraId="6D51AEF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B8B4685">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1752A6C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single" w:color="auto" w:sz="4" w:space="0"/>
              <w:left w:val="single" w:color="auto" w:sz="4" w:space="0"/>
              <w:bottom w:val="single" w:color="auto" w:sz="4" w:space="0"/>
              <w:right w:val="single" w:color="auto" w:sz="4" w:space="0"/>
            </w:tcBorders>
            <w:noWrap w:val="0"/>
            <w:vAlign w:val="center"/>
          </w:tcPr>
          <w:p w14:paraId="467E355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2185019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施肥不符合要求，乔木和单株灌木每株扣0.5分，灌木和草本花坛每平方米扣0.5分。</w:t>
            </w:r>
          </w:p>
        </w:tc>
        <w:tc>
          <w:tcPr>
            <w:tcW w:w="698" w:type="dxa"/>
            <w:vMerge w:val="continue"/>
            <w:tcBorders>
              <w:top w:val="single" w:color="auto" w:sz="4" w:space="0"/>
              <w:left w:val="single" w:color="auto" w:sz="4" w:space="0"/>
              <w:bottom w:val="single" w:color="auto" w:sz="4" w:space="0"/>
              <w:right w:val="single" w:color="auto" w:sz="4" w:space="0"/>
            </w:tcBorders>
            <w:noWrap w:val="0"/>
            <w:vAlign w:val="center"/>
          </w:tcPr>
          <w:p w14:paraId="4B32BAD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6575EA3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031229D">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2780831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1D1CC40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设施</w:t>
            </w:r>
          </w:p>
          <w:p w14:paraId="281A215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维护</w:t>
            </w:r>
          </w:p>
        </w:tc>
        <w:tc>
          <w:tcPr>
            <w:tcW w:w="7110" w:type="dxa"/>
            <w:tcBorders>
              <w:top w:val="nil"/>
              <w:left w:val="nil"/>
              <w:bottom w:val="single" w:color="auto" w:sz="4" w:space="0"/>
              <w:right w:val="single" w:color="auto" w:sz="4" w:space="0"/>
            </w:tcBorders>
            <w:noWrap w:val="0"/>
            <w:vAlign w:val="center"/>
          </w:tcPr>
          <w:p w14:paraId="58ADF06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护树设施安装不当或损坏不及时恢复，每株扣1分。</w:t>
            </w:r>
          </w:p>
        </w:tc>
        <w:tc>
          <w:tcPr>
            <w:tcW w:w="698" w:type="dxa"/>
            <w:tcBorders>
              <w:top w:val="nil"/>
              <w:left w:val="nil"/>
              <w:bottom w:val="single" w:color="auto" w:sz="4" w:space="0"/>
              <w:right w:val="single" w:color="auto" w:sz="4" w:space="0"/>
            </w:tcBorders>
            <w:noWrap w:val="0"/>
            <w:vAlign w:val="center"/>
          </w:tcPr>
          <w:p w14:paraId="6B7FDF7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384ABE1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4DC6E23">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4E25431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single" w:color="auto" w:sz="4" w:space="0"/>
              <w:left w:val="single" w:color="auto" w:sz="4" w:space="0"/>
              <w:bottom w:val="single" w:color="auto" w:sz="4" w:space="0"/>
              <w:right w:val="single" w:color="auto" w:sz="4" w:space="0"/>
            </w:tcBorders>
            <w:noWrap w:val="0"/>
            <w:vAlign w:val="center"/>
          </w:tcPr>
          <w:p w14:paraId="5B40A28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nil"/>
              <w:bottom w:val="single" w:color="auto" w:sz="4" w:space="0"/>
              <w:right w:val="single" w:color="auto" w:sz="4" w:space="0"/>
            </w:tcBorders>
            <w:noWrap w:val="0"/>
            <w:vAlign w:val="center"/>
          </w:tcPr>
          <w:p w14:paraId="6389E2F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为防止人流践踏而在绿地上设置的围护设施必须整齐、安全、文明，不得使用有刺铁线。违反上述规定设置围护设施的，每米扣0.2分。</w:t>
            </w:r>
          </w:p>
        </w:tc>
        <w:tc>
          <w:tcPr>
            <w:tcW w:w="698" w:type="dxa"/>
            <w:tcBorders>
              <w:top w:val="single" w:color="auto" w:sz="4" w:space="0"/>
              <w:left w:val="nil"/>
              <w:bottom w:val="single" w:color="auto" w:sz="4" w:space="0"/>
              <w:right w:val="single" w:color="auto" w:sz="4" w:space="0"/>
            </w:tcBorders>
            <w:noWrap w:val="0"/>
            <w:vAlign w:val="center"/>
          </w:tcPr>
          <w:p w14:paraId="7D1FD86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single" w:color="auto" w:sz="4" w:space="0"/>
              <w:left w:val="nil"/>
              <w:bottom w:val="single" w:color="auto" w:sz="4" w:space="0"/>
              <w:right w:val="single" w:color="auto" w:sz="4" w:space="0"/>
            </w:tcBorders>
            <w:noWrap w:val="0"/>
            <w:vAlign w:val="center"/>
          </w:tcPr>
          <w:p w14:paraId="25A032A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5D95733">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B58CE8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7CA425B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w:t>
            </w:r>
          </w:p>
          <w:p w14:paraId="07AA873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保洁</w:t>
            </w:r>
          </w:p>
        </w:tc>
        <w:tc>
          <w:tcPr>
            <w:tcW w:w="7110" w:type="dxa"/>
            <w:tcBorders>
              <w:top w:val="nil"/>
              <w:left w:val="nil"/>
              <w:bottom w:val="single" w:color="auto" w:sz="4" w:space="0"/>
              <w:right w:val="single" w:color="auto" w:sz="4" w:space="0"/>
            </w:tcBorders>
            <w:noWrap w:val="0"/>
            <w:vAlign w:val="center"/>
          </w:tcPr>
          <w:p w14:paraId="68C2758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保洁时间内（每天的8：00-18：00）绿地上有垃圾杂物或影响景观的落叶未清理的，每件或每平方米扣0.05分。粪便、呕吐物及动物尸体严重影响环境、景观未清理扣0.3分。行道树上有垃圾杂物和明显断掉枝每件扣0.2分。</w:t>
            </w:r>
          </w:p>
        </w:tc>
        <w:tc>
          <w:tcPr>
            <w:tcW w:w="698" w:type="dxa"/>
            <w:tcBorders>
              <w:top w:val="nil"/>
              <w:left w:val="nil"/>
              <w:bottom w:val="single" w:color="auto" w:sz="4" w:space="0"/>
              <w:right w:val="single" w:color="auto" w:sz="4" w:space="0"/>
            </w:tcBorders>
            <w:noWrap w:val="0"/>
            <w:vAlign w:val="center"/>
          </w:tcPr>
          <w:p w14:paraId="03CF222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6.5</w:t>
            </w:r>
          </w:p>
        </w:tc>
        <w:tc>
          <w:tcPr>
            <w:tcW w:w="750" w:type="dxa"/>
            <w:tcBorders>
              <w:top w:val="nil"/>
              <w:left w:val="nil"/>
              <w:bottom w:val="single" w:color="auto" w:sz="4" w:space="0"/>
              <w:right w:val="single" w:color="auto" w:sz="4" w:space="0"/>
            </w:tcBorders>
            <w:noWrap w:val="0"/>
            <w:vAlign w:val="center"/>
          </w:tcPr>
          <w:p w14:paraId="4A60AC4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6FE2767">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A769DB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74F1D4D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B9D5C8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w w:val="90"/>
                <w:kern w:val="0"/>
                <w:sz w:val="24"/>
                <w:szCs w:val="24"/>
              </w:rPr>
            </w:pPr>
            <w:r>
              <w:rPr>
                <w:rFonts w:hint="eastAsia" w:asciiTheme="minorEastAsia" w:hAnsiTheme="minorEastAsia" w:eastAsiaTheme="minorEastAsia" w:cstheme="minorEastAsia"/>
                <w:color w:val="auto"/>
                <w:kern w:val="0"/>
                <w:sz w:val="24"/>
                <w:szCs w:val="24"/>
              </w:rPr>
              <w:t>垃圾没按要求当天清运走,每堆扣0.25分，行道树修剪的枝条和清理的死树没按要求当天清走的,每堆扣2分。</w:t>
            </w:r>
          </w:p>
        </w:tc>
        <w:tc>
          <w:tcPr>
            <w:tcW w:w="698" w:type="dxa"/>
            <w:tcBorders>
              <w:top w:val="nil"/>
              <w:left w:val="nil"/>
              <w:bottom w:val="single" w:color="auto" w:sz="4" w:space="0"/>
              <w:right w:val="single" w:color="auto" w:sz="4" w:space="0"/>
            </w:tcBorders>
            <w:noWrap w:val="0"/>
            <w:vAlign w:val="center"/>
          </w:tcPr>
          <w:p w14:paraId="2330ACF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3BE2F8F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70BFD81">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4F10DBD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71B4D68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61C45EB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焚烧垃圾每次每处扣2分。</w:t>
            </w:r>
          </w:p>
        </w:tc>
        <w:tc>
          <w:tcPr>
            <w:tcW w:w="698" w:type="dxa"/>
            <w:tcBorders>
              <w:top w:val="nil"/>
              <w:left w:val="nil"/>
              <w:bottom w:val="single" w:color="auto" w:sz="4" w:space="0"/>
              <w:right w:val="single" w:color="auto" w:sz="4" w:space="0"/>
            </w:tcBorders>
            <w:noWrap w:val="0"/>
            <w:vAlign w:val="center"/>
          </w:tcPr>
          <w:p w14:paraId="1C69A9A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109D520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0588A1A">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2B9B386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09D32C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D8E2EB2">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绿地上发现老鼠洞和死老鼠的，每个扣1分，鼠迹每处扣0.5分；蚊蝇滋生地，每处扣0.5分。</w:t>
            </w:r>
          </w:p>
        </w:tc>
        <w:tc>
          <w:tcPr>
            <w:tcW w:w="698" w:type="dxa"/>
            <w:tcBorders>
              <w:top w:val="nil"/>
              <w:left w:val="nil"/>
              <w:bottom w:val="single" w:color="auto" w:sz="4" w:space="0"/>
              <w:right w:val="single" w:color="auto" w:sz="4" w:space="0"/>
            </w:tcBorders>
            <w:noWrap w:val="0"/>
            <w:vAlign w:val="center"/>
          </w:tcPr>
          <w:p w14:paraId="259300D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50" w:type="dxa"/>
            <w:tcBorders>
              <w:top w:val="nil"/>
              <w:left w:val="nil"/>
              <w:bottom w:val="single" w:color="auto" w:sz="4" w:space="0"/>
              <w:right w:val="single" w:color="auto" w:sz="4" w:space="0"/>
            </w:tcBorders>
            <w:noWrap w:val="0"/>
            <w:vAlign w:val="center"/>
          </w:tcPr>
          <w:p w14:paraId="1282019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163BD00">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148B89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16B635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1A63D3D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绿地有涂写张贴和悬挂未经批准的广告，晾衣服杂物等情况每处扣0.5分。</w:t>
            </w:r>
          </w:p>
        </w:tc>
        <w:tc>
          <w:tcPr>
            <w:tcW w:w="698" w:type="dxa"/>
            <w:tcBorders>
              <w:top w:val="nil"/>
              <w:left w:val="nil"/>
              <w:bottom w:val="single" w:color="auto" w:sz="4" w:space="0"/>
              <w:right w:val="single" w:color="auto" w:sz="4" w:space="0"/>
            </w:tcBorders>
            <w:noWrap w:val="0"/>
            <w:vAlign w:val="center"/>
          </w:tcPr>
          <w:p w14:paraId="6C72C82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0.5</w:t>
            </w:r>
          </w:p>
        </w:tc>
        <w:tc>
          <w:tcPr>
            <w:tcW w:w="750" w:type="dxa"/>
            <w:tcBorders>
              <w:top w:val="nil"/>
              <w:left w:val="nil"/>
              <w:bottom w:val="single" w:color="auto" w:sz="4" w:space="0"/>
              <w:right w:val="single" w:color="auto" w:sz="4" w:space="0"/>
            </w:tcBorders>
            <w:noWrap w:val="0"/>
            <w:vAlign w:val="center"/>
          </w:tcPr>
          <w:p w14:paraId="40F763E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2562538">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7785AE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right w:val="single" w:color="auto" w:sz="4" w:space="0"/>
            </w:tcBorders>
            <w:noWrap w:val="0"/>
            <w:vAlign w:val="center"/>
          </w:tcPr>
          <w:p w14:paraId="2EDD950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其他</w:t>
            </w:r>
          </w:p>
          <w:p w14:paraId="6056109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工作</w:t>
            </w:r>
          </w:p>
        </w:tc>
        <w:tc>
          <w:tcPr>
            <w:tcW w:w="7110" w:type="dxa"/>
            <w:tcBorders>
              <w:top w:val="nil"/>
              <w:left w:val="nil"/>
              <w:bottom w:val="single" w:color="auto" w:sz="4" w:space="0"/>
              <w:right w:val="single" w:color="auto" w:sz="4" w:space="0"/>
            </w:tcBorders>
            <w:noWrap w:val="0"/>
            <w:vAlign w:val="center"/>
          </w:tcPr>
          <w:p w14:paraId="1EB3526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上班时对人为损坏设施、破坏花草树木的行为不及时制止，作业造成设施及花草树木损坏的，每次扣2分；对行道树和绿地内设施及花草树木损坏的，要求当天对现场进行处理并在5天内修复或补植，如不按时完成，按修复费用加倍罚款，当天未对现场进行处理的，绿地每处或行道树每株扣2分。</w:t>
            </w:r>
          </w:p>
        </w:tc>
        <w:tc>
          <w:tcPr>
            <w:tcW w:w="698" w:type="dxa"/>
            <w:vMerge w:val="restart"/>
            <w:tcBorders>
              <w:top w:val="nil"/>
              <w:left w:val="single" w:color="auto" w:sz="4" w:space="0"/>
              <w:right w:val="single" w:color="auto" w:sz="4" w:space="0"/>
            </w:tcBorders>
            <w:noWrap w:val="0"/>
            <w:vAlign w:val="center"/>
          </w:tcPr>
          <w:p w14:paraId="0210BAD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w:t>
            </w:r>
          </w:p>
        </w:tc>
        <w:tc>
          <w:tcPr>
            <w:tcW w:w="750" w:type="dxa"/>
            <w:vMerge w:val="restart"/>
            <w:tcBorders>
              <w:top w:val="nil"/>
              <w:left w:val="single" w:color="auto" w:sz="4" w:space="0"/>
              <w:right w:val="single" w:color="auto" w:sz="4" w:space="0"/>
            </w:tcBorders>
            <w:noWrap w:val="0"/>
            <w:vAlign w:val="center"/>
          </w:tcPr>
          <w:p w14:paraId="1B062B6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9A0EFFD">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4164F6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501422C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C27024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对非法占用绿地红线的行为不制止，对上级批准临时占用绿地有超出规定范围的情况没及时上报，绿地每平方米扣1分，乔木每株扣5分。</w:t>
            </w:r>
          </w:p>
        </w:tc>
        <w:tc>
          <w:tcPr>
            <w:tcW w:w="698" w:type="dxa"/>
            <w:vMerge w:val="continue"/>
            <w:tcBorders>
              <w:left w:val="single" w:color="auto" w:sz="4" w:space="0"/>
              <w:right w:val="single" w:color="auto" w:sz="4" w:space="0"/>
            </w:tcBorders>
            <w:noWrap w:val="0"/>
            <w:vAlign w:val="center"/>
          </w:tcPr>
          <w:p w14:paraId="43D9ED2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41B3268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C7FDB61">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1BA8615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1CF0B5D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5BCCD58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紧急情况不积极组织抢险，造成交通阻塞或使损失加大，每次扣5分。</w:t>
            </w:r>
          </w:p>
        </w:tc>
        <w:tc>
          <w:tcPr>
            <w:tcW w:w="698" w:type="dxa"/>
            <w:vMerge w:val="continue"/>
            <w:tcBorders>
              <w:left w:val="single" w:color="auto" w:sz="4" w:space="0"/>
              <w:right w:val="single" w:color="auto" w:sz="4" w:space="0"/>
            </w:tcBorders>
            <w:noWrap w:val="0"/>
            <w:vAlign w:val="center"/>
          </w:tcPr>
          <w:p w14:paraId="7111C53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0642467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4CEC9F4A">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097D574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57BEC11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1EE2A7E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对绿地内的安全隐患，未及时消除或采取有效防患措施，每处扣5分。</w:t>
            </w:r>
          </w:p>
        </w:tc>
        <w:tc>
          <w:tcPr>
            <w:tcW w:w="698" w:type="dxa"/>
            <w:vMerge w:val="continue"/>
            <w:tcBorders>
              <w:left w:val="single" w:color="auto" w:sz="4" w:space="0"/>
              <w:right w:val="single" w:color="auto" w:sz="4" w:space="0"/>
            </w:tcBorders>
            <w:noWrap w:val="0"/>
            <w:vAlign w:val="center"/>
          </w:tcPr>
          <w:p w14:paraId="2E45287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1E801DE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FF3DCF1">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461AA2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0C07E62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7258C4D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养护</w:t>
            </w:r>
            <w:r>
              <w:rPr>
                <w:rFonts w:hint="eastAsia" w:asciiTheme="minorEastAsia" w:hAnsiTheme="minorEastAsia" w:eastAsiaTheme="minorEastAsia" w:cstheme="minorEastAsia"/>
                <w:color w:val="auto"/>
                <w:sz w:val="24"/>
                <w:szCs w:val="24"/>
              </w:rPr>
              <w:t>一线工作人员要求着统一工作服、穿戴反光衣或反光袖</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一线工作人员未按要求着装的，当月评分每人次扣</w:t>
            </w:r>
            <w:r>
              <w:rPr>
                <w:rFonts w:hint="eastAsia" w:asciiTheme="minorEastAsia" w:hAnsiTheme="minorEastAsia" w:eastAsiaTheme="minorEastAsia" w:cstheme="minorEastAsia"/>
                <w:color w:val="auto"/>
                <w:sz w:val="24"/>
                <w:szCs w:val="24"/>
                <w:lang w:val="en-US" w:eastAsia="zh-CN"/>
              </w:rPr>
              <w:t>0.2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kern w:val="0"/>
                <w:sz w:val="24"/>
                <w:szCs w:val="24"/>
              </w:rPr>
              <w:t>养护</w:t>
            </w:r>
            <w:r>
              <w:rPr>
                <w:rFonts w:hint="eastAsia" w:asciiTheme="minorEastAsia" w:hAnsiTheme="minorEastAsia" w:eastAsiaTheme="minorEastAsia" w:cstheme="minorEastAsia"/>
                <w:color w:val="auto"/>
                <w:sz w:val="24"/>
                <w:szCs w:val="24"/>
              </w:rPr>
              <w:t>一线工作人员</w:t>
            </w:r>
            <w:r>
              <w:rPr>
                <w:rFonts w:hint="eastAsia" w:asciiTheme="minorEastAsia" w:hAnsiTheme="minorEastAsia" w:eastAsiaTheme="minorEastAsia" w:cstheme="minorEastAsia"/>
                <w:color w:val="auto"/>
                <w:kern w:val="0"/>
                <w:sz w:val="24"/>
                <w:szCs w:val="24"/>
              </w:rPr>
              <w:t>工作时佩戴必要的防护用具，不按要求戴护具每次扣2分，造成安全生产事故的，当月考核不合格。</w:t>
            </w:r>
          </w:p>
        </w:tc>
        <w:tc>
          <w:tcPr>
            <w:tcW w:w="698" w:type="dxa"/>
            <w:vMerge w:val="continue"/>
            <w:tcBorders>
              <w:left w:val="single" w:color="auto" w:sz="4" w:space="0"/>
              <w:right w:val="single" w:color="auto" w:sz="4" w:space="0"/>
            </w:tcBorders>
            <w:noWrap w:val="0"/>
            <w:vAlign w:val="center"/>
          </w:tcPr>
          <w:p w14:paraId="0101044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0044F39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D393B05">
        <w:tblPrEx>
          <w:tblCellMar>
            <w:top w:w="0" w:type="dxa"/>
            <w:left w:w="108" w:type="dxa"/>
            <w:bottom w:w="0" w:type="dxa"/>
            <w:right w:w="108" w:type="dxa"/>
          </w:tblCellMar>
        </w:tblPrEx>
        <w:trPr>
          <w:trHeight w:val="23" w:hRule="atLeast"/>
        </w:trPr>
        <w:tc>
          <w:tcPr>
            <w:tcW w:w="664" w:type="dxa"/>
            <w:vMerge w:val="continue"/>
            <w:tcBorders>
              <w:left w:val="single" w:color="auto" w:sz="4" w:space="0"/>
              <w:bottom w:val="single" w:color="auto" w:sz="4" w:space="0"/>
              <w:right w:val="single" w:color="auto" w:sz="4" w:space="0"/>
            </w:tcBorders>
            <w:noWrap w:val="0"/>
            <w:vAlign w:val="center"/>
          </w:tcPr>
          <w:p w14:paraId="659076E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bottom w:val="single" w:color="auto" w:sz="4" w:space="0"/>
              <w:right w:val="single" w:color="auto" w:sz="4" w:space="0"/>
            </w:tcBorders>
            <w:noWrap w:val="0"/>
            <w:vAlign w:val="center"/>
          </w:tcPr>
          <w:p w14:paraId="3AECCAF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5C4CE4C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有居民对县城绿化问题进行投诉，经调查情况属实的，每次扣5分。</w:t>
            </w:r>
            <w:r>
              <w:rPr>
                <w:rFonts w:hint="eastAsia" w:asciiTheme="minorEastAsia" w:hAnsiTheme="minorEastAsia" w:eastAsiaTheme="minorEastAsia" w:cstheme="minorEastAsia"/>
                <w:color w:val="auto"/>
                <w:sz w:val="24"/>
                <w:szCs w:val="24"/>
              </w:rPr>
              <w:t>养护管理出现问题被相关部门检查通报的，每宗扣</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tc>
        <w:tc>
          <w:tcPr>
            <w:tcW w:w="698" w:type="dxa"/>
            <w:vMerge w:val="continue"/>
            <w:tcBorders>
              <w:left w:val="single" w:color="auto" w:sz="4" w:space="0"/>
              <w:bottom w:val="single" w:color="auto" w:sz="4" w:space="0"/>
              <w:right w:val="single" w:color="auto" w:sz="4" w:space="0"/>
            </w:tcBorders>
            <w:noWrap w:val="0"/>
            <w:vAlign w:val="center"/>
          </w:tcPr>
          <w:p w14:paraId="419861D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bottom w:val="single" w:color="auto" w:sz="4" w:space="0"/>
              <w:right w:val="single" w:color="auto" w:sz="4" w:space="0"/>
            </w:tcBorders>
            <w:noWrap w:val="0"/>
            <w:vAlign w:val="center"/>
          </w:tcPr>
          <w:p w14:paraId="7568BFF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6E86EAC">
        <w:tblPrEx>
          <w:tblCellMar>
            <w:top w:w="0" w:type="dxa"/>
            <w:left w:w="108" w:type="dxa"/>
            <w:bottom w:w="0" w:type="dxa"/>
            <w:right w:w="108" w:type="dxa"/>
          </w:tblCellMar>
        </w:tblPrEx>
        <w:trPr>
          <w:trHeight w:val="23" w:hRule="atLeast"/>
        </w:trPr>
        <w:tc>
          <w:tcPr>
            <w:tcW w:w="664" w:type="dxa"/>
            <w:tcBorders>
              <w:left w:val="single" w:color="auto" w:sz="4" w:space="0"/>
              <w:bottom w:val="single" w:color="auto" w:sz="4" w:space="0"/>
              <w:right w:val="single" w:color="auto" w:sz="4" w:space="0"/>
            </w:tcBorders>
            <w:noWrap w:val="0"/>
            <w:vAlign w:val="center"/>
          </w:tcPr>
          <w:p w14:paraId="1A9BF5B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tcBorders>
              <w:left w:val="single" w:color="auto" w:sz="4" w:space="0"/>
              <w:bottom w:val="single" w:color="auto" w:sz="4" w:space="0"/>
              <w:right w:val="single" w:color="auto" w:sz="4" w:space="0"/>
            </w:tcBorders>
            <w:noWrap w:val="0"/>
            <w:vAlign w:val="center"/>
          </w:tcPr>
          <w:p w14:paraId="4A5EB7C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DF6A1F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b/>
                <w:bCs/>
                <w:color w:val="auto"/>
                <w:kern w:val="0"/>
                <w:sz w:val="24"/>
                <w:szCs w:val="24"/>
                <w:lang w:eastAsia="zh-CN"/>
              </w:rPr>
            </w:pPr>
            <w:r>
              <w:rPr>
                <w:rFonts w:hint="eastAsia" w:asciiTheme="minorEastAsia" w:hAnsiTheme="minorEastAsia" w:eastAsiaTheme="minorEastAsia" w:cstheme="minorEastAsia"/>
                <w:b/>
                <w:bCs/>
                <w:color w:val="auto"/>
                <w:kern w:val="0"/>
                <w:sz w:val="24"/>
                <w:szCs w:val="24"/>
                <w:lang w:eastAsia="zh-CN"/>
              </w:rPr>
              <w:t>合计</w:t>
            </w:r>
          </w:p>
        </w:tc>
        <w:tc>
          <w:tcPr>
            <w:tcW w:w="1448" w:type="dxa"/>
            <w:gridSpan w:val="2"/>
            <w:tcBorders>
              <w:left w:val="single" w:color="auto" w:sz="4" w:space="0"/>
              <w:bottom w:val="single" w:color="auto" w:sz="4" w:space="0"/>
              <w:right w:val="single" w:color="auto" w:sz="4" w:space="0"/>
            </w:tcBorders>
            <w:noWrap w:val="0"/>
            <w:vAlign w:val="center"/>
          </w:tcPr>
          <w:p w14:paraId="47179B1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sz w:val="24"/>
                <w:szCs w:val="24"/>
              </w:rPr>
            </w:pPr>
          </w:p>
          <w:p w14:paraId="6A3739D8">
            <w:pPr>
              <w:pStyle w:val="2"/>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sz w:val="24"/>
                <w:szCs w:val="24"/>
              </w:rPr>
            </w:pPr>
          </w:p>
        </w:tc>
      </w:tr>
      <w:tr w14:paraId="1BB7533B">
        <w:tblPrEx>
          <w:tblCellMar>
            <w:top w:w="0" w:type="dxa"/>
            <w:left w:w="108" w:type="dxa"/>
            <w:bottom w:w="0" w:type="dxa"/>
            <w:right w:w="108" w:type="dxa"/>
          </w:tblCellMar>
        </w:tblPrEx>
        <w:trPr>
          <w:trHeight w:val="23" w:hRule="atLeast"/>
        </w:trPr>
        <w:tc>
          <w:tcPr>
            <w:tcW w:w="9865" w:type="dxa"/>
            <w:gridSpan w:val="5"/>
            <w:tcBorders>
              <w:top w:val="single" w:color="auto" w:sz="4" w:space="0"/>
              <w:left w:val="nil"/>
              <w:bottom w:val="nil"/>
              <w:right w:val="nil"/>
            </w:tcBorders>
            <w:noWrap w:val="0"/>
            <w:vAlign w:val="center"/>
          </w:tcPr>
          <w:p w14:paraId="13061F5D">
            <w:pPr>
              <w:keepNext w:val="0"/>
              <w:keepLines w:val="0"/>
              <w:pageBreakBefore w:val="0"/>
              <w:widowControl/>
              <w:kinsoku/>
              <w:wordWrap/>
              <w:overflowPunct/>
              <w:topLinePunct w:val="0"/>
              <w:autoSpaceDE/>
              <w:autoSpaceDN/>
              <w:bidi w:val="0"/>
              <w:adjustRightInd/>
              <w:snapToGrid/>
              <w:spacing w:line="236" w:lineRule="auto"/>
              <w:ind w:left="945" w:hanging="1080" w:hangingChars="450"/>
              <w:textAlignment w:val="auto"/>
              <w:rPr>
                <w:rFonts w:hint="eastAsia" w:asciiTheme="minorEastAsia" w:hAnsiTheme="minorEastAsia" w:eastAsiaTheme="minorEastAsia" w:cstheme="minorEastAsia"/>
                <w:color w:val="auto"/>
                <w:kern w:val="0"/>
                <w:sz w:val="24"/>
                <w:szCs w:val="24"/>
              </w:rPr>
            </w:pPr>
          </w:p>
          <w:p w14:paraId="607FFEFD">
            <w:pPr>
              <w:keepNext w:val="0"/>
              <w:keepLines w:val="0"/>
              <w:pageBreakBefore w:val="0"/>
              <w:widowControl/>
              <w:kinsoku/>
              <w:wordWrap/>
              <w:overflowPunct/>
              <w:topLinePunct w:val="0"/>
              <w:autoSpaceDE/>
              <w:autoSpaceDN/>
              <w:bidi w:val="0"/>
              <w:adjustRightInd/>
              <w:snapToGrid/>
              <w:spacing w:line="236" w:lineRule="auto"/>
              <w:ind w:left="945" w:hanging="1080" w:hangingChars="45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说明：1.每个考评内容，在考评时该项工作不在季节，不必进行，那么仍列入考评内容，只是此项不考评，但被考评单位该项目计全分。</w:t>
            </w:r>
          </w:p>
        </w:tc>
      </w:tr>
      <w:tr w14:paraId="7CECC207">
        <w:tblPrEx>
          <w:tblCellMar>
            <w:top w:w="0" w:type="dxa"/>
            <w:left w:w="108" w:type="dxa"/>
            <w:bottom w:w="0" w:type="dxa"/>
            <w:right w:w="108" w:type="dxa"/>
          </w:tblCellMar>
        </w:tblPrEx>
        <w:trPr>
          <w:trHeight w:val="23" w:hRule="atLeast"/>
        </w:trPr>
        <w:tc>
          <w:tcPr>
            <w:tcW w:w="9865" w:type="dxa"/>
            <w:gridSpan w:val="5"/>
            <w:tcBorders>
              <w:top w:val="nil"/>
              <w:left w:val="nil"/>
              <w:bottom w:val="nil"/>
              <w:right w:val="nil"/>
            </w:tcBorders>
            <w:noWrap w:val="0"/>
            <w:vAlign w:val="center"/>
          </w:tcPr>
          <w:p w14:paraId="626EC52F">
            <w:pPr>
              <w:keepNext w:val="0"/>
              <w:keepLines w:val="0"/>
              <w:pageBreakBefore w:val="0"/>
              <w:widowControl/>
              <w:kinsoku/>
              <w:wordWrap/>
              <w:overflowPunct/>
              <w:topLinePunct w:val="0"/>
              <w:autoSpaceDE/>
              <w:autoSpaceDN/>
              <w:bidi w:val="0"/>
              <w:adjustRightInd/>
              <w:snapToGrid/>
              <w:spacing w:line="236" w:lineRule="auto"/>
              <w:ind w:firstLine="720" w:firstLineChars="3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2.每个考评内容发生扣分，只扣单项分，扣完为止，不另计负分。</w:t>
            </w:r>
          </w:p>
        </w:tc>
      </w:tr>
    </w:tbl>
    <w:p w14:paraId="392386B5">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04498540">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b/>
          <w:bCs/>
          <w:color w:val="auto"/>
          <w:sz w:val="24"/>
          <w:szCs w:val="24"/>
        </w:rPr>
      </w:pPr>
    </w:p>
    <w:p w14:paraId="6A7E356D">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bCs/>
          <w:color w:val="auto"/>
          <w:sz w:val="24"/>
          <w:szCs w:val="24"/>
          <w:lang w:eastAsia="zh-CN"/>
        </w:rPr>
        <w:t>发包方</w:t>
      </w:r>
      <w:r>
        <w:rPr>
          <w:rFonts w:hint="eastAsia" w:asciiTheme="minorEastAsia" w:hAnsiTheme="minorEastAsia" w:eastAsiaTheme="minorEastAsia" w:cstheme="minorEastAsia"/>
          <w:b/>
          <w:bCs/>
          <w:color w:val="auto"/>
          <w:sz w:val="24"/>
          <w:szCs w:val="24"/>
        </w:rPr>
        <w:t xml:space="preserve">考核人员：                     </w:t>
      </w:r>
      <w:r>
        <w:rPr>
          <w:rFonts w:hint="eastAsia" w:asciiTheme="minorEastAsia" w:hAnsiTheme="minorEastAsia" w:eastAsiaTheme="minorEastAsia" w:cstheme="minorEastAsia"/>
          <w:b/>
          <w:color w:val="auto"/>
          <w:sz w:val="24"/>
          <w:szCs w:val="24"/>
        </w:rPr>
        <w:t>考核</w:t>
      </w:r>
      <w:r>
        <w:rPr>
          <w:rFonts w:hint="eastAsia" w:asciiTheme="minorEastAsia" w:hAnsiTheme="minorEastAsia" w:eastAsiaTheme="minorEastAsia" w:cstheme="minorEastAsia"/>
          <w:b/>
          <w:color w:val="auto"/>
          <w:sz w:val="24"/>
          <w:szCs w:val="24"/>
          <w:lang w:eastAsia="zh-CN"/>
        </w:rPr>
        <w:t>日期</w:t>
      </w:r>
      <w:r>
        <w:rPr>
          <w:rFonts w:hint="eastAsia" w:asciiTheme="minorEastAsia" w:hAnsiTheme="minorEastAsia" w:eastAsiaTheme="minorEastAsia" w:cstheme="minorEastAsia"/>
          <w:b/>
          <w:bCs/>
          <w:color w:val="auto"/>
          <w:sz w:val="24"/>
          <w:szCs w:val="24"/>
        </w:rPr>
        <w:t xml:space="preserve">：     </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br w:type="page"/>
      </w:r>
      <w:r>
        <w:rPr>
          <w:rFonts w:hint="eastAsia" w:asciiTheme="minorEastAsia" w:hAnsiTheme="minorEastAsia" w:eastAsiaTheme="minorEastAsia" w:cstheme="minorEastAsia"/>
          <w:bCs/>
          <w:color w:val="auto"/>
          <w:sz w:val="24"/>
          <w:szCs w:val="24"/>
        </w:rPr>
        <w:t>附件</w:t>
      </w:r>
      <w:r>
        <w:rPr>
          <w:rFonts w:hint="eastAsia" w:asciiTheme="minorEastAsia" w:hAnsiTheme="minorEastAsia" w:eastAsiaTheme="minorEastAsia" w:cstheme="minorEastAsia"/>
          <w:bCs/>
          <w:color w:val="auto"/>
          <w:sz w:val="24"/>
          <w:szCs w:val="24"/>
          <w:lang w:val="en-US" w:eastAsia="zh-CN"/>
        </w:rPr>
        <w:t>6：</w:t>
      </w:r>
    </w:p>
    <w:p w14:paraId="3D441D33">
      <w:pPr>
        <w:spacing w:line="360" w:lineRule="auto"/>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蒙山县园林绿化管理所</w:t>
      </w:r>
      <w:r>
        <w:rPr>
          <w:rFonts w:hint="eastAsia" w:asciiTheme="minorEastAsia" w:hAnsiTheme="minorEastAsia" w:eastAsiaTheme="minorEastAsia" w:cstheme="minorEastAsia"/>
          <w:b/>
          <w:bCs/>
          <w:color w:val="auto"/>
          <w:sz w:val="24"/>
          <w:szCs w:val="24"/>
        </w:rPr>
        <w:t>绿化作业安全管理办法</w:t>
      </w:r>
    </w:p>
    <w:p w14:paraId="4ECFCD8A">
      <w:pPr>
        <w:spacing w:line="360" w:lineRule="auto"/>
        <w:rPr>
          <w:rFonts w:hint="eastAsia" w:asciiTheme="minorEastAsia" w:hAnsiTheme="minorEastAsia" w:eastAsiaTheme="minorEastAsia" w:cstheme="minorEastAsia"/>
          <w:color w:val="auto"/>
          <w:sz w:val="24"/>
          <w:szCs w:val="24"/>
        </w:rPr>
      </w:pPr>
    </w:p>
    <w:p w14:paraId="7CCD0FFB">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color w:val="auto"/>
          <w:sz w:val="24"/>
          <w:szCs w:val="24"/>
        </w:rPr>
      </w:pPr>
      <w:bookmarkStart w:id="78" w:name="_Toc437873725"/>
      <w:bookmarkEnd w:id="78"/>
      <w:r>
        <w:rPr>
          <w:rFonts w:hint="eastAsia" w:asciiTheme="minorEastAsia" w:hAnsiTheme="minorEastAsia" w:eastAsiaTheme="minorEastAsia" w:cstheme="minorEastAsia"/>
          <w:b/>
          <w:bCs/>
          <w:color w:val="auto"/>
          <w:sz w:val="24"/>
          <w:szCs w:val="24"/>
        </w:rPr>
        <w:t>一、总则</w:t>
      </w:r>
    </w:p>
    <w:p w14:paraId="43E87DC6">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人必须对生产作业一线人员进行生产作业的安全教育和培训，保证作业人员具备必要的安全生产作业知识，熟悉有关的安全生产作业规章制度和安全操作规程，掌握本岗位的安全操作技能，经安全教育和培训并考试合格后方可上岗。</w:t>
      </w:r>
    </w:p>
    <w:p w14:paraId="29FB7F60">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color w:val="auto"/>
          <w:sz w:val="24"/>
          <w:szCs w:val="24"/>
        </w:rPr>
      </w:pPr>
      <w:bookmarkStart w:id="79" w:name="_Toc437873726"/>
      <w:bookmarkEnd w:id="79"/>
      <w:r>
        <w:rPr>
          <w:rFonts w:hint="eastAsia" w:asciiTheme="minorEastAsia" w:hAnsiTheme="minorEastAsia" w:eastAsiaTheme="minorEastAsia" w:cstheme="minorEastAsia"/>
          <w:b/>
          <w:bCs/>
          <w:color w:val="auto"/>
          <w:sz w:val="24"/>
          <w:szCs w:val="24"/>
        </w:rPr>
        <w:t>二、绿化作业人员作业规范 （含植保、整形）</w:t>
      </w:r>
    </w:p>
    <w:p w14:paraId="5BB8B9B8">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（一）养护人员在进行养护工作时必须穿统一的工作服。</w:t>
      </w:r>
    </w:p>
    <w:p w14:paraId="04D91795">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（二）使用打草机及绿篱修剪机、油锯等机械时，首先必须检查好器械的性能，使用前对草地及色块进行检查，清理石块、铁线等杂物，戴好防护眼镜、安全帽等防护用具，并做好警示标志。</w:t>
      </w:r>
    </w:p>
    <w:p w14:paraId="6983DA0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（三）植保工作，触及农药时，必须戴好胶手套、口罩、眼镜等防护品。</w:t>
      </w:r>
    </w:p>
    <w:p w14:paraId="359DDA4E">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（四）高大乔木整形、修剪工作时，必须戴好安全帽，在高枝车上或上树后系好安全绳。</w:t>
      </w:r>
    </w:p>
    <w:p w14:paraId="19935449">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（五）水车淋水工、植保工在车上作业时必须穿安全防护服，戴安全帽。如工作需要登上水箱，必须系好安全绳。</w:t>
      </w:r>
    </w:p>
    <w:p w14:paraId="2418A50B">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（六）使用锄、铲、斧等工具前要先检查其是否牢固，操作时要注意周围，避免对面和交叉作业。</w:t>
      </w:r>
    </w:p>
    <w:p w14:paraId="3B048B7A">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 反光安全锥、警示牌的放置</w:t>
      </w:r>
    </w:p>
    <w:p w14:paraId="6BD60658">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1.工作范围应放置反光安全锥或警示带包围。警示牌应放置在安全锥前方20米处，并确保稳固。</w:t>
      </w:r>
    </w:p>
    <w:p w14:paraId="38B6032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2.在园路上作业时，应在醒目处放置“绿化作业，小心绕行”的警示牌。</w:t>
      </w:r>
    </w:p>
    <w:p w14:paraId="7105AF50">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三、农药的保存、出库、配比及喷用作业规范</w:t>
      </w:r>
    </w:p>
    <w:p w14:paraId="5E4D1B58">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（一）农药保存过程中，要在仓库贴好明显的警示标志，使用或搬运过程中，要轻拿轻放，泄露的药物应及时清理。</w:t>
      </w:r>
    </w:p>
    <w:p w14:paraId="614F86A7">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（二）完善出库登记制度，用完后的空药瓶应丢放在指定地点，剩余药品及时放回仓库。</w:t>
      </w:r>
    </w:p>
    <w:p w14:paraId="1CE1AEC5">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（三）配药时应严格按说明书进行配比，用药量准确，不发生药害。</w:t>
      </w:r>
    </w:p>
    <w:p w14:paraId="2B4231E9">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（四）喷施农药过程中，要注意观察风向和周围环境，尽量避开行人、居民、车辆、各类物品，确定安全后方能进行。</w:t>
      </w:r>
    </w:p>
    <w:p w14:paraId="01C643B1">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（五）在农药车作业时，应配备三个人，一人先就有可能喷到农药的范围内说服</w:t>
      </w:r>
      <w:r>
        <w:rPr>
          <w:rFonts w:hint="eastAsia" w:asciiTheme="minorEastAsia" w:hAnsiTheme="minorEastAsia" w:eastAsiaTheme="minorEastAsia" w:cstheme="minorEastAsia"/>
          <w:color w:val="auto"/>
          <w:sz w:val="24"/>
          <w:szCs w:val="24"/>
          <w:lang w:eastAsia="zh-CN"/>
        </w:rPr>
        <w:t>行人</w:t>
      </w:r>
      <w:r>
        <w:rPr>
          <w:rFonts w:hint="eastAsia" w:asciiTheme="minorEastAsia" w:hAnsiTheme="minorEastAsia" w:eastAsiaTheme="minorEastAsia" w:cstheme="minorEastAsia"/>
          <w:color w:val="auto"/>
          <w:sz w:val="24"/>
          <w:szCs w:val="24"/>
        </w:rPr>
        <w:t>及时撤离，一人操控喷头，一人观察操控过程的安全问题及喷雾是否到位。</w:t>
      </w:r>
    </w:p>
    <w:p w14:paraId="2CB33A19">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四、车辆使用基本规定</w:t>
      </w:r>
    </w:p>
    <w:p w14:paraId="23BFDEB9">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（一）严厉禁止酒后驾车、无证驾驶等违规行为。司机驾驶车辆时应集中精力并慢行。</w:t>
      </w:r>
    </w:p>
    <w:p w14:paraId="6E3BF06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（二）汽车发动前要绕车检查车辆一周，检查好车况。</w:t>
      </w:r>
    </w:p>
    <w:p w14:paraId="45B2D45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（三）水车、喷药车等在作业时，应响警示音乐。</w:t>
      </w:r>
    </w:p>
    <w:p w14:paraId="76E74C2B">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使用高空作业车、吊车时，必须在施工范围内设置警示标志，起吊重物要有必要的防护措施。吊车使用过程中，要确保吊车的正常负荷，提升吊物时，应确保提绳角度均匀。吊车起吊时绳缆要牢固；统一指挥，信号明确；吊臂下严禁站人。</w:t>
      </w:r>
    </w:p>
    <w:p w14:paraId="01CEAA9B">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五、高大乔木整形、修剪及在供电线路勾枝作业规范</w:t>
      </w:r>
    </w:p>
    <w:p w14:paraId="107BD4B1">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（一）操作时必须听从专人指挥。</w:t>
      </w:r>
    </w:p>
    <w:p w14:paraId="5C373981">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（二）下树、打枝前必须做好险情鉴定后方能进行操作。要有专人维护现场，设安全锥或警示带围合，阻止</w:t>
      </w:r>
      <w:r>
        <w:rPr>
          <w:rFonts w:hint="eastAsia" w:asciiTheme="minorEastAsia" w:hAnsiTheme="minorEastAsia" w:eastAsiaTheme="minorEastAsia" w:cstheme="minorEastAsia"/>
          <w:color w:val="auto"/>
          <w:sz w:val="24"/>
          <w:szCs w:val="24"/>
          <w:lang w:eastAsia="zh-CN"/>
        </w:rPr>
        <w:t>人员</w:t>
      </w:r>
      <w:r>
        <w:rPr>
          <w:rFonts w:hint="eastAsia" w:asciiTheme="minorEastAsia" w:hAnsiTheme="minorEastAsia" w:eastAsiaTheme="minorEastAsia" w:cstheme="minorEastAsia"/>
          <w:color w:val="auto"/>
          <w:sz w:val="24"/>
          <w:szCs w:val="24"/>
        </w:rPr>
        <w:t>进入。</w:t>
      </w:r>
    </w:p>
    <w:p w14:paraId="5AAF1534">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操作时思想集中，不许打闹谈笑，上树前不许饮酒；上大树的梯子必须牢固、立稳，单面梯将上部横档与树身捆住，人字梯中腰栓绳，角度开张适当；五级以上大风不可上树；截除大枝要由有经验的专人指挥操作。有高血压及心脏病者，不准上树；修剪工具要坚固耐用，防止误伤或影响工作；不得从一棵树跳到另一棵树上，必须下树重上。</w:t>
      </w:r>
    </w:p>
    <w:p w14:paraId="3BC9BF78">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六、突发事故应急处理</w:t>
      </w:r>
    </w:p>
    <w:p w14:paraId="2B8DFD6E">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做好事故前期的应急处理，及时上报并快速反应，及时、果断、妥善处置。</w:t>
      </w:r>
    </w:p>
    <w:p w14:paraId="4FF9B028">
      <w:pPr>
        <w:pStyle w:val="46"/>
        <w:spacing w:line="360" w:lineRule="auto"/>
        <w:rPr>
          <w:rFonts w:hint="eastAsia"/>
          <w:color w:val="auto"/>
          <w:lang w:val="en-US" w:eastAsia="zh-CN"/>
        </w:rPr>
        <w:sectPr>
          <w:pgSz w:w="11910" w:h="16840"/>
          <w:pgMar w:top="1304" w:right="1247" w:bottom="1304" w:left="1247" w:header="720" w:footer="720" w:gutter="0"/>
          <w:pgNumType w:fmt="decimal"/>
          <w:cols w:space="720" w:num="1"/>
          <w:titlePg/>
          <w:docGrid w:linePitch="286" w:charSpace="0"/>
        </w:sectPr>
      </w:pPr>
    </w:p>
    <w:p w14:paraId="6CC7E3D3">
      <w:pPr>
        <w:rPr>
          <w:rFonts w:hint="eastAsia"/>
          <w:color w:val="auto"/>
          <w:lang w:val="en-US" w:eastAsia="zh-CN"/>
        </w:rPr>
      </w:pPr>
    </w:p>
    <w:p w14:paraId="7C51AF1F">
      <w:pPr>
        <w:numPr>
          <w:ilvl w:val="0"/>
          <w:numId w:val="0"/>
        </w:numPr>
        <w:spacing w:line="480" w:lineRule="exact"/>
        <w:jc w:val="left"/>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2、商务部分</w:t>
      </w:r>
    </w:p>
    <w:p w14:paraId="30A9C1EA">
      <w:pPr>
        <w:keepNext w:val="0"/>
        <w:keepLines w:val="0"/>
        <w:pageBreakBefore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、项目采购金额：</w:t>
      </w:r>
    </w:p>
    <w:p w14:paraId="77C77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Cs w:val="21"/>
          <w:highlight w:val="none"/>
          <w:lang w:val="en-US" w:eastAsia="zh-CN"/>
        </w:rPr>
      </w:pPr>
      <w:r>
        <w:rPr>
          <w:rFonts w:hint="eastAsia" w:ascii="宋体" w:hAnsi="宋体" w:cs="宋体"/>
          <w:color w:val="auto"/>
          <w:sz w:val="24"/>
          <w:szCs w:val="24"/>
          <w:highlight w:val="none"/>
          <w:lang w:val="en-US" w:eastAsia="zh-CN"/>
        </w:rPr>
        <w:t>蒙山县2026年公共绿地绿化日常养护服务项目501.6</w:t>
      </w:r>
      <w:r>
        <w:rPr>
          <w:rFonts w:hint="eastAsia" w:ascii="宋体" w:hAnsi="宋体" w:eastAsia="宋体" w:cs="宋体"/>
          <w:bCs/>
          <w:color w:val="auto"/>
          <w:szCs w:val="21"/>
          <w:highlight w:val="none"/>
          <w:lang w:val="en-US" w:eastAsia="zh-CN"/>
        </w:rPr>
        <w:t>万元。</w:t>
      </w:r>
    </w:p>
    <w:p w14:paraId="076622F0">
      <w:pPr>
        <w:keepNext w:val="0"/>
        <w:keepLines w:val="0"/>
        <w:pageBreakBefore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、付款方式：</w:t>
      </w:r>
    </w:p>
    <w:p w14:paraId="40D8D4A2">
      <w:pPr>
        <w:keepNext w:val="0"/>
        <w:keepLines w:val="0"/>
        <w:pageBreakBefore w:val="0"/>
        <w:kinsoku/>
        <w:wordWrap/>
        <w:overflowPunct/>
        <w:topLinePunct w:val="0"/>
        <w:autoSpaceDE/>
        <w:autoSpaceDN/>
        <w:bidi w:val="0"/>
        <w:snapToGrid/>
        <w:spacing w:line="360" w:lineRule="auto"/>
        <w:ind w:firstLine="480" w:firstLineChars="200"/>
        <w:textAlignment w:val="auto"/>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分期支付：采用先管护后支付的方式，原则上按月度支付（每月绿化养护费用为中标价/</w:t>
      </w:r>
      <w:r>
        <w:rPr>
          <w:rFonts w:hint="eastAsia" w:asciiTheme="minorEastAsia" w:hAnsiTheme="minorEastAsia" w:eastAsiaTheme="minorEastAsia" w:cstheme="minorEastAsia"/>
          <w:color w:val="auto"/>
          <w:sz w:val="24"/>
          <w:szCs w:val="24"/>
          <w:lang w:val="en-US" w:eastAsia="zh-CN"/>
        </w:rPr>
        <w:t>36</w:t>
      </w:r>
      <w:r>
        <w:rPr>
          <w:rFonts w:hint="default" w:asciiTheme="minorEastAsia" w:hAnsiTheme="minorEastAsia" w:eastAsiaTheme="minorEastAsia" w:cstheme="minorEastAsia"/>
          <w:color w:val="auto"/>
          <w:sz w:val="24"/>
          <w:szCs w:val="24"/>
          <w:lang w:val="en-US" w:eastAsia="zh-CN"/>
        </w:rPr>
        <w:t>个月），供应商按月所提交的服务经采购人书面验收合格后，每月根据月度考核情况支付合同款。但因</w:t>
      </w:r>
      <w:r>
        <w:rPr>
          <w:rFonts w:hint="eastAsia" w:asciiTheme="minorEastAsia" w:hAnsiTheme="minorEastAsia" w:eastAsiaTheme="minorEastAsia" w:cstheme="minorEastAsia"/>
          <w:color w:val="auto"/>
          <w:sz w:val="24"/>
          <w:szCs w:val="24"/>
          <w:lang w:val="en-US" w:eastAsia="zh-CN"/>
        </w:rPr>
        <w:t>采购人</w:t>
      </w:r>
      <w:r>
        <w:rPr>
          <w:rFonts w:hint="default" w:asciiTheme="minorEastAsia" w:hAnsiTheme="minorEastAsia" w:eastAsiaTheme="minorEastAsia" w:cstheme="minorEastAsia"/>
          <w:color w:val="auto"/>
          <w:sz w:val="24"/>
          <w:szCs w:val="24"/>
          <w:lang w:val="en-US" w:eastAsia="zh-CN"/>
        </w:rPr>
        <w:t>不可控因素，具体付款时间以</w:t>
      </w:r>
      <w:r>
        <w:rPr>
          <w:rFonts w:hint="eastAsia" w:asciiTheme="minorEastAsia" w:hAnsiTheme="minorEastAsia" w:eastAsiaTheme="minorEastAsia" w:cstheme="minorEastAsia"/>
          <w:color w:val="auto"/>
          <w:sz w:val="24"/>
          <w:szCs w:val="24"/>
          <w:lang w:val="en-US" w:eastAsia="zh-CN"/>
        </w:rPr>
        <w:t>采购人</w:t>
      </w:r>
      <w:r>
        <w:rPr>
          <w:rFonts w:hint="default" w:asciiTheme="minorEastAsia" w:hAnsiTheme="minorEastAsia" w:eastAsiaTheme="minorEastAsia" w:cstheme="minorEastAsia"/>
          <w:color w:val="auto"/>
          <w:sz w:val="24"/>
          <w:szCs w:val="24"/>
          <w:lang w:val="en-US" w:eastAsia="zh-CN"/>
        </w:rPr>
        <w:t>所在县财政拨款到账时间为准。</w:t>
      </w:r>
    </w:p>
    <w:p w14:paraId="76C53491">
      <w:pPr>
        <w:keepNext w:val="0"/>
        <w:keepLines w:val="0"/>
        <w:pageBreakBefore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合同签订时间：</w:t>
      </w:r>
      <w:r>
        <w:rPr>
          <w:rFonts w:hint="eastAsia" w:asciiTheme="minorEastAsia" w:hAnsiTheme="minorEastAsia" w:eastAsiaTheme="minorEastAsia" w:cstheme="minorEastAsia"/>
          <w:color w:val="auto"/>
          <w:sz w:val="24"/>
          <w:szCs w:val="24"/>
          <w:lang w:val="en-US" w:eastAsia="zh-CN"/>
        </w:rPr>
        <w:t>自中标通知书发出之日起25日历日内。</w:t>
      </w:r>
    </w:p>
    <w:p w14:paraId="609F6E35">
      <w:pPr>
        <w:keepNext w:val="0"/>
        <w:keepLines w:val="0"/>
        <w:pageBreakBefore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合同履行期限：</w:t>
      </w:r>
      <w:r>
        <w:rPr>
          <w:rFonts w:hint="eastAsia" w:asciiTheme="minorEastAsia" w:hAnsiTheme="minorEastAsia" w:eastAsiaTheme="minorEastAsia" w:cstheme="minorEastAsia"/>
          <w:color w:val="auto"/>
          <w:sz w:val="24"/>
          <w:szCs w:val="24"/>
          <w:lang w:val="en-US" w:eastAsia="zh-CN"/>
        </w:rPr>
        <w:t>自提供服务之日起至合同期满并验收合格之日止3年。</w:t>
      </w:r>
    </w:p>
    <w:p w14:paraId="2BC7FF5C">
      <w:pPr>
        <w:keepNext w:val="0"/>
        <w:keepLines w:val="0"/>
        <w:pageBreakBefore w:val="0"/>
        <w:widowControl/>
        <w:numPr>
          <w:ilvl w:val="0"/>
          <w:numId w:val="0"/>
        </w:numPr>
        <w:kinsoku/>
        <w:wordWrap/>
        <w:overflowPunct/>
        <w:topLinePunct w:val="0"/>
        <w:autoSpaceDE/>
        <w:autoSpaceDN/>
        <w:bidi w:val="0"/>
        <w:adjustRightInd w:val="0"/>
        <w:snapToGrid/>
        <w:spacing w:line="360" w:lineRule="auto"/>
        <w:textAlignment w:val="auto"/>
        <w:rPr>
          <w:rFonts w:hint="eastAsia"/>
          <w:color w:val="auto"/>
          <w:lang w:val="en-US" w:eastAsia="zh-CN"/>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lang w:val="zh-CN" w:eastAsia="zh-CN"/>
        </w:rPr>
        <w:t>、服务地点：</w:t>
      </w:r>
      <w:r>
        <w:rPr>
          <w:rFonts w:hint="eastAsia" w:ascii="宋体" w:hAnsi="宋体" w:eastAsia="宋体" w:cs="宋体"/>
          <w:color w:val="auto"/>
          <w:sz w:val="24"/>
          <w:szCs w:val="24"/>
          <w:highlight w:val="none"/>
          <w:lang w:val="zh-CN" w:eastAsia="zh-CN"/>
        </w:rPr>
        <w:t>采购人指定地点。</w:t>
      </w:r>
    </w:p>
    <w:p w14:paraId="46747D23">
      <w:pPr>
        <w:keepNext w:val="0"/>
        <w:keepLines w:val="0"/>
        <w:pageBreakBefore w:val="0"/>
        <w:widowControl/>
        <w:numPr>
          <w:ilvl w:val="0"/>
          <w:numId w:val="0"/>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highlight w:val="none"/>
          <w:lang w:val="zh-CN" w:eastAsia="zh-CN"/>
        </w:rPr>
      </w:pP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lang w:val="zh-CN" w:eastAsia="zh-CN"/>
        </w:rPr>
        <w:t>、售后服务要求：</w:t>
      </w:r>
    </w:p>
    <w:p w14:paraId="388C4637">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eastAsia="zh-CN"/>
        </w:rPr>
      </w:pPr>
      <w:r>
        <w:rPr>
          <w:rFonts w:hint="eastAsia" w:ascii="宋体" w:hAnsi="宋体" w:cs="宋体"/>
          <w:bCs/>
          <w:color w:val="auto"/>
          <w:sz w:val="24"/>
          <w:szCs w:val="24"/>
          <w:lang w:val="zh-CN"/>
        </w:rPr>
        <w:t>1、质量保证期：自提供服务之日起至合同期满并验收合格之日止</w:t>
      </w:r>
      <w:r>
        <w:rPr>
          <w:rFonts w:hint="eastAsia" w:ascii="宋体" w:hAnsi="宋体" w:cs="宋体"/>
          <w:bCs/>
          <w:color w:val="auto"/>
          <w:sz w:val="24"/>
          <w:szCs w:val="24"/>
          <w:lang w:val="zh-CN" w:eastAsia="zh-CN"/>
        </w:rPr>
        <w:t>。</w:t>
      </w:r>
    </w:p>
    <w:p w14:paraId="571CCD3F">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2、处理问题响应时间：接到采购人处理问题通知后半小时内到达采购人指定现场。</w:t>
      </w:r>
    </w:p>
    <w:p w14:paraId="604028CF">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3、其他：如遇领导、上级等临时交办特殊紧急事件，按采购人要求进行特殊处理。</w:t>
      </w:r>
    </w:p>
    <w:p w14:paraId="7EC508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val="en-US" w:eastAsia="zh-CN"/>
        </w:rPr>
        <w:t>其他要求：</w:t>
      </w:r>
    </w:p>
    <w:p w14:paraId="4B1A83BE">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1、对本养护项目实施养护管理所需的一切劳动力、材料、设备和服务由成交供应商自行组织,由此产生的一切费用由成交供应商承担。报价必须含以下部分，包括:</w:t>
      </w:r>
    </w:p>
    <w:p w14:paraId="2B1154F0">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（1）必须含服务的价格，需包含服务人员的工资和按规定提取的福利费、保险费、服装费、社会节假日奖金及加班费用及苗木养护费用；</w:t>
      </w:r>
    </w:p>
    <w:p w14:paraId="521FD381">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（2）必要的保险费用、各项税金；</w:t>
      </w:r>
    </w:p>
    <w:p w14:paraId="1E821BBF">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（3）按相关要求所需的个人日常工具、劳保用品、机具、作业车辆；按相关技术要求所需质量和数量的绿植、肥料、农药，植物防寒材料，植物支撑材料等；</w:t>
      </w:r>
    </w:p>
    <w:p w14:paraId="3F423E6F">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（4）养护所需水费、电费。</w:t>
      </w:r>
    </w:p>
    <w:p w14:paraId="4E772F8C">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（5）项目实施过程中产生的其他费用。</w:t>
      </w:r>
    </w:p>
    <w:p w14:paraId="4F6EBFDC">
      <w:pPr>
        <w:keepNext w:val="0"/>
        <w:keepLines w:val="0"/>
        <w:pageBreakBefore w:val="0"/>
        <w:widowControl/>
        <w:kinsoku/>
        <w:wordWrap/>
        <w:overflowPunct/>
        <w:topLinePunct w:val="0"/>
        <w:autoSpaceDE/>
        <w:autoSpaceDN/>
        <w:bidi w:val="0"/>
        <w:adjustRightInd w:val="0"/>
        <w:snapToGrid/>
        <w:spacing w:line="360" w:lineRule="auto"/>
        <w:textAlignment w:val="auto"/>
        <w:rPr>
          <w:rFonts w:hint="eastAsia" w:ascii="宋体" w:hAnsi="宋体" w:cs="宋体"/>
          <w:bCs/>
          <w:color w:val="auto"/>
          <w:sz w:val="24"/>
          <w:szCs w:val="24"/>
          <w:lang w:val="zh-CN"/>
        </w:rPr>
      </w:pPr>
      <w:r>
        <w:rPr>
          <w:rFonts w:hint="eastAsia" w:ascii="宋体" w:hAnsi="宋体" w:cs="宋体"/>
          <w:color w:val="auto"/>
          <w:szCs w:val="21"/>
          <w:highlight w:val="none"/>
          <w:lang w:val="en-US" w:eastAsia="zh-CN"/>
        </w:rPr>
        <w:t>2、</w:t>
      </w:r>
      <w:r>
        <w:rPr>
          <w:rFonts w:hint="eastAsia" w:asciiTheme="minorEastAsia" w:hAnsiTheme="minorEastAsia" w:eastAsiaTheme="minorEastAsia" w:cstheme="minorEastAsia"/>
          <w:color w:val="auto"/>
          <w:sz w:val="24"/>
          <w:szCs w:val="24"/>
          <w:lang w:val="en-US" w:eastAsia="zh-CN"/>
        </w:rPr>
        <w:t>承包期间，如年度</w:t>
      </w:r>
      <w:r>
        <w:rPr>
          <w:rFonts w:hint="eastAsia" w:asciiTheme="minorEastAsia" w:hAnsiTheme="minorEastAsia" w:eastAsiaTheme="minorEastAsia" w:cstheme="minorEastAsia"/>
          <w:color w:val="auto"/>
          <w:sz w:val="24"/>
          <w:szCs w:val="24"/>
        </w:rPr>
        <w:t>新增移交管护的公共绿地</w:t>
      </w:r>
      <w:r>
        <w:rPr>
          <w:rFonts w:hint="eastAsia" w:asciiTheme="minorEastAsia" w:hAnsiTheme="minorEastAsia" w:eastAsiaTheme="minorEastAsia" w:cstheme="minorEastAsia"/>
          <w:color w:val="auto"/>
          <w:sz w:val="24"/>
          <w:szCs w:val="24"/>
          <w:lang w:val="en-US" w:eastAsia="zh-CN"/>
        </w:rPr>
        <w:t>面积</w:t>
      </w:r>
      <w:r>
        <w:rPr>
          <w:rFonts w:hint="eastAsia" w:asciiTheme="minorEastAsia" w:hAnsiTheme="minorEastAsia" w:eastAsiaTheme="minorEastAsia" w:cstheme="minorEastAsia"/>
          <w:color w:val="auto"/>
          <w:sz w:val="24"/>
          <w:szCs w:val="24"/>
          <w:lang w:eastAsia="zh-CN"/>
        </w:rPr>
        <w:t>在总面积</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以内</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承包单位必须无条件增加服务工作且不再另行追加工作经费；如年度</w:t>
      </w:r>
      <w:r>
        <w:rPr>
          <w:rFonts w:hint="eastAsia" w:asciiTheme="minorEastAsia" w:hAnsiTheme="minorEastAsia" w:eastAsiaTheme="minorEastAsia" w:cstheme="minorEastAsia"/>
          <w:color w:val="auto"/>
          <w:sz w:val="24"/>
          <w:szCs w:val="24"/>
        </w:rPr>
        <w:t>新增移交管护的公共绿地</w:t>
      </w:r>
      <w:r>
        <w:rPr>
          <w:rFonts w:hint="eastAsia" w:asciiTheme="minorEastAsia" w:hAnsiTheme="minorEastAsia" w:eastAsiaTheme="minorEastAsia" w:cstheme="minorEastAsia"/>
          <w:color w:val="auto"/>
          <w:sz w:val="24"/>
          <w:szCs w:val="24"/>
          <w:lang w:val="en-US" w:eastAsia="zh-CN"/>
        </w:rPr>
        <w:t>面积</w:t>
      </w:r>
      <w:r>
        <w:rPr>
          <w:rFonts w:hint="eastAsia" w:asciiTheme="minorEastAsia" w:hAnsiTheme="minorEastAsia" w:eastAsiaTheme="minorEastAsia" w:cstheme="minorEastAsia"/>
          <w:color w:val="auto"/>
          <w:sz w:val="24"/>
          <w:szCs w:val="24"/>
        </w:rPr>
        <w:t>大于</w:t>
      </w:r>
      <w:r>
        <w:rPr>
          <w:rFonts w:hint="eastAsia" w:asciiTheme="minorEastAsia" w:hAnsiTheme="minorEastAsia" w:eastAsiaTheme="minorEastAsia" w:cstheme="minorEastAsia"/>
          <w:color w:val="auto"/>
          <w:sz w:val="24"/>
          <w:szCs w:val="24"/>
          <w:lang w:eastAsia="zh-CN"/>
        </w:rPr>
        <w:t>总面积</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%，超出</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%的部分，</w:t>
      </w:r>
      <w:r>
        <w:rPr>
          <w:rFonts w:hint="eastAsia" w:asciiTheme="minorEastAsia" w:hAnsiTheme="minorEastAsia" w:eastAsiaTheme="minorEastAsia" w:cstheme="minorEastAsia"/>
          <w:color w:val="auto"/>
          <w:sz w:val="24"/>
          <w:szCs w:val="24"/>
          <w:lang w:val="en-US" w:eastAsia="zh-CN"/>
        </w:rPr>
        <w:t>由双方根据实际工作量，参考中标价另行协商确定追加费用并签订补充协议。</w:t>
      </w:r>
      <w:r>
        <w:rPr>
          <w:rFonts w:hint="eastAsia" w:ascii="宋体" w:hAnsi="宋体" w:cs="宋体"/>
          <w:bCs/>
          <w:color w:val="auto"/>
          <w:sz w:val="24"/>
          <w:szCs w:val="24"/>
          <w:lang w:val="zh-CN"/>
        </w:rPr>
        <w:t>具体核算方法如下：</w:t>
      </w:r>
      <w:r>
        <w:rPr>
          <w:rFonts w:hint="eastAsia" w:ascii="宋体" w:hAnsi="宋体" w:eastAsia="宋体" w:cs="宋体"/>
          <w:bCs/>
          <w:color w:val="auto"/>
          <w:sz w:val="24"/>
          <w:szCs w:val="24"/>
          <w:lang w:val="zh-CN"/>
        </w:rPr>
        <w:t>超出</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lang w:val="zh-CN"/>
        </w:rPr>
        <w:t>%的部分</w:t>
      </w:r>
      <w:r>
        <w:rPr>
          <w:rFonts w:hint="eastAsia" w:ascii="宋体" w:hAnsi="宋体" w:cs="宋体"/>
          <w:bCs/>
          <w:color w:val="auto"/>
          <w:sz w:val="24"/>
          <w:szCs w:val="24"/>
          <w:lang w:val="zh-CN"/>
        </w:rPr>
        <w:t>=变更养护类型数量*相应养护类型的预算单价*（中标价/采购预算）/365（天）*实际养护天数。</w:t>
      </w:r>
    </w:p>
    <w:p w14:paraId="5AAD719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3、合同期内，养护清单中的各类乔灌木（草）、园林设施发生减少及损毁的，供应商应予及时补种、维修，所需费用由成交供应商承担。</w:t>
      </w:r>
    </w:p>
    <w:p w14:paraId="20C4672E">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4、供应商在成交后签订合同前必须为全体作业员工购买人身意外保险，必须重视安全生产工作，确保全年不出安全生产责任事故。如发生安全生产责任事故，一切责任及损失由成交供应商承担。自然灾害或意外造成的非安全责任事故产生损失的，采购人购买树木公众责任险，在保险承保范围内的损失由保险赔付，超出承保范围的，由成交供应商自行承担赔付。</w:t>
      </w:r>
    </w:p>
    <w:p w14:paraId="22B74C8F">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5、</w:t>
      </w:r>
      <w:r>
        <w:rPr>
          <w:rFonts w:hint="eastAsia" w:ascii="宋体" w:hAnsi="宋体" w:cs="宋体"/>
          <w:bCs/>
          <w:color w:val="auto"/>
          <w:sz w:val="24"/>
          <w:szCs w:val="24"/>
          <w:lang w:val="zh-CN" w:eastAsia="zh-CN"/>
        </w:rPr>
        <w:t>常规绿化养护肥料每年投入不少于该部分年养护费的</w:t>
      </w:r>
      <w:r>
        <w:rPr>
          <w:rFonts w:hint="eastAsia" w:ascii="宋体" w:hAnsi="宋体" w:cs="宋体"/>
          <w:bCs/>
          <w:color w:val="auto"/>
          <w:sz w:val="24"/>
          <w:szCs w:val="24"/>
          <w:lang w:val="en-US" w:eastAsia="zh-CN"/>
        </w:rPr>
        <w:t>5</w:t>
      </w:r>
      <w:r>
        <w:rPr>
          <w:rFonts w:hint="eastAsia" w:ascii="宋体" w:hAnsi="宋体" w:cs="宋体"/>
          <w:bCs/>
          <w:color w:val="auto"/>
          <w:sz w:val="24"/>
          <w:szCs w:val="24"/>
          <w:lang w:val="zh-CN" w:eastAsia="zh-CN"/>
        </w:rPr>
        <w:t>%且不得使用林业用肥，施肥时应按计划并通知采购人至现场确认，若实际使用少于成交承诺的肥料投入费用，则将未投入的肥料费用在最后一个月养护经费中扣除</w:t>
      </w:r>
      <w:r>
        <w:rPr>
          <w:rFonts w:hint="eastAsia" w:ascii="宋体" w:hAnsi="宋体" w:cs="宋体"/>
          <w:bCs/>
          <w:color w:val="auto"/>
          <w:sz w:val="24"/>
          <w:szCs w:val="24"/>
          <w:lang w:val="zh-CN"/>
        </w:rPr>
        <w:t>。</w:t>
      </w:r>
    </w:p>
    <w:p w14:paraId="133F1DA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6、成交供应商在配备人员、园林机械设备、</w:t>
      </w:r>
      <w:r>
        <w:rPr>
          <w:rFonts w:hint="eastAsia" w:ascii="宋体" w:hAnsi="宋体" w:eastAsia="宋体" w:cs="宋体"/>
          <w:color w:val="auto"/>
          <w:sz w:val="24"/>
          <w:szCs w:val="24"/>
        </w:rPr>
        <w:t>生产工具、用具配置</w:t>
      </w:r>
      <w:r>
        <w:rPr>
          <w:rFonts w:hint="eastAsia" w:ascii="宋体" w:hAnsi="宋体" w:eastAsia="宋体" w:cs="宋体"/>
          <w:color w:val="auto"/>
          <w:sz w:val="24"/>
          <w:szCs w:val="24"/>
          <w:lang w:eastAsia="zh-CN"/>
        </w:rPr>
        <w:t>、</w:t>
      </w:r>
      <w:r>
        <w:rPr>
          <w:rFonts w:hint="eastAsia" w:ascii="宋体" w:hAnsi="宋体" w:cs="宋体"/>
          <w:bCs/>
          <w:color w:val="auto"/>
          <w:sz w:val="24"/>
          <w:szCs w:val="24"/>
          <w:lang w:val="zh-CN"/>
        </w:rPr>
        <w:t>办公点等时，必须满足需求表中规定的最少配备数。成交合同签订后供应商未按竞标响应条件投入，则视为逾期不能提供服务，超过五个工作日采购人将报政府采购监督管理部门进行处理。供应商在合同期内，须随时接受采购人对以上配备投入情况检查。</w:t>
      </w:r>
    </w:p>
    <w:p w14:paraId="65770239">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7、根据《</w:t>
      </w:r>
      <w:r>
        <w:rPr>
          <w:rFonts w:hint="eastAsia" w:ascii="宋体" w:hAnsi="宋体" w:cs="宋体"/>
          <w:bCs/>
          <w:color w:val="auto"/>
          <w:sz w:val="24"/>
          <w:szCs w:val="24"/>
          <w:lang w:val="zh-CN" w:eastAsia="zh-CN"/>
        </w:rPr>
        <w:t>蒙山县园林绿化管理所</w:t>
      </w:r>
      <w:r>
        <w:rPr>
          <w:rFonts w:hint="eastAsia" w:ascii="宋体" w:hAnsi="宋体" w:cs="宋体"/>
          <w:bCs/>
          <w:color w:val="auto"/>
          <w:sz w:val="24"/>
          <w:szCs w:val="24"/>
          <w:lang w:val="zh-CN"/>
        </w:rPr>
        <w:t>绿化养护购买服务管理考核办法》，采购人对供应商作业情况进行定期和不定期检查考核，根据考核扣分额度核算各类养护经费，养护经费按月核拨。</w:t>
      </w:r>
    </w:p>
    <w:p w14:paraId="3779E276">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8、供应商如果有两次考核不合格，则视为供应商未按合同提供服务，采购人将报政府采购监督管理部门进行处理。其中，考核包括日常工作考核和养护效果考核。</w:t>
      </w:r>
    </w:p>
    <w:p w14:paraId="5B221139">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en-US" w:eastAsia="zh-CN"/>
        </w:rPr>
        <w:t>9</w:t>
      </w:r>
      <w:r>
        <w:rPr>
          <w:rFonts w:hint="eastAsia" w:ascii="宋体" w:hAnsi="宋体" w:cs="宋体"/>
          <w:bCs/>
          <w:color w:val="auto"/>
          <w:sz w:val="24"/>
          <w:szCs w:val="24"/>
          <w:lang w:val="zh-CN"/>
        </w:rPr>
        <w:t>、养护范围内有取水口的，将另外签署取水口使用协议，协议期间，供应商负责取水口的日常使用和管理，日常管理维修费由供应商自行解决，产生的水费按市场价另计。</w:t>
      </w:r>
    </w:p>
    <w:p w14:paraId="0264E0DA">
      <w:pPr>
        <w:keepNext w:val="0"/>
        <w:keepLines w:val="0"/>
        <w:pageBreakBefore w:val="0"/>
        <w:widowControl/>
        <w:kinsoku/>
        <w:wordWrap/>
        <w:overflowPunct/>
        <w:topLinePunct w:val="0"/>
        <w:autoSpaceDE/>
        <w:autoSpaceDN/>
        <w:bidi w:val="0"/>
        <w:adjustRightInd w:val="0"/>
        <w:snapToGrid/>
        <w:spacing w:line="360" w:lineRule="auto"/>
        <w:textAlignment w:val="auto"/>
        <w:rPr>
          <w:rFonts w:hint="eastAsia" w:ascii="宋体" w:hAnsi="宋体" w:eastAsia="宋体" w:cs="宋体"/>
          <w:b/>
          <w:bCs w:val="0"/>
          <w:color w:val="auto"/>
          <w:sz w:val="24"/>
          <w:szCs w:val="24"/>
          <w:lang w:val="zh-CN"/>
        </w:rPr>
      </w:pPr>
      <w:r>
        <w:rPr>
          <w:rFonts w:hint="eastAsia" w:ascii="宋体" w:hAnsi="宋体" w:eastAsia="宋体" w:cs="宋体"/>
          <w:b/>
          <w:bCs w:val="0"/>
          <w:color w:val="auto"/>
          <w:sz w:val="24"/>
          <w:szCs w:val="24"/>
          <w:lang w:val="zh-CN"/>
        </w:rPr>
        <w:t>七、其它</w:t>
      </w:r>
    </w:p>
    <w:p w14:paraId="618B7EE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1、本项目采购标的需执行的国家相关标准、行业标准、地方标准或其他强制性标准、规范等要求。</w:t>
      </w:r>
    </w:p>
    <w:p w14:paraId="10A56C9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szCs w:val="24"/>
          <w:lang w:val="zh-CN"/>
        </w:rPr>
      </w:pPr>
      <w:r>
        <w:rPr>
          <w:rFonts w:hint="eastAsia" w:ascii="宋体" w:hAnsi="宋体" w:cs="宋体"/>
          <w:bCs/>
          <w:color w:val="auto"/>
          <w:sz w:val="24"/>
          <w:szCs w:val="24"/>
          <w:lang w:val="zh-CN"/>
        </w:rPr>
        <w:t>2、</w:t>
      </w:r>
      <w:r>
        <w:rPr>
          <w:rFonts w:hint="eastAsia" w:ascii="宋体" w:hAnsi="宋体" w:cs="宋体"/>
          <w:bCs/>
          <w:color w:val="auto"/>
          <w:sz w:val="24"/>
          <w:szCs w:val="24"/>
          <w:lang w:val="zh-CN" w:eastAsia="zh-CN"/>
        </w:rPr>
        <w:t>在竞标文件中提供针对本项目的组织服务方案（包含但不限于：养护方案，对临时性、突击性应急任务响应、承诺及人员保障，养护管理措施及内部考核制度，安全、文明施工、环保措施，拟为本项目投入日常一线养护作业人员，拟为本项目投入项目管理人员、技术力量，拟为本项目设置安全员（可设置），拟为本项目投入生产、管理用车，拟为本项目投入园林机械配置，拟为本项目投入必要的安全生产设施，拟为本项目投入必要数量及质量的肥料、农药）</w:t>
      </w:r>
      <w:r>
        <w:rPr>
          <w:rFonts w:hint="eastAsia" w:ascii="宋体" w:hAnsi="宋体" w:cs="宋体"/>
          <w:bCs/>
          <w:color w:val="auto"/>
          <w:sz w:val="24"/>
          <w:szCs w:val="24"/>
          <w:lang w:val="zh-CN"/>
        </w:rPr>
        <w:t>。</w:t>
      </w:r>
    </w:p>
    <w:p w14:paraId="448BB28A">
      <w:pPr>
        <w:spacing w:line="360" w:lineRule="auto"/>
        <w:ind w:firstLine="480" w:firstLineChars="200"/>
        <w:rPr>
          <w:rFonts w:hint="eastAsia" w:ascii="宋体" w:hAnsi="宋体" w:cs="宋体"/>
          <w:color w:val="auto"/>
          <w:sz w:val="32"/>
          <w:szCs w:val="32"/>
          <w:highlight w:val="none"/>
        </w:rPr>
      </w:pPr>
      <w:r>
        <w:rPr>
          <w:rFonts w:hint="eastAsia" w:ascii="宋体" w:hAnsi="宋体" w:cs="宋体"/>
          <w:bCs/>
          <w:color w:val="auto"/>
          <w:sz w:val="24"/>
          <w:szCs w:val="24"/>
          <w:lang w:val="zh-CN"/>
        </w:rPr>
        <w:t>3、供应商在成交之后、进场之前，采购人将对成交供应商的人员配置、生产及管理车辆配置、园林机械设备配置、生产工具及安全设施配置、管理用房等投标响应内容进行现场查验，成交供应商应提供人员花名册及相关</w:t>
      </w:r>
      <w:r>
        <w:rPr>
          <w:rFonts w:hint="eastAsia" w:ascii="宋体" w:hAnsi="宋体" w:cs="宋体"/>
          <w:bCs/>
          <w:color w:val="auto"/>
          <w:sz w:val="24"/>
          <w:szCs w:val="24"/>
          <w:lang w:val="en-US" w:eastAsia="zh-CN"/>
        </w:rPr>
        <w:t>保险</w:t>
      </w:r>
      <w:r>
        <w:rPr>
          <w:rFonts w:hint="eastAsia" w:ascii="宋体" w:hAnsi="宋体" w:cs="宋体"/>
          <w:bCs/>
          <w:color w:val="auto"/>
          <w:sz w:val="24"/>
          <w:szCs w:val="24"/>
          <w:lang w:val="zh-CN"/>
        </w:rPr>
        <w:t>证明、加盖公章的车辆发票（或租赁合同）和行驶证复印件以及车辆商业保险复印件、管理用房自有或租赁的证明复印件等相关材料，供采购人在现场核对真人、实物。园林机械设备、生产工具及安全设施无需提供证明材料，只需查验实物即可。（以上响应并提供证明材料的 ，需实际投入生产使用，不得任意更换）</w:t>
      </w:r>
      <w:r>
        <w:rPr>
          <w:rFonts w:hint="eastAsia" w:asciiTheme="minorEastAsia" w:hAnsiTheme="minorEastAsia" w:eastAsiaTheme="minorEastAsia" w:cstheme="minorEastAsia"/>
          <w:color w:val="auto"/>
          <w:sz w:val="24"/>
          <w:szCs w:val="24"/>
          <w:lang w:val="en-US" w:eastAsia="zh-CN"/>
        </w:rPr>
        <w:t>。</w:t>
      </w:r>
      <w:r>
        <w:rPr>
          <w:rFonts w:ascii="宋体" w:hAnsi="宋体" w:cs="宋体"/>
          <w:color w:val="auto"/>
          <w:szCs w:val="21"/>
          <w:highlight w:val="none"/>
        </w:rPr>
        <w:br w:type="page"/>
      </w:r>
      <w:r>
        <w:rPr>
          <w:rFonts w:hint="eastAsia" w:ascii="宋体" w:hAnsi="宋体" w:cs="宋体"/>
          <w:b/>
          <w:bCs/>
          <w:color w:val="auto"/>
          <w:sz w:val="32"/>
          <w:szCs w:val="32"/>
          <w:highlight w:val="none"/>
        </w:rPr>
        <w:t>附件</w:t>
      </w:r>
      <w:bookmarkEnd w:id="55"/>
      <w:bookmarkEnd w:id="56"/>
      <w:bookmarkEnd w:id="58"/>
      <w:bookmarkEnd w:id="59"/>
      <w:bookmarkEnd w:id="60"/>
    </w:p>
    <w:p w14:paraId="2BB43367">
      <w:pPr>
        <w:widowControl/>
        <w:kinsoku w:val="0"/>
        <w:autoSpaceDE w:val="0"/>
        <w:autoSpaceDN w:val="0"/>
        <w:adjustRightInd w:val="0"/>
        <w:snapToGrid w:val="0"/>
        <w:spacing w:before="125" w:line="157" w:lineRule="auto"/>
        <w:ind w:left="1891" w:firstLine="1566" w:firstLineChars="500"/>
        <w:jc w:val="left"/>
        <w:textAlignment w:val="baseline"/>
        <w:rPr>
          <w:rFonts w:hint="eastAsia" w:ascii="宋体" w:hAnsi="宋体" w:cs="宋体"/>
          <w:snapToGrid w:val="0"/>
          <w:color w:val="auto"/>
          <w:kern w:val="0"/>
          <w:sz w:val="32"/>
          <w:szCs w:val="32"/>
          <w:highlight w:val="none"/>
        </w:rPr>
      </w:pPr>
      <w:r>
        <w:rPr>
          <w:rFonts w:hint="eastAsia" w:ascii="宋体" w:hAnsi="宋体" w:cs="宋体"/>
          <w:b/>
          <w:bCs/>
          <w:snapToGrid w:val="0"/>
          <w:color w:val="auto"/>
          <w:spacing w:val="-4"/>
          <w:kern w:val="0"/>
          <w:sz w:val="32"/>
          <w:szCs w:val="32"/>
          <w:highlight w:val="none"/>
        </w:rPr>
        <w:t>中小微企业划型标准</w:t>
      </w:r>
    </w:p>
    <w:tbl>
      <w:tblPr>
        <w:tblStyle w:val="47"/>
        <w:tblW w:w="93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8"/>
        <w:gridCol w:w="1882"/>
        <w:gridCol w:w="1093"/>
        <w:gridCol w:w="1747"/>
        <w:gridCol w:w="1614"/>
        <w:gridCol w:w="1080"/>
      </w:tblGrid>
      <w:tr w14:paraId="7A1E2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888" w:type="dxa"/>
            <w:noWrap w:val="0"/>
            <w:vAlign w:val="center"/>
          </w:tcPr>
          <w:p w14:paraId="5D6F27F4">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行业名称</w:t>
            </w:r>
          </w:p>
        </w:tc>
        <w:tc>
          <w:tcPr>
            <w:tcW w:w="1882" w:type="dxa"/>
            <w:noWrap w:val="0"/>
            <w:vAlign w:val="center"/>
          </w:tcPr>
          <w:p w14:paraId="354B00C9">
            <w:pPr>
              <w:widowControl/>
              <w:kinsoku w:val="0"/>
              <w:autoSpaceDE w:val="0"/>
              <w:autoSpaceDN w:val="0"/>
              <w:adjustRightInd w:val="0"/>
              <w:snapToGrid w:val="0"/>
              <w:spacing w:before="240" w:line="221" w:lineRule="auto"/>
              <w:ind w:left="112"/>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指标名称</w:t>
            </w:r>
          </w:p>
        </w:tc>
        <w:tc>
          <w:tcPr>
            <w:tcW w:w="1093" w:type="dxa"/>
            <w:noWrap w:val="0"/>
            <w:vAlign w:val="center"/>
          </w:tcPr>
          <w:p w14:paraId="129BEFC3">
            <w:pPr>
              <w:widowControl/>
              <w:kinsoku w:val="0"/>
              <w:autoSpaceDE w:val="0"/>
              <w:autoSpaceDN w:val="0"/>
              <w:adjustRightInd w:val="0"/>
              <w:snapToGrid w:val="0"/>
              <w:spacing w:before="82" w:line="273" w:lineRule="auto"/>
              <w:ind w:left="111" w:right="147"/>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计量单位</w:t>
            </w:r>
          </w:p>
        </w:tc>
        <w:tc>
          <w:tcPr>
            <w:tcW w:w="1747" w:type="dxa"/>
            <w:noWrap w:val="0"/>
            <w:vAlign w:val="center"/>
          </w:tcPr>
          <w:p w14:paraId="4319949B">
            <w:pPr>
              <w:widowControl/>
              <w:kinsoku w:val="0"/>
              <w:autoSpaceDE w:val="0"/>
              <w:autoSpaceDN w:val="0"/>
              <w:adjustRightInd w:val="0"/>
              <w:snapToGrid w:val="0"/>
              <w:spacing w:before="240" w:line="221" w:lineRule="auto"/>
              <w:ind w:left="130"/>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中型</w:t>
            </w:r>
          </w:p>
        </w:tc>
        <w:tc>
          <w:tcPr>
            <w:tcW w:w="1614" w:type="dxa"/>
            <w:noWrap w:val="0"/>
            <w:vAlign w:val="center"/>
          </w:tcPr>
          <w:p w14:paraId="37A62B68">
            <w:pPr>
              <w:widowControl/>
              <w:kinsoku w:val="0"/>
              <w:autoSpaceDE w:val="0"/>
              <w:autoSpaceDN w:val="0"/>
              <w:adjustRightInd w:val="0"/>
              <w:snapToGrid w:val="0"/>
              <w:spacing w:before="240" w:line="222" w:lineRule="auto"/>
              <w:ind w:left="119"/>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小型</w:t>
            </w:r>
          </w:p>
        </w:tc>
        <w:tc>
          <w:tcPr>
            <w:tcW w:w="1080" w:type="dxa"/>
            <w:noWrap w:val="0"/>
            <w:vAlign w:val="center"/>
          </w:tcPr>
          <w:p w14:paraId="7192BF20">
            <w:pPr>
              <w:widowControl/>
              <w:kinsoku w:val="0"/>
              <w:autoSpaceDE w:val="0"/>
              <w:autoSpaceDN w:val="0"/>
              <w:adjustRightInd w:val="0"/>
              <w:snapToGrid w:val="0"/>
              <w:spacing w:before="240" w:line="220" w:lineRule="auto"/>
              <w:ind w:left="115"/>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微型</w:t>
            </w:r>
          </w:p>
        </w:tc>
      </w:tr>
      <w:tr w14:paraId="7508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88" w:type="dxa"/>
            <w:noWrap w:val="0"/>
            <w:vAlign w:val="center"/>
          </w:tcPr>
          <w:p w14:paraId="7880BCAA">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农、林、牧、渔</w:t>
            </w:r>
          </w:p>
        </w:tc>
        <w:tc>
          <w:tcPr>
            <w:tcW w:w="1882" w:type="dxa"/>
            <w:noWrap w:val="0"/>
            <w:vAlign w:val="top"/>
          </w:tcPr>
          <w:p w14:paraId="304DE90D">
            <w:pPr>
              <w:widowControl/>
              <w:kinsoku w:val="0"/>
              <w:autoSpaceDE w:val="0"/>
              <w:autoSpaceDN w:val="0"/>
              <w:adjustRightInd w:val="0"/>
              <w:snapToGrid w:val="0"/>
              <w:spacing w:before="76"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65170199">
            <w:pPr>
              <w:widowControl/>
              <w:kinsoku w:val="0"/>
              <w:autoSpaceDE w:val="0"/>
              <w:autoSpaceDN w:val="0"/>
              <w:adjustRightInd w:val="0"/>
              <w:snapToGrid w:val="0"/>
              <w:spacing w:before="76"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0B60CB2B">
            <w:pPr>
              <w:widowControl/>
              <w:kinsoku w:val="0"/>
              <w:autoSpaceDE w:val="0"/>
              <w:autoSpaceDN w:val="0"/>
              <w:adjustRightInd w:val="0"/>
              <w:snapToGrid w:val="0"/>
              <w:spacing w:before="76"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500≤Y＜20000</w:t>
            </w:r>
          </w:p>
        </w:tc>
        <w:tc>
          <w:tcPr>
            <w:tcW w:w="1614" w:type="dxa"/>
            <w:noWrap w:val="0"/>
            <w:vAlign w:val="top"/>
          </w:tcPr>
          <w:p w14:paraId="6B2E8B6D">
            <w:pPr>
              <w:widowControl/>
              <w:kinsoku w:val="0"/>
              <w:autoSpaceDE w:val="0"/>
              <w:autoSpaceDN w:val="0"/>
              <w:adjustRightInd w:val="0"/>
              <w:snapToGrid w:val="0"/>
              <w:spacing w:before="76"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50≤Y＜500</w:t>
            </w:r>
          </w:p>
        </w:tc>
        <w:tc>
          <w:tcPr>
            <w:tcW w:w="1080" w:type="dxa"/>
            <w:noWrap w:val="0"/>
            <w:vAlign w:val="top"/>
          </w:tcPr>
          <w:p w14:paraId="703C7E1F">
            <w:pPr>
              <w:widowControl/>
              <w:kinsoku w:val="0"/>
              <w:autoSpaceDE w:val="0"/>
              <w:autoSpaceDN w:val="0"/>
              <w:adjustRightInd w:val="0"/>
              <w:snapToGrid w:val="0"/>
              <w:spacing w:before="77"/>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Y＜50</w:t>
            </w:r>
          </w:p>
        </w:tc>
      </w:tr>
      <w:tr w14:paraId="0149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3AB93A8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工业</w:t>
            </w:r>
          </w:p>
        </w:tc>
        <w:tc>
          <w:tcPr>
            <w:tcW w:w="1882" w:type="dxa"/>
            <w:noWrap w:val="0"/>
            <w:vAlign w:val="top"/>
          </w:tcPr>
          <w:p w14:paraId="4CF72F8B">
            <w:pPr>
              <w:widowControl/>
              <w:kinsoku w:val="0"/>
              <w:autoSpaceDE w:val="0"/>
              <w:autoSpaceDN w:val="0"/>
              <w:adjustRightInd w:val="0"/>
              <w:snapToGrid w:val="0"/>
              <w:spacing w:before="76"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25E9D148">
            <w:pPr>
              <w:widowControl/>
              <w:kinsoku w:val="0"/>
              <w:autoSpaceDE w:val="0"/>
              <w:autoSpaceDN w:val="0"/>
              <w:adjustRightInd w:val="0"/>
              <w:snapToGrid w:val="0"/>
              <w:spacing w:before="77"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485FCAB2">
            <w:pPr>
              <w:widowControl/>
              <w:kinsoku w:val="0"/>
              <w:autoSpaceDE w:val="0"/>
              <w:autoSpaceDN w:val="0"/>
              <w:adjustRightInd w:val="0"/>
              <w:snapToGrid w:val="0"/>
              <w:spacing w:before="76"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300≤X＜1000</w:t>
            </w:r>
          </w:p>
        </w:tc>
        <w:tc>
          <w:tcPr>
            <w:tcW w:w="1614" w:type="dxa"/>
            <w:noWrap w:val="0"/>
            <w:vAlign w:val="top"/>
          </w:tcPr>
          <w:p w14:paraId="51F96111">
            <w:pPr>
              <w:widowControl/>
              <w:kinsoku w:val="0"/>
              <w:autoSpaceDE w:val="0"/>
              <w:autoSpaceDN w:val="0"/>
              <w:adjustRightInd w:val="0"/>
              <w:snapToGrid w:val="0"/>
              <w:spacing w:before="76"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20≤X＜300</w:t>
            </w:r>
          </w:p>
        </w:tc>
        <w:tc>
          <w:tcPr>
            <w:tcW w:w="1080" w:type="dxa"/>
            <w:noWrap w:val="0"/>
            <w:vAlign w:val="top"/>
          </w:tcPr>
          <w:p w14:paraId="40138638">
            <w:pPr>
              <w:widowControl/>
              <w:kinsoku w:val="0"/>
              <w:autoSpaceDE w:val="0"/>
              <w:autoSpaceDN w:val="0"/>
              <w:adjustRightInd w:val="0"/>
              <w:snapToGrid w:val="0"/>
              <w:spacing w:before="77"/>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X＜20</w:t>
            </w:r>
          </w:p>
        </w:tc>
      </w:tr>
      <w:tr w14:paraId="1872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88" w:type="dxa"/>
            <w:vMerge w:val="continue"/>
            <w:tcBorders>
              <w:top w:val="nil"/>
            </w:tcBorders>
            <w:noWrap w:val="0"/>
            <w:vAlign w:val="center"/>
          </w:tcPr>
          <w:p w14:paraId="1203DD7D">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0CEA8F69">
            <w:pPr>
              <w:widowControl/>
              <w:kinsoku w:val="0"/>
              <w:autoSpaceDE w:val="0"/>
              <w:autoSpaceDN w:val="0"/>
              <w:adjustRightInd w:val="0"/>
              <w:snapToGrid w:val="0"/>
              <w:spacing w:before="76"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7A09650F">
            <w:pPr>
              <w:widowControl/>
              <w:kinsoku w:val="0"/>
              <w:autoSpaceDE w:val="0"/>
              <w:autoSpaceDN w:val="0"/>
              <w:adjustRightInd w:val="0"/>
              <w:snapToGrid w:val="0"/>
              <w:spacing w:before="76"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3EB9AC34">
            <w:pPr>
              <w:widowControl/>
              <w:kinsoku w:val="0"/>
              <w:autoSpaceDE w:val="0"/>
              <w:autoSpaceDN w:val="0"/>
              <w:adjustRightInd w:val="0"/>
              <w:snapToGrid w:val="0"/>
              <w:spacing w:before="76" w:line="237" w:lineRule="auto"/>
              <w:ind w:left="115"/>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2000≤Y＜40000</w:t>
            </w:r>
          </w:p>
        </w:tc>
        <w:tc>
          <w:tcPr>
            <w:tcW w:w="1614" w:type="dxa"/>
            <w:noWrap w:val="0"/>
            <w:vAlign w:val="top"/>
          </w:tcPr>
          <w:p w14:paraId="39C7DA51">
            <w:pPr>
              <w:widowControl/>
              <w:kinsoku w:val="0"/>
              <w:autoSpaceDE w:val="0"/>
              <w:autoSpaceDN w:val="0"/>
              <w:adjustRightInd w:val="0"/>
              <w:snapToGrid w:val="0"/>
              <w:spacing w:before="76"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300≤Y＜2000</w:t>
            </w:r>
          </w:p>
        </w:tc>
        <w:tc>
          <w:tcPr>
            <w:tcW w:w="1080" w:type="dxa"/>
            <w:noWrap w:val="0"/>
            <w:vAlign w:val="top"/>
          </w:tcPr>
          <w:p w14:paraId="39A65FF4">
            <w:pPr>
              <w:widowControl/>
              <w:kinsoku w:val="0"/>
              <w:autoSpaceDE w:val="0"/>
              <w:autoSpaceDN w:val="0"/>
              <w:adjustRightInd w:val="0"/>
              <w:snapToGrid w:val="0"/>
              <w:spacing w:before="76"/>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Y＜300</w:t>
            </w:r>
          </w:p>
        </w:tc>
      </w:tr>
      <w:tr w14:paraId="53DB8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3B6C9728">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建筑业</w:t>
            </w:r>
          </w:p>
        </w:tc>
        <w:tc>
          <w:tcPr>
            <w:tcW w:w="1882" w:type="dxa"/>
            <w:noWrap w:val="0"/>
            <w:vAlign w:val="top"/>
          </w:tcPr>
          <w:p w14:paraId="041FAFDA">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1D0A1A9D">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0514259D">
            <w:pPr>
              <w:widowControl/>
              <w:kinsoku w:val="0"/>
              <w:autoSpaceDE w:val="0"/>
              <w:autoSpaceDN w:val="0"/>
              <w:adjustRightInd w:val="0"/>
              <w:snapToGrid w:val="0"/>
              <w:spacing w:before="79" w:line="237" w:lineRule="auto"/>
              <w:ind w:left="114"/>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6000≤Y＜80000</w:t>
            </w:r>
          </w:p>
        </w:tc>
        <w:tc>
          <w:tcPr>
            <w:tcW w:w="1614" w:type="dxa"/>
            <w:noWrap w:val="0"/>
            <w:vAlign w:val="top"/>
          </w:tcPr>
          <w:p w14:paraId="499E215B">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300≤Y＜6000</w:t>
            </w:r>
          </w:p>
        </w:tc>
        <w:tc>
          <w:tcPr>
            <w:tcW w:w="1080" w:type="dxa"/>
            <w:noWrap w:val="0"/>
            <w:vAlign w:val="top"/>
          </w:tcPr>
          <w:p w14:paraId="25B1DA07">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Y＜300</w:t>
            </w:r>
          </w:p>
        </w:tc>
      </w:tr>
      <w:tr w14:paraId="51F2C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888" w:type="dxa"/>
            <w:vMerge w:val="continue"/>
            <w:tcBorders>
              <w:top w:val="nil"/>
            </w:tcBorders>
            <w:noWrap w:val="0"/>
            <w:vAlign w:val="center"/>
          </w:tcPr>
          <w:p w14:paraId="3E4DA53D">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25ED1067">
            <w:pPr>
              <w:widowControl/>
              <w:kinsoku w:val="0"/>
              <w:autoSpaceDE w:val="0"/>
              <w:autoSpaceDN w:val="0"/>
              <w:adjustRightInd w:val="0"/>
              <w:snapToGrid w:val="0"/>
              <w:spacing w:before="78" w:line="220" w:lineRule="auto"/>
              <w:ind w:left="118"/>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资产总额（Z）</w:t>
            </w:r>
          </w:p>
        </w:tc>
        <w:tc>
          <w:tcPr>
            <w:tcW w:w="1093" w:type="dxa"/>
            <w:noWrap w:val="0"/>
            <w:vAlign w:val="top"/>
          </w:tcPr>
          <w:p w14:paraId="4C41D9BE">
            <w:pPr>
              <w:widowControl/>
              <w:kinsoku w:val="0"/>
              <w:autoSpaceDE w:val="0"/>
              <w:autoSpaceDN w:val="0"/>
              <w:adjustRightInd w:val="0"/>
              <w:snapToGrid w:val="0"/>
              <w:spacing w:before="78"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082E3AD4">
            <w:pPr>
              <w:widowControl/>
              <w:kinsoku w:val="0"/>
              <w:autoSpaceDE w:val="0"/>
              <w:autoSpaceDN w:val="0"/>
              <w:adjustRightInd w:val="0"/>
              <w:snapToGrid w:val="0"/>
              <w:spacing w:before="78"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5000≤Z＜80000</w:t>
            </w:r>
          </w:p>
        </w:tc>
        <w:tc>
          <w:tcPr>
            <w:tcW w:w="1614" w:type="dxa"/>
            <w:noWrap w:val="0"/>
            <w:vAlign w:val="top"/>
          </w:tcPr>
          <w:p w14:paraId="042BE7C8">
            <w:pPr>
              <w:widowControl/>
              <w:kinsoku w:val="0"/>
              <w:autoSpaceDE w:val="0"/>
              <w:autoSpaceDN w:val="0"/>
              <w:adjustRightInd w:val="0"/>
              <w:snapToGrid w:val="0"/>
              <w:spacing w:before="78"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300≤Z＜5000</w:t>
            </w:r>
          </w:p>
        </w:tc>
        <w:tc>
          <w:tcPr>
            <w:tcW w:w="1080" w:type="dxa"/>
            <w:noWrap w:val="0"/>
            <w:vAlign w:val="top"/>
          </w:tcPr>
          <w:p w14:paraId="0C478FA1">
            <w:pPr>
              <w:widowControl/>
              <w:kinsoku w:val="0"/>
              <w:autoSpaceDE w:val="0"/>
              <w:autoSpaceDN w:val="0"/>
              <w:adjustRightInd w:val="0"/>
              <w:snapToGrid w:val="0"/>
              <w:spacing w:before="79"/>
              <w:ind w:left="114"/>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Z＜300</w:t>
            </w:r>
          </w:p>
        </w:tc>
      </w:tr>
      <w:tr w14:paraId="3E89D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023843D5">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批发业</w:t>
            </w:r>
          </w:p>
        </w:tc>
        <w:tc>
          <w:tcPr>
            <w:tcW w:w="1882" w:type="dxa"/>
            <w:noWrap w:val="0"/>
            <w:vAlign w:val="top"/>
          </w:tcPr>
          <w:p w14:paraId="1F5D41AE">
            <w:pPr>
              <w:widowControl/>
              <w:kinsoku w:val="0"/>
              <w:autoSpaceDE w:val="0"/>
              <w:autoSpaceDN w:val="0"/>
              <w:adjustRightInd w:val="0"/>
              <w:snapToGrid w:val="0"/>
              <w:spacing w:before="78"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25793A28">
            <w:pPr>
              <w:widowControl/>
              <w:kinsoku w:val="0"/>
              <w:autoSpaceDE w:val="0"/>
              <w:autoSpaceDN w:val="0"/>
              <w:adjustRightInd w:val="0"/>
              <w:snapToGrid w:val="0"/>
              <w:spacing w:before="79"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1FDC08CE">
            <w:pPr>
              <w:widowControl/>
              <w:kinsoku w:val="0"/>
              <w:autoSpaceDE w:val="0"/>
              <w:autoSpaceDN w:val="0"/>
              <w:adjustRightInd w:val="0"/>
              <w:snapToGrid w:val="0"/>
              <w:spacing w:before="78" w:line="237" w:lineRule="auto"/>
              <w:ind w:left="115"/>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20≤X＜200</w:t>
            </w:r>
          </w:p>
        </w:tc>
        <w:tc>
          <w:tcPr>
            <w:tcW w:w="1614" w:type="dxa"/>
            <w:noWrap w:val="0"/>
            <w:vAlign w:val="top"/>
          </w:tcPr>
          <w:p w14:paraId="5FC88803">
            <w:pPr>
              <w:widowControl/>
              <w:kinsoku w:val="0"/>
              <w:autoSpaceDE w:val="0"/>
              <w:autoSpaceDN w:val="0"/>
              <w:adjustRightInd w:val="0"/>
              <w:snapToGrid w:val="0"/>
              <w:spacing w:before="78"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5≤X＜20</w:t>
            </w:r>
          </w:p>
        </w:tc>
        <w:tc>
          <w:tcPr>
            <w:tcW w:w="1080" w:type="dxa"/>
            <w:noWrap w:val="0"/>
            <w:vAlign w:val="top"/>
          </w:tcPr>
          <w:p w14:paraId="2FD3BB16">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X＜5</w:t>
            </w:r>
          </w:p>
        </w:tc>
      </w:tr>
      <w:tr w14:paraId="046A3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02AA658E">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6D7FB95B">
            <w:pPr>
              <w:widowControl/>
              <w:kinsoku w:val="0"/>
              <w:autoSpaceDE w:val="0"/>
              <w:autoSpaceDN w:val="0"/>
              <w:adjustRightInd w:val="0"/>
              <w:snapToGrid w:val="0"/>
              <w:spacing w:before="78"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2F1DF665">
            <w:pPr>
              <w:widowControl/>
              <w:kinsoku w:val="0"/>
              <w:autoSpaceDE w:val="0"/>
              <w:autoSpaceDN w:val="0"/>
              <w:adjustRightInd w:val="0"/>
              <w:snapToGrid w:val="0"/>
              <w:spacing w:before="78"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6569D51E">
            <w:pPr>
              <w:widowControl/>
              <w:kinsoku w:val="0"/>
              <w:autoSpaceDE w:val="0"/>
              <w:autoSpaceDN w:val="0"/>
              <w:adjustRightInd w:val="0"/>
              <w:snapToGrid w:val="0"/>
              <w:spacing w:before="78"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5000≤Y＜40000</w:t>
            </w:r>
          </w:p>
        </w:tc>
        <w:tc>
          <w:tcPr>
            <w:tcW w:w="1614" w:type="dxa"/>
            <w:noWrap w:val="0"/>
            <w:vAlign w:val="top"/>
          </w:tcPr>
          <w:p w14:paraId="00F76426">
            <w:pPr>
              <w:widowControl/>
              <w:kinsoku w:val="0"/>
              <w:autoSpaceDE w:val="0"/>
              <w:autoSpaceDN w:val="0"/>
              <w:adjustRightInd w:val="0"/>
              <w:snapToGrid w:val="0"/>
              <w:spacing w:before="78"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1000≤Y＜5000</w:t>
            </w:r>
          </w:p>
        </w:tc>
        <w:tc>
          <w:tcPr>
            <w:tcW w:w="1080" w:type="dxa"/>
            <w:noWrap w:val="0"/>
            <w:vAlign w:val="top"/>
          </w:tcPr>
          <w:p w14:paraId="7FC6EF3E">
            <w:pPr>
              <w:widowControl/>
              <w:kinsoku w:val="0"/>
              <w:autoSpaceDE w:val="0"/>
              <w:autoSpaceDN w:val="0"/>
              <w:adjustRightInd w:val="0"/>
              <w:snapToGrid w:val="0"/>
              <w:spacing w:before="78"/>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Y＜1000</w:t>
            </w:r>
          </w:p>
        </w:tc>
      </w:tr>
      <w:tr w14:paraId="18FDB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88" w:type="dxa"/>
            <w:vMerge w:val="restart"/>
            <w:tcBorders>
              <w:bottom w:val="nil"/>
            </w:tcBorders>
            <w:noWrap w:val="0"/>
            <w:vAlign w:val="center"/>
          </w:tcPr>
          <w:p w14:paraId="52DF1C3C">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零售业</w:t>
            </w:r>
          </w:p>
        </w:tc>
        <w:tc>
          <w:tcPr>
            <w:tcW w:w="1882" w:type="dxa"/>
            <w:noWrap w:val="0"/>
            <w:vAlign w:val="top"/>
          </w:tcPr>
          <w:p w14:paraId="4E07E366">
            <w:pPr>
              <w:widowControl/>
              <w:kinsoku w:val="0"/>
              <w:autoSpaceDE w:val="0"/>
              <w:autoSpaceDN w:val="0"/>
              <w:adjustRightInd w:val="0"/>
              <w:snapToGrid w:val="0"/>
              <w:spacing w:before="80"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37D46D82">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795B5B5B">
            <w:pPr>
              <w:widowControl/>
              <w:kinsoku w:val="0"/>
              <w:autoSpaceDE w:val="0"/>
              <w:autoSpaceDN w:val="0"/>
              <w:adjustRightInd w:val="0"/>
              <w:snapToGrid w:val="0"/>
              <w:spacing w:before="80"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50≤X＜300</w:t>
            </w:r>
          </w:p>
        </w:tc>
        <w:tc>
          <w:tcPr>
            <w:tcW w:w="1614" w:type="dxa"/>
            <w:noWrap w:val="0"/>
            <w:vAlign w:val="top"/>
          </w:tcPr>
          <w:p w14:paraId="08339FA7">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10≤X＜50</w:t>
            </w:r>
          </w:p>
        </w:tc>
        <w:tc>
          <w:tcPr>
            <w:tcW w:w="1080" w:type="dxa"/>
            <w:noWrap w:val="0"/>
            <w:vAlign w:val="top"/>
          </w:tcPr>
          <w:p w14:paraId="0CE4B20C">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0AB02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2BB048F5">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6150001D">
            <w:pPr>
              <w:widowControl/>
              <w:kinsoku w:val="0"/>
              <w:autoSpaceDE w:val="0"/>
              <w:autoSpaceDN w:val="0"/>
              <w:adjustRightInd w:val="0"/>
              <w:snapToGrid w:val="0"/>
              <w:spacing w:before="80"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24628DA1">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5485DD00">
            <w:pPr>
              <w:widowControl/>
              <w:kinsoku w:val="0"/>
              <w:autoSpaceDE w:val="0"/>
              <w:autoSpaceDN w:val="0"/>
              <w:adjustRightInd w:val="0"/>
              <w:snapToGrid w:val="0"/>
              <w:spacing w:before="80"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500≤Y＜20000</w:t>
            </w:r>
          </w:p>
        </w:tc>
        <w:tc>
          <w:tcPr>
            <w:tcW w:w="1614" w:type="dxa"/>
            <w:noWrap w:val="0"/>
            <w:vAlign w:val="top"/>
          </w:tcPr>
          <w:p w14:paraId="4B93CF80">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100≤Y＜500</w:t>
            </w:r>
          </w:p>
        </w:tc>
        <w:tc>
          <w:tcPr>
            <w:tcW w:w="1080" w:type="dxa"/>
            <w:noWrap w:val="0"/>
            <w:vAlign w:val="top"/>
          </w:tcPr>
          <w:p w14:paraId="535712DD">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09465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1B925DAA">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交通运输业</w:t>
            </w:r>
          </w:p>
        </w:tc>
        <w:tc>
          <w:tcPr>
            <w:tcW w:w="1882" w:type="dxa"/>
            <w:noWrap w:val="0"/>
            <w:vAlign w:val="top"/>
          </w:tcPr>
          <w:p w14:paraId="5840CDD9">
            <w:pPr>
              <w:widowControl/>
              <w:kinsoku w:val="0"/>
              <w:autoSpaceDE w:val="0"/>
              <w:autoSpaceDN w:val="0"/>
              <w:adjustRightInd w:val="0"/>
              <w:snapToGrid w:val="0"/>
              <w:spacing w:before="79"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5A02DA34">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49DD4B61">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300≤X＜1000</w:t>
            </w:r>
          </w:p>
        </w:tc>
        <w:tc>
          <w:tcPr>
            <w:tcW w:w="1614" w:type="dxa"/>
            <w:noWrap w:val="0"/>
            <w:vAlign w:val="top"/>
          </w:tcPr>
          <w:p w14:paraId="70DB7508">
            <w:pPr>
              <w:widowControl/>
              <w:kinsoku w:val="0"/>
              <w:autoSpaceDE w:val="0"/>
              <w:autoSpaceDN w:val="0"/>
              <w:adjustRightInd w:val="0"/>
              <w:snapToGrid w:val="0"/>
              <w:spacing w:before="79"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20≤X＜300</w:t>
            </w:r>
          </w:p>
        </w:tc>
        <w:tc>
          <w:tcPr>
            <w:tcW w:w="1080" w:type="dxa"/>
            <w:noWrap w:val="0"/>
            <w:vAlign w:val="top"/>
          </w:tcPr>
          <w:p w14:paraId="1582FA20">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X＜20</w:t>
            </w:r>
          </w:p>
        </w:tc>
      </w:tr>
      <w:tr w14:paraId="0671E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4711E1D3">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7179CD6B">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2194535C">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33307662">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3000≤Y＜30000</w:t>
            </w:r>
          </w:p>
        </w:tc>
        <w:tc>
          <w:tcPr>
            <w:tcW w:w="1614" w:type="dxa"/>
            <w:noWrap w:val="0"/>
            <w:vAlign w:val="top"/>
          </w:tcPr>
          <w:p w14:paraId="57C3D9B7">
            <w:pPr>
              <w:widowControl/>
              <w:kinsoku w:val="0"/>
              <w:autoSpaceDE w:val="0"/>
              <w:autoSpaceDN w:val="0"/>
              <w:adjustRightInd w:val="0"/>
              <w:snapToGrid w:val="0"/>
              <w:spacing w:before="79"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200≤Y＜3000</w:t>
            </w:r>
          </w:p>
        </w:tc>
        <w:tc>
          <w:tcPr>
            <w:tcW w:w="1080" w:type="dxa"/>
            <w:noWrap w:val="0"/>
            <w:vAlign w:val="top"/>
          </w:tcPr>
          <w:p w14:paraId="75289B59">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Y＜200</w:t>
            </w:r>
          </w:p>
        </w:tc>
      </w:tr>
      <w:tr w14:paraId="43444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48EECC44">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仓储业</w:t>
            </w:r>
          </w:p>
        </w:tc>
        <w:tc>
          <w:tcPr>
            <w:tcW w:w="1882" w:type="dxa"/>
            <w:noWrap w:val="0"/>
            <w:vAlign w:val="top"/>
          </w:tcPr>
          <w:p w14:paraId="01F0567F">
            <w:pPr>
              <w:widowControl/>
              <w:kinsoku w:val="0"/>
              <w:autoSpaceDE w:val="0"/>
              <w:autoSpaceDN w:val="0"/>
              <w:adjustRightInd w:val="0"/>
              <w:snapToGrid w:val="0"/>
              <w:spacing w:before="81"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51A1EB7C">
            <w:pPr>
              <w:widowControl/>
              <w:kinsoku w:val="0"/>
              <w:autoSpaceDE w:val="0"/>
              <w:autoSpaceDN w:val="0"/>
              <w:adjustRightInd w:val="0"/>
              <w:snapToGrid w:val="0"/>
              <w:spacing w:before="81"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69DDC1B9">
            <w:pPr>
              <w:widowControl/>
              <w:kinsoku w:val="0"/>
              <w:autoSpaceDE w:val="0"/>
              <w:autoSpaceDN w:val="0"/>
              <w:adjustRightInd w:val="0"/>
              <w:snapToGrid w:val="0"/>
              <w:spacing w:before="81"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100≤X＜200</w:t>
            </w:r>
          </w:p>
        </w:tc>
        <w:tc>
          <w:tcPr>
            <w:tcW w:w="1614" w:type="dxa"/>
            <w:noWrap w:val="0"/>
            <w:vAlign w:val="top"/>
          </w:tcPr>
          <w:p w14:paraId="7DA95DEF">
            <w:pPr>
              <w:widowControl/>
              <w:kinsoku w:val="0"/>
              <w:autoSpaceDE w:val="0"/>
              <w:autoSpaceDN w:val="0"/>
              <w:adjustRightInd w:val="0"/>
              <w:snapToGrid w:val="0"/>
              <w:spacing w:before="81"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20≤X＜100</w:t>
            </w:r>
          </w:p>
        </w:tc>
        <w:tc>
          <w:tcPr>
            <w:tcW w:w="1080" w:type="dxa"/>
            <w:noWrap w:val="0"/>
            <w:vAlign w:val="top"/>
          </w:tcPr>
          <w:p w14:paraId="3B058640">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X＜20</w:t>
            </w:r>
          </w:p>
        </w:tc>
      </w:tr>
      <w:tr w14:paraId="3BC91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43A472F4">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6B75D784">
            <w:pPr>
              <w:widowControl/>
              <w:kinsoku w:val="0"/>
              <w:autoSpaceDE w:val="0"/>
              <w:autoSpaceDN w:val="0"/>
              <w:adjustRightInd w:val="0"/>
              <w:snapToGrid w:val="0"/>
              <w:spacing w:before="80"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69FE5217">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69CBE167">
            <w:pPr>
              <w:widowControl/>
              <w:kinsoku w:val="0"/>
              <w:autoSpaceDE w:val="0"/>
              <w:autoSpaceDN w:val="0"/>
              <w:adjustRightInd w:val="0"/>
              <w:snapToGrid w:val="0"/>
              <w:spacing w:before="80"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1000≤Y＜30000</w:t>
            </w:r>
          </w:p>
        </w:tc>
        <w:tc>
          <w:tcPr>
            <w:tcW w:w="1614" w:type="dxa"/>
            <w:noWrap w:val="0"/>
            <w:vAlign w:val="top"/>
          </w:tcPr>
          <w:p w14:paraId="5B02C89F">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100≤Y＜1000</w:t>
            </w:r>
          </w:p>
        </w:tc>
        <w:tc>
          <w:tcPr>
            <w:tcW w:w="1080" w:type="dxa"/>
            <w:noWrap w:val="0"/>
            <w:vAlign w:val="top"/>
          </w:tcPr>
          <w:p w14:paraId="4BCB9136">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49928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36F45BD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邮政业</w:t>
            </w:r>
          </w:p>
        </w:tc>
        <w:tc>
          <w:tcPr>
            <w:tcW w:w="1882" w:type="dxa"/>
            <w:noWrap w:val="0"/>
            <w:vAlign w:val="top"/>
          </w:tcPr>
          <w:p w14:paraId="01D11854">
            <w:pPr>
              <w:widowControl/>
              <w:kinsoku w:val="0"/>
              <w:autoSpaceDE w:val="0"/>
              <w:autoSpaceDN w:val="0"/>
              <w:adjustRightInd w:val="0"/>
              <w:snapToGrid w:val="0"/>
              <w:spacing w:before="79"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0277B535">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07FC1B8E">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300≤X＜1000</w:t>
            </w:r>
          </w:p>
        </w:tc>
        <w:tc>
          <w:tcPr>
            <w:tcW w:w="1614" w:type="dxa"/>
            <w:noWrap w:val="0"/>
            <w:vAlign w:val="top"/>
          </w:tcPr>
          <w:p w14:paraId="05DBD056">
            <w:pPr>
              <w:widowControl/>
              <w:kinsoku w:val="0"/>
              <w:autoSpaceDE w:val="0"/>
              <w:autoSpaceDN w:val="0"/>
              <w:adjustRightInd w:val="0"/>
              <w:snapToGrid w:val="0"/>
              <w:spacing w:before="79"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20≤X＜300</w:t>
            </w:r>
          </w:p>
        </w:tc>
        <w:tc>
          <w:tcPr>
            <w:tcW w:w="1080" w:type="dxa"/>
            <w:noWrap w:val="0"/>
            <w:vAlign w:val="top"/>
          </w:tcPr>
          <w:p w14:paraId="6E7638DE">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X＜20</w:t>
            </w:r>
          </w:p>
        </w:tc>
      </w:tr>
      <w:tr w14:paraId="4CE3C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30A827A2">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64075B46">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6E380BC2">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677BC2E1">
            <w:pPr>
              <w:widowControl/>
              <w:kinsoku w:val="0"/>
              <w:autoSpaceDE w:val="0"/>
              <w:autoSpaceDN w:val="0"/>
              <w:adjustRightInd w:val="0"/>
              <w:snapToGrid w:val="0"/>
              <w:spacing w:before="79" w:line="237" w:lineRule="auto"/>
              <w:ind w:left="115"/>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2000≤Y＜30000</w:t>
            </w:r>
          </w:p>
        </w:tc>
        <w:tc>
          <w:tcPr>
            <w:tcW w:w="1614" w:type="dxa"/>
            <w:noWrap w:val="0"/>
            <w:vAlign w:val="top"/>
          </w:tcPr>
          <w:p w14:paraId="7841A981">
            <w:pPr>
              <w:widowControl/>
              <w:kinsoku w:val="0"/>
              <w:autoSpaceDE w:val="0"/>
              <w:autoSpaceDN w:val="0"/>
              <w:adjustRightInd w:val="0"/>
              <w:snapToGrid w:val="0"/>
              <w:spacing w:before="79"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100≤Y＜2000</w:t>
            </w:r>
          </w:p>
        </w:tc>
        <w:tc>
          <w:tcPr>
            <w:tcW w:w="1080" w:type="dxa"/>
            <w:noWrap w:val="0"/>
            <w:vAlign w:val="top"/>
          </w:tcPr>
          <w:p w14:paraId="12FA442F">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55AF1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64BBE68B">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住宿业</w:t>
            </w:r>
          </w:p>
        </w:tc>
        <w:tc>
          <w:tcPr>
            <w:tcW w:w="1882" w:type="dxa"/>
            <w:noWrap w:val="0"/>
            <w:vAlign w:val="top"/>
          </w:tcPr>
          <w:p w14:paraId="55BC61BF">
            <w:pPr>
              <w:widowControl/>
              <w:kinsoku w:val="0"/>
              <w:autoSpaceDE w:val="0"/>
              <w:autoSpaceDN w:val="0"/>
              <w:adjustRightInd w:val="0"/>
              <w:snapToGrid w:val="0"/>
              <w:spacing w:before="81"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068ADDBB">
            <w:pPr>
              <w:widowControl/>
              <w:kinsoku w:val="0"/>
              <w:autoSpaceDE w:val="0"/>
              <w:autoSpaceDN w:val="0"/>
              <w:adjustRightInd w:val="0"/>
              <w:snapToGrid w:val="0"/>
              <w:spacing w:before="81"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1E41000B">
            <w:pPr>
              <w:widowControl/>
              <w:kinsoku w:val="0"/>
              <w:autoSpaceDE w:val="0"/>
              <w:autoSpaceDN w:val="0"/>
              <w:adjustRightInd w:val="0"/>
              <w:snapToGrid w:val="0"/>
              <w:spacing w:before="81"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614" w:type="dxa"/>
            <w:noWrap w:val="0"/>
            <w:vAlign w:val="top"/>
          </w:tcPr>
          <w:p w14:paraId="5C6DB115">
            <w:pPr>
              <w:widowControl/>
              <w:kinsoku w:val="0"/>
              <w:autoSpaceDE w:val="0"/>
              <w:autoSpaceDN w:val="0"/>
              <w:adjustRightInd w:val="0"/>
              <w:snapToGrid w:val="0"/>
              <w:spacing w:before="81"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30496529">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4ED5F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7F1E2865">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558FB45A">
            <w:pPr>
              <w:widowControl/>
              <w:kinsoku w:val="0"/>
              <w:autoSpaceDE w:val="0"/>
              <w:autoSpaceDN w:val="0"/>
              <w:adjustRightInd w:val="0"/>
              <w:snapToGrid w:val="0"/>
              <w:spacing w:before="80"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7F94A6BC">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584831DD">
            <w:pPr>
              <w:widowControl/>
              <w:kinsoku w:val="0"/>
              <w:autoSpaceDE w:val="0"/>
              <w:autoSpaceDN w:val="0"/>
              <w:adjustRightInd w:val="0"/>
              <w:snapToGrid w:val="0"/>
              <w:spacing w:before="80" w:line="237" w:lineRule="auto"/>
              <w:ind w:left="115"/>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2000≤Y＜10000</w:t>
            </w:r>
          </w:p>
        </w:tc>
        <w:tc>
          <w:tcPr>
            <w:tcW w:w="1614" w:type="dxa"/>
            <w:noWrap w:val="0"/>
            <w:vAlign w:val="top"/>
          </w:tcPr>
          <w:p w14:paraId="2D77095A">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100≤Y＜2000</w:t>
            </w:r>
          </w:p>
        </w:tc>
        <w:tc>
          <w:tcPr>
            <w:tcW w:w="1080" w:type="dxa"/>
            <w:noWrap w:val="0"/>
            <w:vAlign w:val="top"/>
          </w:tcPr>
          <w:p w14:paraId="7753D5B1">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146AD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7C16811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餐饮业</w:t>
            </w:r>
          </w:p>
        </w:tc>
        <w:tc>
          <w:tcPr>
            <w:tcW w:w="1882" w:type="dxa"/>
            <w:noWrap w:val="0"/>
            <w:vAlign w:val="top"/>
          </w:tcPr>
          <w:p w14:paraId="1F4C44AA">
            <w:pPr>
              <w:widowControl/>
              <w:kinsoku w:val="0"/>
              <w:autoSpaceDE w:val="0"/>
              <w:autoSpaceDN w:val="0"/>
              <w:adjustRightInd w:val="0"/>
              <w:snapToGrid w:val="0"/>
              <w:spacing w:before="79"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717BD88F">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0AF69F61">
            <w:pPr>
              <w:widowControl/>
              <w:kinsoku w:val="0"/>
              <w:autoSpaceDE w:val="0"/>
              <w:autoSpaceDN w:val="0"/>
              <w:adjustRightInd w:val="0"/>
              <w:snapToGrid w:val="0"/>
              <w:spacing w:before="79"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614" w:type="dxa"/>
            <w:noWrap w:val="0"/>
            <w:vAlign w:val="top"/>
          </w:tcPr>
          <w:p w14:paraId="7BDB4E7C">
            <w:pPr>
              <w:widowControl/>
              <w:kinsoku w:val="0"/>
              <w:autoSpaceDE w:val="0"/>
              <w:autoSpaceDN w:val="0"/>
              <w:adjustRightInd w:val="0"/>
              <w:snapToGrid w:val="0"/>
              <w:spacing w:before="79"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1B615714">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757B7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7CD7F8ED">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7E3E7A78">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5527708C">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5819B5E1">
            <w:pPr>
              <w:widowControl/>
              <w:kinsoku w:val="0"/>
              <w:autoSpaceDE w:val="0"/>
              <w:autoSpaceDN w:val="0"/>
              <w:adjustRightInd w:val="0"/>
              <w:snapToGrid w:val="0"/>
              <w:spacing w:before="79" w:line="237" w:lineRule="auto"/>
              <w:ind w:left="115"/>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2000≤Y＜10000</w:t>
            </w:r>
          </w:p>
        </w:tc>
        <w:tc>
          <w:tcPr>
            <w:tcW w:w="1614" w:type="dxa"/>
            <w:noWrap w:val="0"/>
            <w:vAlign w:val="top"/>
          </w:tcPr>
          <w:p w14:paraId="42385F16">
            <w:pPr>
              <w:widowControl/>
              <w:kinsoku w:val="0"/>
              <w:autoSpaceDE w:val="0"/>
              <w:autoSpaceDN w:val="0"/>
              <w:adjustRightInd w:val="0"/>
              <w:snapToGrid w:val="0"/>
              <w:spacing w:before="79"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100≤Y＜2000</w:t>
            </w:r>
          </w:p>
        </w:tc>
        <w:tc>
          <w:tcPr>
            <w:tcW w:w="1080" w:type="dxa"/>
            <w:noWrap w:val="0"/>
            <w:vAlign w:val="top"/>
          </w:tcPr>
          <w:p w14:paraId="6A2CC489">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02B50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783D99CE">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信息传输业</w:t>
            </w:r>
          </w:p>
        </w:tc>
        <w:tc>
          <w:tcPr>
            <w:tcW w:w="1882" w:type="dxa"/>
            <w:noWrap w:val="0"/>
            <w:vAlign w:val="top"/>
          </w:tcPr>
          <w:p w14:paraId="642D6908">
            <w:pPr>
              <w:widowControl/>
              <w:kinsoku w:val="0"/>
              <w:autoSpaceDE w:val="0"/>
              <w:autoSpaceDN w:val="0"/>
              <w:adjustRightInd w:val="0"/>
              <w:snapToGrid w:val="0"/>
              <w:spacing w:before="81"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4C9F728C">
            <w:pPr>
              <w:widowControl/>
              <w:kinsoku w:val="0"/>
              <w:autoSpaceDE w:val="0"/>
              <w:autoSpaceDN w:val="0"/>
              <w:adjustRightInd w:val="0"/>
              <w:snapToGrid w:val="0"/>
              <w:spacing w:before="81"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6443000A">
            <w:pPr>
              <w:widowControl/>
              <w:kinsoku w:val="0"/>
              <w:autoSpaceDE w:val="0"/>
              <w:autoSpaceDN w:val="0"/>
              <w:adjustRightInd w:val="0"/>
              <w:snapToGrid w:val="0"/>
              <w:spacing w:before="81"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100≤X＜2000</w:t>
            </w:r>
          </w:p>
        </w:tc>
        <w:tc>
          <w:tcPr>
            <w:tcW w:w="1614" w:type="dxa"/>
            <w:noWrap w:val="0"/>
            <w:vAlign w:val="top"/>
          </w:tcPr>
          <w:p w14:paraId="4B201222">
            <w:pPr>
              <w:widowControl/>
              <w:kinsoku w:val="0"/>
              <w:autoSpaceDE w:val="0"/>
              <w:autoSpaceDN w:val="0"/>
              <w:adjustRightInd w:val="0"/>
              <w:snapToGrid w:val="0"/>
              <w:spacing w:before="81"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63F0D072">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436D8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390A9528">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16BD8176">
            <w:pPr>
              <w:widowControl/>
              <w:kinsoku w:val="0"/>
              <w:autoSpaceDE w:val="0"/>
              <w:autoSpaceDN w:val="0"/>
              <w:adjustRightInd w:val="0"/>
              <w:snapToGrid w:val="0"/>
              <w:spacing w:before="80"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53CB6D3E">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37CC2404">
            <w:pPr>
              <w:widowControl/>
              <w:kinsoku w:val="0"/>
              <w:autoSpaceDE w:val="0"/>
              <w:autoSpaceDN w:val="0"/>
              <w:adjustRightInd w:val="0"/>
              <w:snapToGrid w:val="0"/>
              <w:spacing w:before="80"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1000≤Y＜100000</w:t>
            </w:r>
          </w:p>
        </w:tc>
        <w:tc>
          <w:tcPr>
            <w:tcW w:w="1614" w:type="dxa"/>
            <w:noWrap w:val="0"/>
            <w:vAlign w:val="top"/>
          </w:tcPr>
          <w:p w14:paraId="062649F8">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100≤Y＜1000</w:t>
            </w:r>
          </w:p>
        </w:tc>
        <w:tc>
          <w:tcPr>
            <w:tcW w:w="1080" w:type="dxa"/>
            <w:noWrap w:val="0"/>
            <w:vAlign w:val="top"/>
          </w:tcPr>
          <w:p w14:paraId="5C58AE45">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7216F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62BF7EFB">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rPr>
            </w:pPr>
            <w:r>
              <w:rPr>
                <w:rFonts w:hint="eastAsia" w:ascii="宋体" w:hAnsi="宋体" w:cs="宋体"/>
                <w:snapToGrid w:val="0"/>
                <w:color w:val="auto"/>
                <w:kern w:val="0"/>
                <w:sz w:val="18"/>
                <w:szCs w:val="18"/>
                <w:highlight w:val="none"/>
              </w:rPr>
              <w:t>软件和信息技术服务业</w:t>
            </w:r>
          </w:p>
        </w:tc>
        <w:tc>
          <w:tcPr>
            <w:tcW w:w="1882" w:type="dxa"/>
            <w:noWrap w:val="0"/>
            <w:vAlign w:val="top"/>
          </w:tcPr>
          <w:p w14:paraId="7D41C83E">
            <w:pPr>
              <w:widowControl/>
              <w:kinsoku w:val="0"/>
              <w:autoSpaceDE w:val="0"/>
              <w:autoSpaceDN w:val="0"/>
              <w:adjustRightInd w:val="0"/>
              <w:snapToGrid w:val="0"/>
              <w:spacing w:before="79"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21B82091">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19D2FE1B">
            <w:pPr>
              <w:widowControl/>
              <w:kinsoku w:val="0"/>
              <w:autoSpaceDE w:val="0"/>
              <w:autoSpaceDN w:val="0"/>
              <w:adjustRightInd w:val="0"/>
              <w:snapToGrid w:val="0"/>
              <w:spacing w:before="79"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614" w:type="dxa"/>
            <w:noWrap w:val="0"/>
            <w:vAlign w:val="top"/>
          </w:tcPr>
          <w:p w14:paraId="655C84E4">
            <w:pPr>
              <w:widowControl/>
              <w:kinsoku w:val="0"/>
              <w:autoSpaceDE w:val="0"/>
              <w:autoSpaceDN w:val="0"/>
              <w:adjustRightInd w:val="0"/>
              <w:snapToGrid w:val="0"/>
              <w:spacing w:before="79"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77648710">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2F2BB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0158C20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525FF511">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76BC65E9">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1C3F7E25">
            <w:pPr>
              <w:widowControl/>
              <w:kinsoku w:val="0"/>
              <w:autoSpaceDE w:val="0"/>
              <w:autoSpaceDN w:val="0"/>
              <w:adjustRightInd w:val="0"/>
              <w:snapToGrid w:val="0"/>
              <w:spacing w:before="79"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1000≤Y＜10000</w:t>
            </w:r>
          </w:p>
        </w:tc>
        <w:tc>
          <w:tcPr>
            <w:tcW w:w="1614" w:type="dxa"/>
            <w:noWrap w:val="0"/>
            <w:vAlign w:val="top"/>
          </w:tcPr>
          <w:p w14:paraId="4572E9A8">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50≤Y＜1000</w:t>
            </w:r>
          </w:p>
        </w:tc>
        <w:tc>
          <w:tcPr>
            <w:tcW w:w="1080" w:type="dxa"/>
            <w:noWrap w:val="0"/>
            <w:vAlign w:val="top"/>
          </w:tcPr>
          <w:p w14:paraId="73939C80">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Y＜50</w:t>
            </w:r>
          </w:p>
        </w:tc>
      </w:tr>
      <w:tr w14:paraId="1E44B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405A91A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房地产开发经营</w:t>
            </w:r>
          </w:p>
        </w:tc>
        <w:tc>
          <w:tcPr>
            <w:tcW w:w="1882" w:type="dxa"/>
            <w:noWrap w:val="0"/>
            <w:vAlign w:val="top"/>
          </w:tcPr>
          <w:p w14:paraId="23D10804">
            <w:pPr>
              <w:widowControl/>
              <w:kinsoku w:val="0"/>
              <w:autoSpaceDE w:val="0"/>
              <w:autoSpaceDN w:val="0"/>
              <w:adjustRightInd w:val="0"/>
              <w:snapToGrid w:val="0"/>
              <w:spacing w:before="81"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1A42F2FF">
            <w:pPr>
              <w:widowControl/>
              <w:kinsoku w:val="0"/>
              <w:autoSpaceDE w:val="0"/>
              <w:autoSpaceDN w:val="0"/>
              <w:adjustRightInd w:val="0"/>
              <w:snapToGrid w:val="0"/>
              <w:spacing w:before="81"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5B6D9662">
            <w:pPr>
              <w:widowControl/>
              <w:kinsoku w:val="0"/>
              <w:autoSpaceDE w:val="0"/>
              <w:autoSpaceDN w:val="0"/>
              <w:adjustRightInd w:val="0"/>
              <w:snapToGrid w:val="0"/>
              <w:spacing w:before="81"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1000≤Y＜200000</w:t>
            </w:r>
          </w:p>
        </w:tc>
        <w:tc>
          <w:tcPr>
            <w:tcW w:w="1614" w:type="dxa"/>
            <w:noWrap w:val="0"/>
            <w:vAlign w:val="top"/>
          </w:tcPr>
          <w:p w14:paraId="30759CA1">
            <w:pPr>
              <w:widowControl/>
              <w:kinsoku w:val="0"/>
              <w:autoSpaceDE w:val="0"/>
              <w:autoSpaceDN w:val="0"/>
              <w:adjustRightInd w:val="0"/>
              <w:snapToGrid w:val="0"/>
              <w:spacing w:before="81"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100≤X＜1000</w:t>
            </w:r>
          </w:p>
        </w:tc>
        <w:tc>
          <w:tcPr>
            <w:tcW w:w="1080" w:type="dxa"/>
            <w:noWrap w:val="0"/>
            <w:vAlign w:val="top"/>
          </w:tcPr>
          <w:p w14:paraId="21BDBC1A">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X＜100</w:t>
            </w:r>
          </w:p>
        </w:tc>
      </w:tr>
      <w:tr w14:paraId="38C49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2D89BB92">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5F4CF5DC">
            <w:pPr>
              <w:widowControl/>
              <w:kinsoku w:val="0"/>
              <w:autoSpaceDE w:val="0"/>
              <w:autoSpaceDN w:val="0"/>
              <w:adjustRightInd w:val="0"/>
              <w:snapToGrid w:val="0"/>
              <w:spacing w:before="80" w:line="220" w:lineRule="auto"/>
              <w:ind w:left="118"/>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资产总额（Z）</w:t>
            </w:r>
          </w:p>
        </w:tc>
        <w:tc>
          <w:tcPr>
            <w:tcW w:w="1093" w:type="dxa"/>
            <w:noWrap w:val="0"/>
            <w:vAlign w:val="top"/>
          </w:tcPr>
          <w:p w14:paraId="37AE5405">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33881FAC">
            <w:pPr>
              <w:widowControl/>
              <w:kinsoku w:val="0"/>
              <w:autoSpaceDE w:val="0"/>
              <w:autoSpaceDN w:val="0"/>
              <w:adjustRightInd w:val="0"/>
              <w:snapToGrid w:val="0"/>
              <w:spacing w:before="80"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5000≤Z＜10000</w:t>
            </w:r>
          </w:p>
        </w:tc>
        <w:tc>
          <w:tcPr>
            <w:tcW w:w="1614" w:type="dxa"/>
            <w:noWrap w:val="0"/>
            <w:vAlign w:val="top"/>
          </w:tcPr>
          <w:p w14:paraId="0572D63B">
            <w:pPr>
              <w:widowControl/>
              <w:kinsoku w:val="0"/>
              <w:autoSpaceDE w:val="0"/>
              <w:autoSpaceDN w:val="0"/>
              <w:adjustRightInd w:val="0"/>
              <w:snapToGrid w:val="0"/>
              <w:spacing w:before="80" w:line="237"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2000≤Y＜5000</w:t>
            </w:r>
          </w:p>
        </w:tc>
        <w:tc>
          <w:tcPr>
            <w:tcW w:w="1080" w:type="dxa"/>
            <w:noWrap w:val="0"/>
            <w:vAlign w:val="top"/>
          </w:tcPr>
          <w:p w14:paraId="76CE3B02">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Y＜2000</w:t>
            </w:r>
          </w:p>
        </w:tc>
      </w:tr>
      <w:tr w14:paraId="6365A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29E3B373">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物业管理</w:t>
            </w:r>
          </w:p>
        </w:tc>
        <w:tc>
          <w:tcPr>
            <w:tcW w:w="1882" w:type="dxa"/>
            <w:noWrap w:val="0"/>
            <w:vAlign w:val="top"/>
          </w:tcPr>
          <w:p w14:paraId="1968060B">
            <w:pPr>
              <w:widowControl/>
              <w:kinsoku w:val="0"/>
              <w:autoSpaceDE w:val="0"/>
              <w:autoSpaceDN w:val="0"/>
              <w:adjustRightInd w:val="0"/>
              <w:snapToGrid w:val="0"/>
              <w:spacing w:before="79"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0FBB7DEF">
            <w:pPr>
              <w:widowControl/>
              <w:kinsoku w:val="0"/>
              <w:autoSpaceDE w:val="0"/>
              <w:autoSpaceDN w:val="0"/>
              <w:adjustRightInd w:val="0"/>
              <w:snapToGrid w:val="0"/>
              <w:spacing w:before="80"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0080D1D7">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300≤X＜1000</w:t>
            </w:r>
          </w:p>
        </w:tc>
        <w:tc>
          <w:tcPr>
            <w:tcW w:w="1614" w:type="dxa"/>
            <w:noWrap w:val="0"/>
            <w:vAlign w:val="top"/>
          </w:tcPr>
          <w:p w14:paraId="6D8B1A7A">
            <w:pPr>
              <w:widowControl/>
              <w:kinsoku w:val="0"/>
              <w:autoSpaceDE w:val="0"/>
              <w:autoSpaceDN w:val="0"/>
              <w:adjustRightInd w:val="0"/>
              <w:snapToGrid w:val="0"/>
              <w:spacing w:before="79"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080" w:type="dxa"/>
            <w:noWrap w:val="0"/>
            <w:vAlign w:val="top"/>
          </w:tcPr>
          <w:p w14:paraId="5A07996F">
            <w:pPr>
              <w:widowControl/>
              <w:kinsoku w:val="0"/>
              <w:autoSpaceDE w:val="0"/>
              <w:autoSpaceDN w:val="0"/>
              <w:adjustRightInd w:val="0"/>
              <w:snapToGrid w:val="0"/>
              <w:spacing w:before="80"/>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X＜100</w:t>
            </w:r>
          </w:p>
        </w:tc>
      </w:tr>
      <w:tr w14:paraId="25F73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686B13BD">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318DC85A">
            <w:pPr>
              <w:widowControl/>
              <w:kinsoku w:val="0"/>
              <w:autoSpaceDE w:val="0"/>
              <w:autoSpaceDN w:val="0"/>
              <w:adjustRightInd w:val="0"/>
              <w:snapToGrid w:val="0"/>
              <w:spacing w:before="79" w:line="220"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营业收入（Y）</w:t>
            </w:r>
          </w:p>
        </w:tc>
        <w:tc>
          <w:tcPr>
            <w:tcW w:w="1093" w:type="dxa"/>
            <w:noWrap w:val="0"/>
            <w:vAlign w:val="top"/>
          </w:tcPr>
          <w:p w14:paraId="454BED3A">
            <w:pPr>
              <w:widowControl/>
              <w:kinsoku w:val="0"/>
              <w:autoSpaceDE w:val="0"/>
              <w:autoSpaceDN w:val="0"/>
              <w:adjustRightInd w:val="0"/>
              <w:snapToGrid w:val="0"/>
              <w:spacing w:before="79"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1C1B24F4">
            <w:pPr>
              <w:widowControl/>
              <w:kinsoku w:val="0"/>
              <w:autoSpaceDE w:val="0"/>
              <w:autoSpaceDN w:val="0"/>
              <w:adjustRightInd w:val="0"/>
              <w:snapToGrid w:val="0"/>
              <w:spacing w:before="79"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1000≤Y＜5000</w:t>
            </w:r>
          </w:p>
        </w:tc>
        <w:tc>
          <w:tcPr>
            <w:tcW w:w="1614" w:type="dxa"/>
            <w:noWrap w:val="0"/>
            <w:vAlign w:val="top"/>
          </w:tcPr>
          <w:p w14:paraId="26D2BE71">
            <w:pPr>
              <w:widowControl/>
              <w:kinsoku w:val="0"/>
              <w:autoSpaceDE w:val="0"/>
              <w:autoSpaceDN w:val="0"/>
              <w:adjustRightInd w:val="0"/>
              <w:snapToGrid w:val="0"/>
              <w:spacing w:before="79" w:line="237" w:lineRule="auto"/>
              <w:ind w:left="11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500≤Y＜1000</w:t>
            </w:r>
          </w:p>
        </w:tc>
        <w:tc>
          <w:tcPr>
            <w:tcW w:w="1080" w:type="dxa"/>
            <w:noWrap w:val="0"/>
            <w:vAlign w:val="top"/>
          </w:tcPr>
          <w:p w14:paraId="05F18452">
            <w:pPr>
              <w:widowControl/>
              <w:kinsoku w:val="0"/>
              <w:autoSpaceDE w:val="0"/>
              <w:autoSpaceDN w:val="0"/>
              <w:adjustRightInd w:val="0"/>
              <w:snapToGrid w:val="0"/>
              <w:spacing w:before="79"/>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Y＜500</w:t>
            </w:r>
          </w:p>
        </w:tc>
      </w:tr>
      <w:tr w14:paraId="11F8A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restart"/>
            <w:tcBorders>
              <w:bottom w:val="nil"/>
            </w:tcBorders>
            <w:noWrap w:val="0"/>
            <w:vAlign w:val="center"/>
          </w:tcPr>
          <w:p w14:paraId="172AC608">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租赁和商务服务业</w:t>
            </w:r>
          </w:p>
        </w:tc>
        <w:tc>
          <w:tcPr>
            <w:tcW w:w="1882" w:type="dxa"/>
            <w:noWrap w:val="0"/>
            <w:vAlign w:val="top"/>
          </w:tcPr>
          <w:p w14:paraId="5AC21CE9">
            <w:pPr>
              <w:widowControl/>
              <w:kinsoku w:val="0"/>
              <w:autoSpaceDE w:val="0"/>
              <w:autoSpaceDN w:val="0"/>
              <w:adjustRightInd w:val="0"/>
              <w:snapToGrid w:val="0"/>
              <w:spacing w:before="81"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2D218C05">
            <w:pPr>
              <w:widowControl/>
              <w:kinsoku w:val="0"/>
              <w:autoSpaceDE w:val="0"/>
              <w:autoSpaceDN w:val="0"/>
              <w:adjustRightInd w:val="0"/>
              <w:snapToGrid w:val="0"/>
              <w:spacing w:before="81"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4028BBB6">
            <w:pPr>
              <w:widowControl/>
              <w:kinsoku w:val="0"/>
              <w:autoSpaceDE w:val="0"/>
              <w:autoSpaceDN w:val="0"/>
              <w:adjustRightInd w:val="0"/>
              <w:snapToGrid w:val="0"/>
              <w:spacing w:before="81"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614" w:type="dxa"/>
            <w:noWrap w:val="0"/>
            <w:vAlign w:val="top"/>
          </w:tcPr>
          <w:p w14:paraId="158BB861">
            <w:pPr>
              <w:widowControl/>
              <w:kinsoku w:val="0"/>
              <w:autoSpaceDE w:val="0"/>
              <w:autoSpaceDN w:val="0"/>
              <w:adjustRightInd w:val="0"/>
              <w:snapToGrid w:val="0"/>
              <w:spacing w:before="81"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07189CD8">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r w14:paraId="389C1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88" w:type="dxa"/>
            <w:vMerge w:val="continue"/>
            <w:tcBorders>
              <w:top w:val="nil"/>
            </w:tcBorders>
            <w:noWrap w:val="0"/>
            <w:vAlign w:val="center"/>
          </w:tcPr>
          <w:p w14:paraId="590E73DB">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p>
        </w:tc>
        <w:tc>
          <w:tcPr>
            <w:tcW w:w="1882" w:type="dxa"/>
            <w:noWrap w:val="0"/>
            <w:vAlign w:val="top"/>
          </w:tcPr>
          <w:p w14:paraId="23C798A7">
            <w:pPr>
              <w:widowControl/>
              <w:kinsoku w:val="0"/>
              <w:autoSpaceDE w:val="0"/>
              <w:autoSpaceDN w:val="0"/>
              <w:adjustRightInd w:val="0"/>
              <w:snapToGrid w:val="0"/>
              <w:spacing w:before="80" w:line="220" w:lineRule="auto"/>
              <w:ind w:left="118"/>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资产总额（Z）</w:t>
            </w:r>
          </w:p>
        </w:tc>
        <w:tc>
          <w:tcPr>
            <w:tcW w:w="1093" w:type="dxa"/>
            <w:noWrap w:val="0"/>
            <w:vAlign w:val="top"/>
          </w:tcPr>
          <w:p w14:paraId="72892D2D">
            <w:pPr>
              <w:widowControl/>
              <w:kinsoku w:val="0"/>
              <w:autoSpaceDE w:val="0"/>
              <w:autoSpaceDN w:val="0"/>
              <w:adjustRightInd w:val="0"/>
              <w:snapToGrid w:val="0"/>
              <w:spacing w:before="80" w:line="221" w:lineRule="auto"/>
              <w:ind w:left="11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6"/>
                <w:kern w:val="0"/>
                <w:sz w:val="18"/>
                <w:szCs w:val="18"/>
                <w:highlight w:val="none"/>
                <w:lang w:eastAsia="en-US"/>
              </w:rPr>
              <w:t>万元</w:t>
            </w:r>
          </w:p>
        </w:tc>
        <w:tc>
          <w:tcPr>
            <w:tcW w:w="1747" w:type="dxa"/>
            <w:noWrap w:val="0"/>
            <w:vAlign w:val="top"/>
          </w:tcPr>
          <w:p w14:paraId="6D23F28A">
            <w:pPr>
              <w:widowControl/>
              <w:kinsoku w:val="0"/>
              <w:autoSpaceDE w:val="0"/>
              <w:autoSpaceDN w:val="0"/>
              <w:adjustRightInd w:val="0"/>
              <w:snapToGrid w:val="0"/>
              <w:spacing w:before="80" w:line="237" w:lineRule="auto"/>
              <w:ind w:left="114"/>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8000≤Z＜120000</w:t>
            </w:r>
          </w:p>
        </w:tc>
        <w:tc>
          <w:tcPr>
            <w:tcW w:w="1614" w:type="dxa"/>
            <w:noWrap w:val="0"/>
            <w:vAlign w:val="top"/>
          </w:tcPr>
          <w:p w14:paraId="029A3E66">
            <w:pPr>
              <w:widowControl/>
              <w:kinsoku w:val="0"/>
              <w:autoSpaceDE w:val="0"/>
              <w:autoSpaceDN w:val="0"/>
              <w:adjustRightInd w:val="0"/>
              <w:snapToGrid w:val="0"/>
              <w:spacing w:before="80"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100≤Z＜8000</w:t>
            </w:r>
          </w:p>
        </w:tc>
        <w:tc>
          <w:tcPr>
            <w:tcW w:w="1080" w:type="dxa"/>
            <w:noWrap w:val="0"/>
            <w:vAlign w:val="top"/>
          </w:tcPr>
          <w:p w14:paraId="79847A0D">
            <w:pPr>
              <w:widowControl/>
              <w:kinsoku w:val="0"/>
              <w:autoSpaceDE w:val="0"/>
              <w:autoSpaceDN w:val="0"/>
              <w:adjustRightInd w:val="0"/>
              <w:snapToGrid w:val="0"/>
              <w:spacing w:before="81"/>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1"/>
                <w:kern w:val="0"/>
                <w:sz w:val="18"/>
                <w:szCs w:val="18"/>
                <w:highlight w:val="none"/>
                <w:lang w:eastAsia="en-US"/>
              </w:rPr>
              <w:t>Y＜100</w:t>
            </w:r>
          </w:p>
        </w:tc>
      </w:tr>
      <w:tr w14:paraId="3F66B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88" w:type="dxa"/>
            <w:noWrap w:val="0"/>
            <w:vAlign w:val="center"/>
          </w:tcPr>
          <w:p w14:paraId="74B17D3F">
            <w:pPr>
              <w:widowControl/>
              <w:kinsoku w:val="0"/>
              <w:autoSpaceDE w:val="0"/>
              <w:autoSpaceDN w:val="0"/>
              <w:adjustRightInd w:val="0"/>
              <w:snapToGrid w:val="0"/>
              <w:spacing w:before="81" w:line="220" w:lineRule="auto"/>
              <w:jc w:val="center"/>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其他未列明行业</w:t>
            </w:r>
          </w:p>
        </w:tc>
        <w:tc>
          <w:tcPr>
            <w:tcW w:w="1882" w:type="dxa"/>
            <w:noWrap w:val="0"/>
            <w:vAlign w:val="top"/>
          </w:tcPr>
          <w:p w14:paraId="76E129B5">
            <w:pPr>
              <w:widowControl/>
              <w:kinsoku w:val="0"/>
              <w:autoSpaceDE w:val="0"/>
              <w:autoSpaceDN w:val="0"/>
              <w:adjustRightInd w:val="0"/>
              <w:snapToGrid w:val="0"/>
              <w:spacing w:before="84" w:line="221" w:lineRule="auto"/>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从业人员（X）</w:t>
            </w:r>
          </w:p>
        </w:tc>
        <w:tc>
          <w:tcPr>
            <w:tcW w:w="1093" w:type="dxa"/>
            <w:noWrap w:val="0"/>
            <w:vAlign w:val="top"/>
          </w:tcPr>
          <w:p w14:paraId="2640AEF5">
            <w:pPr>
              <w:widowControl/>
              <w:kinsoku w:val="0"/>
              <w:autoSpaceDE w:val="0"/>
              <w:autoSpaceDN w:val="0"/>
              <w:adjustRightInd w:val="0"/>
              <w:snapToGrid w:val="0"/>
              <w:spacing w:before="84" w:line="223" w:lineRule="auto"/>
              <w:ind w:left="113"/>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kern w:val="0"/>
                <w:sz w:val="18"/>
                <w:szCs w:val="18"/>
                <w:highlight w:val="none"/>
                <w:lang w:eastAsia="en-US"/>
              </w:rPr>
              <w:t>人</w:t>
            </w:r>
          </w:p>
        </w:tc>
        <w:tc>
          <w:tcPr>
            <w:tcW w:w="1747" w:type="dxa"/>
            <w:noWrap w:val="0"/>
            <w:vAlign w:val="top"/>
          </w:tcPr>
          <w:p w14:paraId="4E611522">
            <w:pPr>
              <w:widowControl/>
              <w:kinsoku w:val="0"/>
              <w:autoSpaceDE w:val="0"/>
              <w:autoSpaceDN w:val="0"/>
              <w:adjustRightInd w:val="0"/>
              <w:snapToGrid w:val="0"/>
              <w:spacing w:before="84" w:line="237" w:lineRule="auto"/>
              <w:ind w:left="126"/>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100≤X＜300</w:t>
            </w:r>
          </w:p>
        </w:tc>
        <w:tc>
          <w:tcPr>
            <w:tcW w:w="1614" w:type="dxa"/>
            <w:noWrap w:val="0"/>
            <w:vAlign w:val="top"/>
          </w:tcPr>
          <w:p w14:paraId="508E0EE7">
            <w:pPr>
              <w:widowControl/>
              <w:kinsoku w:val="0"/>
              <w:autoSpaceDE w:val="0"/>
              <w:autoSpaceDN w:val="0"/>
              <w:adjustRightInd w:val="0"/>
              <w:snapToGrid w:val="0"/>
              <w:spacing w:before="84" w:line="237" w:lineRule="auto"/>
              <w:ind w:left="127"/>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3"/>
                <w:kern w:val="0"/>
                <w:sz w:val="18"/>
                <w:szCs w:val="18"/>
                <w:highlight w:val="none"/>
                <w:lang w:eastAsia="en-US"/>
              </w:rPr>
              <w:t>10≤X＜100</w:t>
            </w:r>
          </w:p>
        </w:tc>
        <w:tc>
          <w:tcPr>
            <w:tcW w:w="1080" w:type="dxa"/>
            <w:noWrap w:val="0"/>
            <w:vAlign w:val="top"/>
          </w:tcPr>
          <w:p w14:paraId="19EF1730">
            <w:pPr>
              <w:widowControl/>
              <w:kinsoku w:val="0"/>
              <w:autoSpaceDE w:val="0"/>
              <w:autoSpaceDN w:val="0"/>
              <w:adjustRightInd w:val="0"/>
              <w:snapToGrid w:val="0"/>
              <w:spacing w:before="85"/>
              <w:ind w:left="112"/>
              <w:jc w:val="left"/>
              <w:textAlignment w:val="baseline"/>
              <w:rPr>
                <w:rFonts w:hint="eastAsia" w:ascii="宋体" w:hAnsi="宋体" w:cs="宋体"/>
                <w:snapToGrid w:val="0"/>
                <w:color w:val="auto"/>
                <w:kern w:val="0"/>
                <w:sz w:val="18"/>
                <w:szCs w:val="18"/>
                <w:highlight w:val="none"/>
                <w:lang w:eastAsia="en-US"/>
              </w:rPr>
            </w:pPr>
            <w:r>
              <w:rPr>
                <w:rFonts w:hint="eastAsia" w:ascii="宋体" w:hAnsi="宋体" w:cs="宋体"/>
                <w:snapToGrid w:val="0"/>
                <w:color w:val="auto"/>
                <w:spacing w:val="-2"/>
                <w:kern w:val="0"/>
                <w:sz w:val="18"/>
                <w:szCs w:val="18"/>
                <w:highlight w:val="none"/>
                <w:lang w:eastAsia="en-US"/>
              </w:rPr>
              <w:t>X＜10</w:t>
            </w:r>
          </w:p>
        </w:tc>
      </w:tr>
    </w:tbl>
    <w:p w14:paraId="7C19F2BE">
      <w:pPr>
        <w:widowControl/>
        <w:kinsoku w:val="0"/>
        <w:autoSpaceDE w:val="0"/>
        <w:autoSpaceDN w:val="0"/>
        <w:adjustRightInd w:val="0"/>
        <w:snapToGrid w:val="0"/>
        <w:spacing w:before="268" w:line="500" w:lineRule="exact"/>
        <w:textAlignment w:val="baseline"/>
        <w:rPr>
          <w:rFonts w:hint="eastAsia" w:ascii="宋体" w:hAnsi="宋体" w:cs="宋体"/>
          <w:snapToGrid w:val="0"/>
          <w:color w:val="auto"/>
          <w:spacing w:val="4"/>
          <w:kern w:val="0"/>
          <w:szCs w:val="21"/>
          <w:highlight w:val="none"/>
        </w:rPr>
      </w:pPr>
      <w:r>
        <w:rPr>
          <w:rFonts w:hint="eastAsia" w:ascii="宋体" w:hAnsi="宋体" w:cs="宋体"/>
          <w:snapToGrid w:val="0"/>
          <w:color w:val="auto"/>
          <w:spacing w:val="9"/>
          <w:kern w:val="0"/>
          <w:szCs w:val="21"/>
          <w:highlight w:val="none"/>
        </w:rPr>
        <w:t>说明：上述标准参照《关于印发中小企业划</w:t>
      </w:r>
      <w:r>
        <w:rPr>
          <w:rFonts w:hint="eastAsia" w:ascii="宋体" w:hAnsi="宋体" w:cs="宋体"/>
          <w:snapToGrid w:val="0"/>
          <w:color w:val="auto"/>
          <w:spacing w:val="8"/>
          <w:kern w:val="0"/>
          <w:szCs w:val="21"/>
          <w:highlight w:val="none"/>
        </w:rPr>
        <w:t>型标准规定的通知》（工信部联企业〔2011〕300号</w:t>
      </w:r>
      <w:r>
        <w:rPr>
          <w:rFonts w:hint="eastAsia" w:ascii="宋体" w:hAnsi="宋体" w:cs="宋体"/>
          <w:snapToGrid w:val="0"/>
          <w:color w:val="auto"/>
          <w:spacing w:val="-15"/>
          <w:kern w:val="0"/>
          <w:szCs w:val="21"/>
          <w:highlight w:val="none"/>
        </w:rPr>
        <w:t>），</w:t>
      </w:r>
      <w:r>
        <w:rPr>
          <w:rFonts w:hint="eastAsia" w:ascii="宋体" w:hAnsi="宋体" w:cs="宋体"/>
          <w:snapToGrid w:val="0"/>
          <w:color w:val="auto"/>
          <w:spacing w:val="9"/>
          <w:kern w:val="0"/>
          <w:szCs w:val="21"/>
          <w:highlight w:val="none"/>
        </w:rPr>
        <w:t>大型、中型和小型企业须同时满足所列指标的下限，否则下划一档；微型企业只须满足</w:t>
      </w:r>
      <w:r>
        <w:rPr>
          <w:rFonts w:hint="eastAsia" w:ascii="宋体" w:hAnsi="宋体" w:cs="宋体"/>
          <w:snapToGrid w:val="0"/>
          <w:color w:val="auto"/>
          <w:spacing w:val="8"/>
          <w:kern w:val="0"/>
          <w:szCs w:val="21"/>
          <w:highlight w:val="none"/>
        </w:rPr>
        <w:t>所列指标中的一</w:t>
      </w:r>
      <w:r>
        <w:rPr>
          <w:rFonts w:hint="eastAsia" w:ascii="宋体" w:hAnsi="宋体" w:cs="宋体"/>
          <w:snapToGrid w:val="0"/>
          <w:color w:val="auto"/>
          <w:spacing w:val="4"/>
          <w:kern w:val="0"/>
          <w:szCs w:val="21"/>
          <w:highlight w:val="none"/>
        </w:rPr>
        <w:t>项即可。</w:t>
      </w:r>
    </w:p>
    <w:p w14:paraId="7AEE42F7">
      <w:pPr>
        <w:widowControl/>
        <w:kinsoku w:val="0"/>
        <w:autoSpaceDE w:val="0"/>
        <w:autoSpaceDN w:val="0"/>
        <w:adjustRightInd w:val="0"/>
        <w:snapToGrid w:val="0"/>
        <w:spacing w:before="268" w:line="517" w:lineRule="auto"/>
        <w:textAlignment w:val="baseline"/>
        <w:rPr>
          <w:rFonts w:hint="eastAsia" w:ascii="宋体" w:hAnsi="宋体" w:cs="宋体"/>
          <w:color w:val="auto"/>
          <w:sz w:val="20"/>
          <w:szCs w:val="20"/>
          <w:highlight w:val="none"/>
        </w:rPr>
        <w:sectPr>
          <w:headerReference r:id="rId18" w:type="first"/>
          <w:footerReference r:id="rId20" w:type="first"/>
          <w:headerReference r:id="rId17" w:type="default"/>
          <w:footerReference r:id="rId19" w:type="default"/>
          <w:pgSz w:w="11910" w:h="16840"/>
          <w:pgMar w:top="1304" w:right="1247" w:bottom="1304" w:left="1247" w:header="720" w:footer="720" w:gutter="0"/>
          <w:pgNumType w:fmt="decimal"/>
          <w:cols w:space="720" w:num="1"/>
          <w:titlePg/>
          <w:docGrid w:linePitch="286" w:charSpace="0"/>
        </w:sectPr>
      </w:pPr>
    </w:p>
    <w:p w14:paraId="21DFFBE3">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bookmarkStart w:id="80" w:name="_Toc20614"/>
      <w:bookmarkStart w:id="81" w:name="_Toc18193"/>
      <w:bookmarkStart w:id="82" w:name="_Toc7640"/>
      <w:bookmarkStart w:id="83" w:name="_Toc27433"/>
      <w:bookmarkStart w:id="84" w:name="_Toc2468"/>
      <w:bookmarkStart w:id="85" w:name="_Toc32530"/>
      <w:bookmarkStart w:id="86" w:name="_Toc18970"/>
      <w:bookmarkStart w:id="87" w:name="_Toc2462"/>
      <w:r>
        <w:rPr>
          <w:rFonts w:hint="eastAsia" w:ascii="宋体" w:hAnsi="宋体" w:cs="宋体"/>
          <w:color w:val="auto"/>
          <w:highlight w:val="none"/>
        </w:rPr>
        <w:t>第三章  投标人须知</w:t>
      </w:r>
      <w:bookmarkEnd w:id="80"/>
      <w:bookmarkEnd w:id="81"/>
      <w:bookmarkEnd w:id="82"/>
      <w:bookmarkEnd w:id="83"/>
      <w:bookmarkEnd w:id="84"/>
      <w:bookmarkEnd w:id="85"/>
      <w:bookmarkEnd w:id="86"/>
      <w:bookmarkEnd w:id="87"/>
    </w:p>
    <w:p w14:paraId="109FCE7C">
      <w:pPr>
        <w:jc w:val="center"/>
        <w:rPr>
          <w:rFonts w:hint="eastAsia" w:ascii="宋体" w:hAnsi="宋体" w:cs="宋体"/>
          <w:b/>
          <w:bCs/>
          <w:color w:val="auto"/>
          <w:sz w:val="36"/>
          <w:szCs w:val="36"/>
          <w:highlight w:val="none"/>
        </w:rPr>
      </w:pPr>
      <w:bookmarkStart w:id="88" w:name="_Toc254970526"/>
      <w:bookmarkStart w:id="89" w:name="_Toc254970667"/>
      <w:r>
        <w:rPr>
          <w:rFonts w:hint="eastAsia" w:ascii="宋体" w:hAnsi="宋体" w:cs="宋体"/>
          <w:b/>
          <w:bCs/>
          <w:color w:val="auto"/>
          <w:sz w:val="36"/>
          <w:szCs w:val="36"/>
          <w:highlight w:val="none"/>
        </w:rPr>
        <w:t>投标人须知前附表</w:t>
      </w:r>
      <w:bookmarkEnd w:id="88"/>
      <w:bookmarkEnd w:id="89"/>
    </w:p>
    <w:tbl>
      <w:tblPr>
        <w:tblStyle w:val="47"/>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344"/>
      </w:tblGrid>
      <w:tr w14:paraId="7E8F3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78AF185">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7D6591EB">
            <w:pPr>
              <w:keepNext w:val="0"/>
              <w:keepLines w:val="0"/>
              <w:pageBreakBefore w:val="0"/>
              <w:kinsoku/>
              <w:wordWrap/>
              <w:overflowPunct/>
              <w:topLinePunct w:val="0"/>
              <w:bidi w:val="0"/>
              <w:adjustRightInd/>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71D84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978" w:type="dxa"/>
            <w:tcBorders>
              <w:top w:val="single" w:color="auto" w:sz="4" w:space="0"/>
              <w:left w:val="single" w:color="auto" w:sz="4" w:space="0"/>
              <w:bottom w:val="single" w:color="auto" w:sz="4" w:space="0"/>
              <w:right w:val="single" w:color="auto" w:sz="4" w:space="0"/>
            </w:tcBorders>
            <w:noWrap w:val="0"/>
            <w:vAlign w:val="bottom"/>
          </w:tcPr>
          <w:p w14:paraId="568D1789">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90" w:name="_9.2"/>
            <w:bookmarkEnd w:id="90"/>
            <w:bookmarkStart w:id="91" w:name="_5"/>
            <w:bookmarkEnd w:id="91"/>
            <w:bookmarkStart w:id="92" w:name="_8.1"/>
            <w:bookmarkEnd w:id="92"/>
            <w:r>
              <w:rPr>
                <w:rFonts w:hint="eastAsia" w:ascii="宋体" w:hAnsi="宋体" w:eastAsia="宋体" w:cs="宋体"/>
                <w:color w:val="auto"/>
                <w:sz w:val="21"/>
                <w:szCs w:val="21"/>
                <w:highlight w:val="none"/>
              </w:rPr>
              <w:t>6.1</w:t>
            </w:r>
          </w:p>
        </w:tc>
        <w:tc>
          <w:tcPr>
            <w:tcW w:w="8344" w:type="dxa"/>
            <w:tcBorders>
              <w:top w:val="single" w:color="auto" w:sz="4" w:space="0"/>
              <w:left w:val="single" w:color="auto" w:sz="4" w:space="0"/>
              <w:bottom w:val="single" w:color="auto" w:sz="4" w:space="0"/>
              <w:right w:val="single" w:color="auto" w:sz="4" w:space="0"/>
            </w:tcBorders>
            <w:noWrap w:val="0"/>
            <w:vAlign w:val="bottom"/>
          </w:tcPr>
          <w:p w14:paraId="7F06D84B">
            <w:pPr>
              <w:pStyle w:val="17"/>
              <w:keepNext w:val="0"/>
              <w:keepLines w:val="0"/>
              <w:pageBreakBefore w:val="0"/>
              <w:kinsoku/>
              <w:wordWrap/>
              <w:overflowPunct/>
              <w:topLinePunct w:val="0"/>
              <w:bidi w:val="0"/>
              <w:adjustRightInd/>
              <w:spacing w:line="48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本项目是否接受联合体投标：详见招标公告。</w:t>
            </w:r>
          </w:p>
        </w:tc>
      </w:tr>
      <w:tr w14:paraId="6F54A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978" w:type="dxa"/>
            <w:tcBorders>
              <w:top w:val="single" w:color="auto" w:sz="4" w:space="0"/>
              <w:left w:val="single" w:color="auto" w:sz="4" w:space="0"/>
              <w:bottom w:val="single" w:color="auto" w:sz="4" w:space="0"/>
              <w:right w:val="single" w:color="auto" w:sz="4" w:space="0"/>
            </w:tcBorders>
            <w:noWrap w:val="0"/>
            <w:vAlign w:val="bottom"/>
          </w:tcPr>
          <w:p w14:paraId="6FC4350C">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8344" w:type="dxa"/>
            <w:tcBorders>
              <w:top w:val="single" w:color="auto" w:sz="4" w:space="0"/>
              <w:left w:val="single" w:color="auto" w:sz="4" w:space="0"/>
              <w:bottom w:val="single" w:color="auto" w:sz="4" w:space="0"/>
              <w:right w:val="single" w:color="auto" w:sz="4" w:space="0"/>
            </w:tcBorders>
            <w:noWrap w:val="0"/>
            <w:vAlign w:val="bottom"/>
          </w:tcPr>
          <w:p w14:paraId="1511E227">
            <w:pPr>
              <w:pStyle w:val="17"/>
              <w:keepNext w:val="0"/>
              <w:keepLines w:val="0"/>
              <w:pageBreakBefore w:val="0"/>
              <w:kinsoku/>
              <w:wordWrap/>
              <w:overflowPunct/>
              <w:topLinePunct w:val="0"/>
              <w:bidi w:val="0"/>
              <w:adjustRightInd/>
              <w:spacing w:line="48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联合体投标要求：</w:t>
            </w:r>
            <w:r>
              <w:rPr>
                <w:rFonts w:hint="eastAsia" w:ascii="宋体" w:hAnsi="宋体" w:cs="宋体"/>
                <w:color w:val="auto"/>
                <w:sz w:val="21"/>
                <w:szCs w:val="21"/>
                <w:highlight w:val="none"/>
                <w:lang w:val="en-US" w:eastAsia="zh-CN"/>
              </w:rPr>
              <w:t>无</w:t>
            </w:r>
            <w:r>
              <w:rPr>
                <w:rFonts w:hint="eastAsia" w:ascii="宋体" w:hAnsi="宋体" w:eastAsia="宋体" w:cs="宋体"/>
                <w:color w:val="auto"/>
                <w:sz w:val="21"/>
                <w:szCs w:val="21"/>
                <w:highlight w:val="none"/>
                <w:lang w:val="en-US" w:eastAsia="zh-CN"/>
              </w:rPr>
              <w:t>。</w:t>
            </w:r>
          </w:p>
        </w:tc>
      </w:tr>
      <w:tr w14:paraId="78EE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978" w:type="dxa"/>
            <w:tcBorders>
              <w:top w:val="single" w:color="auto" w:sz="4" w:space="0"/>
              <w:left w:val="single" w:color="auto" w:sz="4" w:space="0"/>
              <w:bottom w:val="single" w:color="auto" w:sz="4" w:space="0"/>
              <w:right w:val="single" w:color="auto" w:sz="4" w:space="0"/>
            </w:tcBorders>
            <w:noWrap w:val="0"/>
            <w:vAlign w:val="bottom"/>
          </w:tcPr>
          <w:p w14:paraId="7607CC59">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8344" w:type="dxa"/>
            <w:tcBorders>
              <w:top w:val="single" w:color="auto" w:sz="4" w:space="0"/>
              <w:left w:val="single" w:color="auto" w:sz="4" w:space="0"/>
              <w:bottom w:val="single" w:color="auto" w:sz="4" w:space="0"/>
              <w:right w:val="single" w:color="auto" w:sz="4" w:space="0"/>
            </w:tcBorders>
            <w:noWrap w:val="0"/>
            <w:vAlign w:val="bottom"/>
          </w:tcPr>
          <w:p w14:paraId="3AC70832">
            <w:pPr>
              <w:pStyle w:val="17"/>
              <w:keepNext w:val="0"/>
              <w:keepLines w:val="0"/>
              <w:pageBreakBefore w:val="0"/>
              <w:kinsoku/>
              <w:wordWrap/>
              <w:overflowPunct/>
              <w:topLinePunct w:val="0"/>
              <w:bidi w:val="0"/>
              <w:adjustRightInd/>
              <w:spacing w:line="480" w:lineRule="exact"/>
              <w:jc w:val="both"/>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不允许分包。</w:t>
            </w:r>
          </w:p>
        </w:tc>
      </w:tr>
      <w:tr w14:paraId="012FE9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978" w:type="dxa"/>
            <w:vMerge w:val="restart"/>
            <w:tcBorders>
              <w:top w:val="single" w:color="auto" w:sz="4" w:space="0"/>
              <w:left w:val="single" w:color="auto" w:sz="4" w:space="0"/>
              <w:right w:val="single" w:color="auto" w:sz="4" w:space="0"/>
            </w:tcBorders>
            <w:noWrap w:val="0"/>
            <w:vAlign w:val="center"/>
          </w:tcPr>
          <w:p w14:paraId="2C3B6CA7">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8344" w:type="dxa"/>
            <w:tcBorders>
              <w:top w:val="single" w:color="auto" w:sz="4" w:space="0"/>
              <w:left w:val="single" w:color="auto" w:sz="4" w:space="0"/>
              <w:bottom w:val="single" w:color="auto" w:sz="4" w:space="0"/>
              <w:right w:val="single" w:color="auto" w:sz="4" w:space="0"/>
            </w:tcBorders>
            <w:noWrap w:val="0"/>
            <w:vAlign w:val="bottom"/>
          </w:tcPr>
          <w:p w14:paraId="6BBEB1E9">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不组织现场考察</w:t>
            </w:r>
            <w:r>
              <w:rPr>
                <w:rFonts w:hint="eastAsia" w:ascii="宋体" w:hAnsi="宋体" w:eastAsia="宋体" w:cs="宋体"/>
                <w:color w:val="auto"/>
                <w:sz w:val="21"/>
                <w:szCs w:val="21"/>
                <w:highlight w:val="none"/>
                <w:lang w:eastAsia="zh-CN"/>
              </w:rPr>
              <w:t>。</w:t>
            </w:r>
          </w:p>
        </w:tc>
      </w:tr>
      <w:tr w14:paraId="6DB1F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78" w:type="dxa"/>
            <w:vMerge w:val="continue"/>
            <w:tcBorders>
              <w:left w:val="single" w:color="auto" w:sz="4" w:space="0"/>
              <w:bottom w:val="single" w:color="auto" w:sz="4" w:space="0"/>
              <w:right w:val="single" w:color="auto" w:sz="4" w:space="0"/>
            </w:tcBorders>
            <w:noWrap w:val="0"/>
            <w:vAlign w:val="center"/>
          </w:tcPr>
          <w:p w14:paraId="180FE841">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p>
        </w:tc>
        <w:tc>
          <w:tcPr>
            <w:tcW w:w="8344" w:type="dxa"/>
            <w:tcBorders>
              <w:top w:val="single" w:color="auto" w:sz="4" w:space="0"/>
              <w:left w:val="single" w:color="auto" w:sz="4" w:space="0"/>
              <w:bottom w:val="single" w:color="auto" w:sz="4" w:space="0"/>
              <w:right w:val="single" w:color="auto" w:sz="4" w:space="0"/>
            </w:tcBorders>
            <w:noWrap w:val="0"/>
            <w:vAlign w:val="bottom"/>
          </w:tcPr>
          <w:p w14:paraId="0495EA9D">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不组织召开开标前答疑会</w:t>
            </w:r>
            <w:r>
              <w:rPr>
                <w:rFonts w:hint="eastAsia" w:ascii="宋体" w:hAnsi="宋体" w:eastAsia="宋体" w:cs="宋体"/>
                <w:color w:val="auto"/>
                <w:sz w:val="21"/>
                <w:szCs w:val="21"/>
                <w:highlight w:val="none"/>
                <w:lang w:eastAsia="zh-CN"/>
              </w:rPr>
              <w:t>。</w:t>
            </w:r>
          </w:p>
        </w:tc>
      </w:tr>
      <w:tr w14:paraId="7D267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978" w:type="dxa"/>
            <w:vMerge w:val="restart"/>
            <w:tcBorders>
              <w:top w:val="single" w:color="auto" w:sz="4" w:space="0"/>
              <w:left w:val="single" w:color="auto" w:sz="4" w:space="0"/>
              <w:bottom w:val="single" w:color="auto" w:sz="4" w:space="0"/>
              <w:right w:val="single" w:color="auto" w:sz="4" w:space="0"/>
            </w:tcBorders>
            <w:noWrap w:val="0"/>
            <w:vAlign w:val="center"/>
          </w:tcPr>
          <w:p w14:paraId="784BB410">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93" w:name="_13.1"/>
            <w:bookmarkEnd w:id="93"/>
            <w:r>
              <w:rPr>
                <w:rFonts w:hint="eastAsia" w:ascii="宋体" w:hAnsi="宋体" w:eastAsia="宋体" w:cs="宋体"/>
                <w:color w:val="auto"/>
                <w:sz w:val="21"/>
                <w:szCs w:val="21"/>
                <w:highlight w:val="none"/>
              </w:rPr>
              <w:t>13</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3C5EAC66">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03EA9388">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1.投标人为法人或者其他组织的，提供营业执照等证明文件（如营业执照或者事业单位法人证书或者</w:t>
            </w:r>
            <w:r>
              <w:rPr>
                <w:rStyle w:val="96"/>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或者登记证书等），投标人为自然人的，提供身份证扫描件（格式自拟）；（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50BDCB7D">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2.投标人依法缴纳税收的相关材料（投标文件提交截止之日前</w:t>
            </w:r>
            <w:r>
              <w:rPr>
                <w:rFonts w:hint="eastAsia" w:ascii="宋体" w:hAnsi="宋体" w:cs="宋体"/>
                <w:color w:val="auto"/>
                <w:sz w:val="21"/>
                <w:szCs w:val="21"/>
                <w:highlight w:val="none"/>
                <w:lang w:val="en-US" w:eastAsia="zh-CN"/>
              </w:rPr>
              <w:t>半年</w:t>
            </w:r>
            <w:r>
              <w:rPr>
                <w:rFonts w:hint="eastAsia" w:ascii="宋体" w:hAnsi="宋体" w:eastAsia="宋体" w:cs="宋体"/>
                <w:color w:val="auto"/>
                <w:sz w:val="21"/>
                <w:szCs w:val="21"/>
                <w:highlight w:val="none"/>
              </w:rPr>
              <w:t>内投标人任意</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个月的依法缴纳税收的凭据扫描件；依法免税的投标人，必须提供相应文件证明其依法免税。从成立之日起到投标文件提交截止时间止不足要求月数的，只需提供从成立之日起的依法缴纳税收相应证明文件）（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3C9227F">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3.投标人依法缴纳社会保障资金的相关材料[投标文件提交截止之日前</w:t>
            </w:r>
            <w:r>
              <w:rPr>
                <w:rFonts w:hint="eastAsia" w:ascii="宋体" w:hAnsi="宋体" w:cs="宋体"/>
                <w:color w:val="auto"/>
                <w:sz w:val="21"/>
                <w:szCs w:val="21"/>
                <w:highlight w:val="none"/>
                <w:lang w:val="en-US" w:eastAsia="zh-CN"/>
              </w:rPr>
              <w:t>半年</w:t>
            </w:r>
            <w:r>
              <w:rPr>
                <w:rFonts w:hint="eastAsia" w:ascii="宋体" w:hAnsi="宋体" w:eastAsia="宋体" w:cs="宋体"/>
                <w:color w:val="auto"/>
                <w:sz w:val="21"/>
                <w:szCs w:val="21"/>
                <w:highlight w:val="none"/>
              </w:rPr>
              <w:t>内投标人任意</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个月的依法缴纳社会保障资金的缴费凭证（专用收据或者社会保险缴纳清单）扫描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7A8D348A">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4.投标人财务状况报告：[2024年</w:t>
            </w:r>
            <w:r>
              <w:rPr>
                <w:rFonts w:hint="eastAsia" w:ascii="宋体" w:hAnsi="宋体" w:eastAsia="宋体" w:cs="宋体"/>
                <w:color w:val="auto"/>
                <w:sz w:val="21"/>
                <w:szCs w:val="21"/>
                <w:highlight w:val="none"/>
                <w:lang w:val="en-US" w:eastAsia="zh-CN"/>
              </w:rPr>
              <w:t>或2025年</w:t>
            </w:r>
            <w:r>
              <w:rPr>
                <w:rFonts w:hint="eastAsia" w:ascii="宋体" w:hAnsi="宋体" w:eastAsia="宋体" w:cs="宋体"/>
                <w:color w:val="auto"/>
                <w:sz w:val="21"/>
                <w:szCs w:val="21"/>
                <w:highlight w:val="none"/>
              </w:rPr>
              <w:t>]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0A9E87F5">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5.投标声明（格式后附）；（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6A74FD0A">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6.投标人直接控股、管理关系信息表（格式后附）；</w:t>
            </w:r>
            <w:r>
              <w:rPr>
                <w:rFonts w:hint="eastAsia" w:ascii="宋体" w:hAnsi="宋体" w:eastAsia="宋体" w:cs="宋体"/>
                <w:b/>
                <w:color w:val="auto"/>
                <w:sz w:val="21"/>
                <w:szCs w:val="21"/>
                <w:highlight w:val="none"/>
              </w:rPr>
              <w:t>（必须提供，否则按无效投标处理）</w:t>
            </w:r>
          </w:p>
          <w:p w14:paraId="2696DEC4">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.除招标文件规定必须提供以外，投标人认为需要提供的其他证明材料（格式自拟）。</w:t>
            </w:r>
            <w:r>
              <w:rPr>
                <w:rFonts w:hint="eastAsia" w:ascii="宋体" w:hAnsi="宋体" w:eastAsia="宋体" w:cs="宋体"/>
                <w:b/>
                <w:bCs/>
                <w:color w:val="auto"/>
                <w:sz w:val="21"/>
                <w:szCs w:val="21"/>
                <w:highlight w:val="none"/>
              </w:rPr>
              <w:t>（如有请提供）</w:t>
            </w:r>
          </w:p>
          <w:p w14:paraId="45457281">
            <w:pPr>
              <w:keepNext w:val="0"/>
              <w:keepLines w:val="0"/>
              <w:pageBreakBefore w:val="0"/>
              <w:kinsoku/>
              <w:wordWrap/>
              <w:overflowPunct/>
              <w:topLinePunct w:val="0"/>
              <w:bidi w:val="0"/>
              <w:adjustRightInd/>
              <w:snapToGrid w:val="0"/>
              <w:spacing w:line="48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注：以上标明“必须提供”的材料属于复印件的扫描件，必须加盖投标人电子签章，否则按无效投标</w:t>
            </w:r>
            <w:r>
              <w:rPr>
                <w:rFonts w:hint="eastAsia" w:ascii="宋体" w:hAnsi="宋体" w:eastAsia="宋体" w:cs="宋体"/>
                <w:b/>
                <w:color w:val="auto"/>
                <w:sz w:val="21"/>
                <w:szCs w:val="21"/>
                <w:highlight w:val="none"/>
              </w:rPr>
              <w:t>处理。</w:t>
            </w:r>
          </w:p>
        </w:tc>
      </w:tr>
      <w:tr w14:paraId="1C4B2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4C08F7B2">
            <w:pPr>
              <w:keepNext w:val="0"/>
              <w:keepLines w:val="0"/>
              <w:pageBreakBefore w:val="0"/>
              <w:kinsoku/>
              <w:wordWrap/>
              <w:overflowPunct/>
              <w:topLinePunct w:val="0"/>
              <w:bidi w:val="0"/>
              <w:adjustRightInd/>
              <w:spacing w:line="480" w:lineRule="exact"/>
              <w:rPr>
                <w:rFonts w:hint="eastAsia" w:ascii="宋体" w:hAnsi="宋体" w:eastAsia="宋体" w:cs="宋体"/>
                <w:color w:val="auto"/>
                <w:sz w:val="21"/>
                <w:szCs w:val="21"/>
                <w:highlight w:val="none"/>
              </w:rPr>
            </w:pPr>
            <w:bookmarkStart w:id="94" w:name="_13.3"/>
            <w:bookmarkEnd w:id="94"/>
            <w:bookmarkStart w:id="95" w:name="_13.2"/>
            <w:bookmarkEnd w:id="95"/>
          </w:p>
        </w:tc>
        <w:tc>
          <w:tcPr>
            <w:tcW w:w="8344" w:type="dxa"/>
            <w:tcBorders>
              <w:top w:val="single" w:color="auto" w:sz="4" w:space="0"/>
              <w:left w:val="single" w:color="auto" w:sz="4" w:space="0"/>
              <w:bottom w:val="single" w:color="auto" w:sz="4" w:space="0"/>
              <w:right w:val="single" w:color="auto" w:sz="4" w:space="0"/>
            </w:tcBorders>
            <w:noWrap w:val="0"/>
            <w:vAlign w:val="center"/>
          </w:tcPr>
          <w:p w14:paraId="71C998B2">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商务技术文件</w:t>
            </w:r>
            <w:r>
              <w:rPr>
                <w:rFonts w:hint="eastAsia" w:ascii="宋体" w:hAnsi="宋体" w:eastAsia="宋体" w:cs="宋体"/>
                <w:b/>
                <w:color w:val="auto"/>
                <w:sz w:val="21"/>
                <w:szCs w:val="21"/>
                <w:highlight w:val="none"/>
              </w:rPr>
              <w:t>：</w:t>
            </w:r>
          </w:p>
          <w:p w14:paraId="181250E0">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商务文件：</w:t>
            </w:r>
          </w:p>
          <w:p w14:paraId="363C40F7">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159A9E1E">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2.投标保证金提交凭证；（</w:t>
            </w:r>
            <w:r>
              <w:rPr>
                <w:rFonts w:hint="eastAsia" w:ascii="宋体" w:hAnsi="宋体" w:eastAsia="宋体" w:cs="宋体"/>
                <w:b/>
                <w:bCs/>
                <w:color w:val="auto"/>
                <w:sz w:val="21"/>
                <w:szCs w:val="21"/>
                <w:highlight w:val="none"/>
              </w:rPr>
              <w:t>必须提供</w:t>
            </w:r>
            <w:r>
              <w:rPr>
                <w:rFonts w:hint="eastAsia" w:ascii="宋体" w:hAnsi="宋体" w:eastAsia="宋体" w:cs="宋体"/>
                <w:b/>
                <w:color w:val="auto"/>
                <w:sz w:val="21"/>
                <w:szCs w:val="21"/>
                <w:highlight w:val="none"/>
              </w:rPr>
              <w:t>，否则按无效投标处理</w:t>
            </w:r>
            <w:r>
              <w:rPr>
                <w:rFonts w:hint="eastAsia" w:ascii="宋体" w:hAnsi="宋体" w:eastAsia="宋体" w:cs="宋体"/>
                <w:color w:val="auto"/>
                <w:sz w:val="21"/>
                <w:szCs w:val="21"/>
                <w:highlight w:val="none"/>
              </w:rPr>
              <w:t>）</w:t>
            </w:r>
          </w:p>
          <w:p w14:paraId="73C3561C">
            <w:pPr>
              <w:keepNext w:val="0"/>
              <w:keepLines w:val="0"/>
              <w:pageBreakBefore w:val="0"/>
              <w:widowControl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3.法定代表人身份证明及法定代表人有效身份证正反面扫描件（格式后附）；（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7C99545A">
            <w:pPr>
              <w:keepNext w:val="0"/>
              <w:keepLines w:val="0"/>
              <w:pageBreakBefore w:val="0"/>
              <w:widowControl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4.授权委托书及委托代理人有效身份证正反面扫描件（格式后附）；（</w:t>
            </w:r>
            <w:r>
              <w:rPr>
                <w:rFonts w:hint="eastAsia" w:ascii="宋体" w:hAnsi="宋体" w:eastAsia="宋体" w:cs="宋体"/>
                <w:b/>
                <w:color w:val="auto"/>
                <w:sz w:val="21"/>
                <w:szCs w:val="21"/>
                <w:highlight w:val="none"/>
              </w:rPr>
              <w:t>委托时必须提供，否则按无效投标处理</w:t>
            </w:r>
            <w:r>
              <w:rPr>
                <w:rFonts w:hint="eastAsia" w:ascii="宋体" w:hAnsi="宋体" w:eastAsia="宋体" w:cs="宋体"/>
                <w:color w:val="auto"/>
                <w:sz w:val="21"/>
                <w:szCs w:val="21"/>
                <w:highlight w:val="none"/>
              </w:rPr>
              <w:t>）</w:t>
            </w:r>
          </w:p>
          <w:p w14:paraId="29BB5979">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5.商务要求偏离表（格式后附）；（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687629A5">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6.售后服务承诺（格式自拟）；</w:t>
            </w:r>
            <w:r>
              <w:rPr>
                <w:rFonts w:hint="eastAsia" w:ascii="宋体" w:hAnsi="宋体" w:eastAsia="宋体" w:cs="宋体"/>
                <w:b/>
                <w:bCs/>
                <w:color w:val="auto"/>
                <w:sz w:val="21"/>
                <w:szCs w:val="21"/>
                <w:highlight w:val="none"/>
              </w:rPr>
              <w:t>（如有请提供）</w:t>
            </w:r>
          </w:p>
          <w:p w14:paraId="724D4344">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7.投标人情况介绍（格式自拟）；</w:t>
            </w:r>
            <w:r>
              <w:rPr>
                <w:rFonts w:hint="eastAsia" w:ascii="宋体" w:hAnsi="宋体" w:eastAsia="宋体" w:cs="宋体"/>
                <w:b/>
                <w:bCs/>
                <w:color w:val="auto"/>
                <w:sz w:val="21"/>
                <w:szCs w:val="21"/>
                <w:highlight w:val="none"/>
              </w:rPr>
              <w:t>（如有请提供）</w:t>
            </w:r>
          </w:p>
          <w:p w14:paraId="5AF564D7">
            <w:pPr>
              <w:keepNext w:val="0"/>
              <w:keepLines w:val="0"/>
              <w:pageBreakBefore w:val="0"/>
              <w:widowControl w:val="0"/>
              <w:kinsoku/>
              <w:wordWrap/>
              <w:overflowPunct/>
              <w:topLinePunct w:val="0"/>
              <w:bidi w:val="0"/>
              <w:adjustRightInd/>
              <w:snapToGrid w:val="0"/>
              <w:spacing w:line="48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8投标人业绩证明材料（格式后附）；</w:t>
            </w:r>
            <w:r>
              <w:rPr>
                <w:rFonts w:hint="eastAsia" w:ascii="宋体" w:hAnsi="宋体" w:eastAsia="宋体" w:cs="宋体"/>
                <w:b/>
                <w:bCs/>
                <w:color w:val="auto"/>
                <w:sz w:val="21"/>
                <w:szCs w:val="21"/>
                <w:highlight w:val="none"/>
              </w:rPr>
              <w:t>（如有请提供）</w:t>
            </w:r>
          </w:p>
          <w:p w14:paraId="361F74C2">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9.除招标文件规定必须提供以外，投标人认为需要提供的其他证明材料（格式自拟）。（投标人根据“第二章 采购需求”及“第四章 评标方法及评标标准”提供有关证明材料）。</w:t>
            </w:r>
            <w:r>
              <w:rPr>
                <w:rFonts w:hint="eastAsia" w:ascii="宋体" w:hAnsi="宋体" w:eastAsia="宋体" w:cs="宋体"/>
                <w:b/>
                <w:bCs/>
                <w:color w:val="auto"/>
                <w:sz w:val="21"/>
                <w:szCs w:val="21"/>
                <w:highlight w:val="none"/>
              </w:rPr>
              <w:t>（如有请提供）</w:t>
            </w:r>
          </w:p>
          <w:p w14:paraId="11FC1EF7">
            <w:pPr>
              <w:keepNext w:val="0"/>
              <w:keepLines w:val="0"/>
              <w:pageBreakBefore w:val="0"/>
              <w:kinsoku/>
              <w:wordWrap/>
              <w:overflowPunct/>
              <w:topLinePunct w:val="0"/>
              <w:bidi w:val="0"/>
              <w:adjustRightInd/>
              <w:snapToGrid w:val="0"/>
              <w:spacing w:line="48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技术文件：</w:t>
            </w:r>
          </w:p>
          <w:p w14:paraId="08B00A2D">
            <w:pPr>
              <w:keepNext w:val="0"/>
              <w:keepLines w:val="0"/>
              <w:pageBreakBefore w:val="0"/>
              <w:kinsoku/>
              <w:wordWrap/>
              <w:overflowPunct/>
              <w:topLinePunct w:val="0"/>
              <w:bidi w:val="0"/>
              <w:adjustRightInd/>
              <w:snapToGrid w:val="0"/>
              <w:spacing w:line="480" w:lineRule="exact"/>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1.技术要求偏离表（格式后附）；（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23C8838E">
            <w:pPr>
              <w:keepNext w:val="0"/>
              <w:keepLines w:val="0"/>
              <w:pageBreakBefore w:val="0"/>
              <w:kinsoku/>
              <w:wordWrap/>
              <w:overflowPunct/>
              <w:topLinePunct w:val="0"/>
              <w:bidi w:val="0"/>
              <w:adjustRightInd/>
              <w:snapToGrid w:val="0"/>
              <w:spacing w:line="480" w:lineRule="exact"/>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整体</w:t>
            </w:r>
            <w:r>
              <w:rPr>
                <w:rFonts w:hint="eastAsia" w:ascii="宋体" w:hAnsi="宋体" w:eastAsia="宋体" w:cs="宋体"/>
                <w:color w:val="auto"/>
                <w:sz w:val="21"/>
                <w:szCs w:val="21"/>
                <w:highlight w:val="none"/>
              </w:rPr>
              <w:t>服务方案（格式自拟）；</w:t>
            </w:r>
            <w:r>
              <w:rPr>
                <w:rFonts w:hint="eastAsia" w:ascii="宋体" w:hAnsi="宋体" w:eastAsia="宋体" w:cs="宋体"/>
                <w:b/>
                <w:bCs/>
                <w:color w:val="auto"/>
                <w:sz w:val="21"/>
                <w:szCs w:val="21"/>
                <w:highlight w:val="none"/>
              </w:rPr>
              <w:t>（如有请提供）</w:t>
            </w:r>
          </w:p>
          <w:p w14:paraId="5E714031">
            <w:pPr>
              <w:keepNext w:val="0"/>
              <w:keepLines w:val="0"/>
              <w:pageBreakBefore w:val="0"/>
              <w:kinsoku/>
              <w:wordWrap/>
              <w:overflowPunct/>
              <w:topLinePunct w:val="0"/>
              <w:bidi w:val="0"/>
              <w:adjustRightInd/>
              <w:snapToGrid w:val="0"/>
              <w:spacing w:line="480" w:lineRule="exact"/>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3.项目实施人员一览表（格式后附）；</w:t>
            </w:r>
            <w:r>
              <w:rPr>
                <w:rFonts w:hint="eastAsia" w:ascii="宋体" w:hAnsi="宋体" w:eastAsia="宋体" w:cs="宋体"/>
                <w:b/>
                <w:bCs/>
                <w:color w:val="auto"/>
                <w:sz w:val="21"/>
                <w:szCs w:val="21"/>
                <w:highlight w:val="none"/>
              </w:rPr>
              <w:t>（如有请提供）</w:t>
            </w:r>
          </w:p>
          <w:p w14:paraId="57F03F73">
            <w:pPr>
              <w:keepNext w:val="0"/>
              <w:keepLines w:val="0"/>
              <w:pageBreakBefore w:val="0"/>
              <w:kinsoku/>
              <w:wordWrap/>
              <w:overflowPunct/>
              <w:topLinePunct w:val="0"/>
              <w:bidi w:val="0"/>
              <w:adjustRightInd/>
              <w:snapToGrid w:val="0"/>
              <w:spacing w:line="480" w:lineRule="exact"/>
              <w:ind w:left="42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4.投标人对本项目的合理化建议和改进措施（格式自拟）；</w:t>
            </w:r>
            <w:r>
              <w:rPr>
                <w:rFonts w:hint="eastAsia" w:ascii="宋体" w:hAnsi="宋体" w:eastAsia="宋体" w:cs="宋体"/>
                <w:b/>
                <w:bCs/>
                <w:color w:val="auto"/>
                <w:sz w:val="21"/>
                <w:szCs w:val="21"/>
                <w:highlight w:val="none"/>
              </w:rPr>
              <w:t>（如有请提供）</w:t>
            </w:r>
          </w:p>
          <w:p w14:paraId="5BD56237">
            <w:pPr>
              <w:keepNext w:val="0"/>
              <w:keepLines w:val="0"/>
              <w:pageBreakBefore w:val="0"/>
              <w:kinsoku/>
              <w:wordWrap/>
              <w:overflowPunct/>
              <w:topLinePunct w:val="0"/>
              <w:bidi w:val="0"/>
              <w:adjustRightInd/>
              <w:snapToGrid w:val="0"/>
              <w:spacing w:line="48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5.除招标文件规定必须提供以外，投标人需要说明的其他文件和说明（格式自拟）。（投标人根据“第二章 采购需求”及“第四章 评标方法及评标标准”提供有关证明材料）。</w:t>
            </w:r>
            <w:r>
              <w:rPr>
                <w:rFonts w:hint="eastAsia" w:ascii="宋体" w:hAnsi="宋体" w:eastAsia="宋体" w:cs="宋体"/>
                <w:b/>
                <w:bCs/>
                <w:color w:val="auto"/>
                <w:sz w:val="21"/>
                <w:szCs w:val="21"/>
                <w:highlight w:val="none"/>
              </w:rPr>
              <w:t>（如有请提供）</w:t>
            </w:r>
          </w:p>
          <w:p w14:paraId="218F0872">
            <w:pPr>
              <w:keepNext w:val="0"/>
              <w:keepLines w:val="0"/>
              <w:pageBreakBefore w:val="0"/>
              <w:kinsoku/>
              <w:wordWrap/>
              <w:overflowPunct/>
              <w:topLinePunct w:val="0"/>
              <w:bidi w:val="0"/>
              <w:adjustRightInd/>
              <w:snapToGrid w:val="0"/>
              <w:spacing w:line="48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注：以上标明“必须提供”的材料属于复印件的扫描件，必须加盖投标人电子签章，否则按无效投标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19D81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66ABFD4">
            <w:pPr>
              <w:keepNext w:val="0"/>
              <w:keepLines w:val="0"/>
              <w:pageBreakBefore w:val="0"/>
              <w:kinsoku/>
              <w:wordWrap/>
              <w:overflowPunct/>
              <w:topLinePunct w:val="0"/>
              <w:bidi w:val="0"/>
              <w:adjustRightInd/>
              <w:spacing w:line="480" w:lineRule="exact"/>
              <w:rPr>
                <w:rFonts w:hint="eastAsia" w:ascii="宋体" w:hAnsi="宋体" w:eastAsia="宋体" w:cs="宋体"/>
                <w:color w:val="auto"/>
                <w:sz w:val="21"/>
                <w:szCs w:val="21"/>
                <w:highlight w:val="none"/>
              </w:rPr>
            </w:pPr>
          </w:p>
        </w:tc>
        <w:tc>
          <w:tcPr>
            <w:tcW w:w="8344" w:type="dxa"/>
            <w:tcBorders>
              <w:top w:val="single" w:color="auto" w:sz="4" w:space="0"/>
              <w:left w:val="single" w:color="auto" w:sz="4" w:space="0"/>
              <w:bottom w:val="single" w:color="auto" w:sz="4" w:space="0"/>
              <w:right w:val="single" w:color="auto" w:sz="4" w:space="0"/>
            </w:tcBorders>
            <w:noWrap w:val="0"/>
            <w:vAlign w:val="center"/>
          </w:tcPr>
          <w:p w14:paraId="3692F107">
            <w:pPr>
              <w:keepNext w:val="0"/>
              <w:keepLines w:val="0"/>
              <w:pageBreakBefore w:val="0"/>
              <w:kinsoku/>
              <w:wordWrap/>
              <w:overflowPunct/>
              <w:topLinePunct w:val="0"/>
              <w:bidi w:val="0"/>
              <w:adjustRightInd/>
              <w:snapToGrid w:val="0"/>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报价文件：</w:t>
            </w:r>
          </w:p>
          <w:p w14:paraId="70D09EDD">
            <w:pPr>
              <w:keepNext w:val="0"/>
              <w:keepLines w:val="0"/>
              <w:pageBreakBefore w:val="0"/>
              <w:tabs>
                <w:tab w:val="left" w:pos="459"/>
              </w:tabs>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color w:val="auto"/>
                <w:sz w:val="21"/>
                <w:szCs w:val="21"/>
                <w:highlight w:val="none"/>
              </w:rPr>
              <w:t>（必须提供，否则按无效投标处理）</w:t>
            </w:r>
          </w:p>
          <w:p w14:paraId="159421EC">
            <w:pPr>
              <w:keepNext w:val="0"/>
              <w:keepLines w:val="0"/>
              <w:pageBreakBefore w:val="0"/>
              <w:tabs>
                <w:tab w:val="left" w:pos="459"/>
              </w:tabs>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2.开标一览表（格式后附）；</w:t>
            </w:r>
            <w:r>
              <w:rPr>
                <w:rFonts w:hint="eastAsia" w:ascii="宋体" w:hAnsi="宋体" w:eastAsia="宋体" w:cs="宋体"/>
                <w:b/>
                <w:bCs/>
                <w:color w:val="auto"/>
                <w:sz w:val="21"/>
                <w:szCs w:val="21"/>
                <w:highlight w:val="none"/>
              </w:rPr>
              <w:t>（必须提供，否则按无效投标处理）</w:t>
            </w:r>
          </w:p>
          <w:p w14:paraId="1517AD38">
            <w:pPr>
              <w:keepNext w:val="0"/>
              <w:keepLines w:val="0"/>
              <w:pageBreakBefore w:val="0"/>
              <w:tabs>
                <w:tab w:val="left" w:pos="459"/>
              </w:tabs>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3.中小企业声明函或残疾人福利性单位声明函（格式后附）；</w:t>
            </w:r>
            <w:r>
              <w:rPr>
                <w:rFonts w:hint="eastAsia" w:ascii="宋体" w:hAnsi="宋体" w:eastAsia="宋体" w:cs="宋体"/>
                <w:b/>
                <w:bCs/>
                <w:color w:val="auto"/>
                <w:sz w:val="21"/>
                <w:szCs w:val="21"/>
                <w:highlight w:val="none"/>
              </w:rPr>
              <w:t>（如有请提供）</w:t>
            </w:r>
          </w:p>
          <w:p w14:paraId="3EB4FE9B">
            <w:pPr>
              <w:keepNext w:val="0"/>
              <w:keepLines w:val="0"/>
              <w:pageBreakBefore w:val="0"/>
              <w:tabs>
                <w:tab w:val="left" w:pos="459"/>
              </w:tabs>
              <w:kinsoku/>
              <w:wordWrap/>
              <w:overflowPunct/>
              <w:topLinePunct w:val="0"/>
              <w:bidi w:val="0"/>
              <w:adjustRightInd/>
              <w:snapToGrid w:val="0"/>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4.投标人针对报价需要说明的其他文件和说明（格式自拟）。（</w:t>
            </w:r>
            <w:r>
              <w:rPr>
                <w:rFonts w:hint="eastAsia" w:ascii="宋体" w:hAnsi="宋体" w:eastAsia="宋体" w:cs="宋体"/>
                <w:b/>
                <w:bCs/>
                <w:color w:val="auto"/>
                <w:sz w:val="21"/>
                <w:szCs w:val="21"/>
                <w:highlight w:val="none"/>
              </w:rPr>
              <w:t>如有请提供）</w:t>
            </w:r>
          </w:p>
          <w:p w14:paraId="4A7E0DDE">
            <w:pPr>
              <w:keepNext w:val="0"/>
              <w:keepLines w:val="0"/>
              <w:pageBreakBefore w:val="0"/>
              <w:kinsoku/>
              <w:wordWrap/>
              <w:overflowPunct/>
              <w:topLinePunct w:val="0"/>
              <w:bidi w:val="0"/>
              <w:adjustRightInd/>
              <w:snapToGrid w:val="0"/>
              <w:spacing w:line="48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注：以上标明“必须提供”的材料属于复印件的，必须加盖投标人电子签章，否则按无效投标</w:t>
            </w:r>
            <w:r>
              <w:rPr>
                <w:rFonts w:hint="eastAsia" w:ascii="宋体" w:hAnsi="宋体" w:eastAsia="宋体" w:cs="宋体"/>
                <w:b/>
                <w:color w:val="auto"/>
                <w:sz w:val="21"/>
                <w:szCs w:val="21"/>
                <w:highlight w:val="none"/>
              </w:rPr>
              <w:t>处理。</w:t>
            </w:r>
          </w:p>
        </w:tc>
      </w:tr>
      <w:tr w14:paraId="698AF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F495898">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96" w:name="_16.2"/>
            <w:bookmarkEnd w:id="96"/>
            <w:bookmarkStart w:id="97" w:name="_13.5"/>
            <w:bookmarkEnd w:id="97"/>
            <w:bookmarkStart w:id="98" w:name="_13.4"/>
            <w:bookmarkEnd w:id="98"/>
            <w:r>
              <w:rPr>
                <w:rFonts w:hint="eastAsia" w:ascii="宋体" w:hAnsi="宋体" w:eastAsia="宋体" w:cs="宋体"/>
                <w:color w:val="auto"/>
                <w:sz w:val="21"/>
                <w:szCs w:val="21"/>
                <w:highlight w:val="none"/>
              </w:rPr>
              <w:t>16</w:t>
            </w:r>
            <w:bookmarkStart w:id="99" w:name="_Hlt19693759"/>
            <w:bookmarkStart w:id="100" w:name="_Hlt19194066"/>
            <w:bookmarkStart w:id="101" w:name="_Hlt19194067"/>
            <w:bookmarkStart w:id="102" w:name="_Hlt19693758"/>
            <w:r>
              <w:rPr>
                <w:rFonts w:hint="eastAsia" w:ascii="宋体" w:hAnsi="宋体" w:eastAsia="宋体" w:cs="宋体"/>
                <w:color w:val="auto"/>
                <w:sz w:val="21"/>
                <w:szCs w:val="21"/>
                <w:highlight w:val="none"/>
              </w:rPr>
              <w:t>.</w:t>
            </w:r>
            <w:bookmarkEnd w:id="99"/>
            <w:bookmarkEnd w:id="100"/>
            <w:bookmarkEnd w:id="101"/>
            <w:bookmarkEnd w:id="102"/>
            <w:r>
              <w:rPr>
                <w:rFonts w:hint="eastAsia" w:ascii="宋体" w:hAnsi="宋体" w:eastAsia="宋体" w:cs="宋体"/>
                <w:color w:val="auto"/>
                <w:sz w:val="21"/>
                <w:szCs w:val="21"/>
                <w:highlight w:val="none"/>
              </w:rPr>
              <w:t>2</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542825F3">
            <w:pPr>
              <w:keepNext w:val="0"/>
              <w:keepLines w:val="0"/>
              <w:pageBreakBefore w:val="0"/>
              <w:kinsoku/>
              <w:wordWrap/>
              <w:overflowPunct/>
              <w:topLinePunct w:val="0"/>
              <w:bidi w:val="0"/>
              <w:adjustRightInd/>
              <w:snapToGrid w:val="0"/>
              <w:spacing w:line="480" w:lineRule="exact"/>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投标报价是履行合同的最终价格，为总包干价人民币含税价，除另有约定的以外，采购人不再支付任何合同金额以外的费用。具体见本招标文件第二章“商务</w:t>
            </w:r>
            <w:r>
              <w:rPr>
                <w:rFonts w:hint="eastAsia" w:ascii="宋体" w:hAnsi="宋体" w:eastAsia="宋体" w:cs="宋体"/>
                <w:color w:val="auto"/>
                <w:sz w:val="21"/>
                <w:szCs w:val="21"/>
                <w:highlight w:val="none"/>
                <w:lang w:eastAsia="zh-CN"/>
              </w:rPr>
              <w:t>条款</w:t>
            </w:r>
            <w:r>
              <w:rPr>
                <w:rFonts w:hint="eastAsia" w:ascii="宋体" w:hAnsi="宋体" w:eastAsia="宋体" w:cs="宋体"/>
                <w:color w:val="auto"/>
                <w:sz w:val="21"/>
                <w:szCs w:val="21"/>
                <w:highlight w:val="none"/>
              </w:rPr>
              <w:t>要求”。</w:t>
            </w:r>
          </w:p>
        </w:tc>
      </w:tr>
      <w:tr w14:paraId="77118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3A410E82">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3" w:name="_17.1"/>
            <w:bookmarkEnd w:id="103"/>
            <w:r>
              <w:rPr>
                <w:rFonts w:hint="eastAsia" w:ascii="宋体" w:hAnsi="宋体" w:eastAsia="宋体" w:cs="宋体"/>
                <w:color w:val="auto"/>
                <w:sz w:val="21"/>
                <w:szCs w:val="21"/>
                <w:highlight w:val="none"/>
              </w:rPr>
              <w:t>17.2</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7202A47">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投标有效期：自投标截止之日起</w:t>
            </w:r>
            <w:r>
              <w:rPr>
                <w:rFonts w:hint="eastAsia" w:ascii="宋体" w:hAnsi="宋体" w:eastAsia="宋体" w:cs="宋体"/>
                <w:color w:val="auto"/>
                <w:sz w:val="21"/>
                <w:szCs w:val="21"/>
                <w:highlight w:val="none"/>
                <w:u w:val="single"/>
              </w:rPr>
              <w:t>90</w:t>
            </w:r>
            <w:r>
              <w:rPr>
                <w:rFonts w:hint="eastAsia" w:ascii="宋体" w:hAnsi="宋体" w:eastAsia="宋体" w:cs="宋体"/>
                <w:color w:val="auto"/>
                <w:sz w:val="21"/>
                <w:szCs w:val="21"/>
                <w:highlight w:val="none"/>
              </w:rPr>
              <w:t>日。</w:t>
            </w:r>
          </w:p>
        </w:tc>
      </w:tr>
      <w:tr w14:paraId="0100C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8EDD030">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4" w:name="_18"/>
            <w:bookmarkEnd w:id="104"/>
            <w:r>
              <w:rPr>
                <w:rFonts w:hint="eastAsia" w:ascii="宋体" w:hAnsi="宋体" w:eastAsia="宋体" w:cs="宋体"/>
                <w:color w:val="auto"/>
                <w:sz w:val="21"/>
                <w:szCs w:val="21"/>
                <w:highlight w:val="none"/>
              </w:rPr>
              <w:t>18.1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0B427E06">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本项目不收取投标保证金</w:t>
            </w:r>
          </w:p>
          <w:p w14:paraId="00217EF6">
            <w:pPr>
              <w:keepNext w:val="0"/>
              <w:keepLines w:val="0"/>
              <w:pageBreakBefore w:val="0"/>
              <w:widowControl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52"/>
            </w:r>
            <w:r>
              <w:rPr>
                <w:rFonts w:hint="eastAsia" w:ascii="宋体" w:hAnsi="宋体" w:eastAsia="宋体" w:cs="宋体"/>
                <w:color w:val="auto"/>
                <w:sz w:val="21"/>
                <w:szCs w:val="21"/>
                <w:highlight w:val="none"/>
              </w:rPr>
              <w:t>本项目收取投标保证金，具体规定如下：</w:t>
            </w:r>
          </w:p>
          <w:p w14:paraId="72ED27A1">
            <w:pPr>
              <w:keepNext w:val="0"/>
              <w:keepLines w:val="0"/>
              <w:pageBreakBefore w:val="0"/>
              <w:widowControl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投标保证金：</w:t>
            </w:r>
            <w:r>
              <w:rPr>
                <w:rFonts w:hint="eastAsia" w:ascii="宋体" w:hAnsi="宋体" w:eastAsia="宋体" w:cs="宋体"/>
                <w:color w:val="auto"/>
                <w:sz w:val="21"/>
                <w:szCs w:val="21"/>
                <w:highlight w:val="none"/>
              </w:rPr>
              <w:t>详见招标公告</w:t>
            </w:r>
            <w:r>
              <w:rPr>
                <w:rFonts w:hint="eastAsia" w:ascii="宋体" w:hAnsi="宋体" w:eastAsia="宋体" w:cs="宋体"/>
                <w:color w:val="auto"/>
                <w:kern w:val="0"/>
                <w:sz w:val="21"/>
                <w:szCs w:val="21"/>
                <w:highlight w:val="none"/>
              </w:rPr>
              <w:t>。</w:t>
            </w:r>
          </w:p>
          <w:p w14:paraId="3310B108">
            <w:pPr>
              <w:keepNext w:val="0"/>
              <w:keepLines w:val="0"/>
              <w:pageBreakBefore w:val="0"/>
              <w:widowControl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投标保证金的交纳方式：</w:t>
            </w:r>
            <w:r>
              <w:rPr>
                <w:rFonts w:hint="eastAsia" w:ascii="宋体" w:hAnsi="宋体" w:eastAsia="宋体" w:cs="宋体"/>
                <w:color w:val="auto"/>
                <w:sz w:val="21"/>
                <w:szCs w:val="21"/>
                <w:highlight w:val="none"/>
              </w:rPr>
              <w:t>详见招标公告</w:t>
            </w:r>
            <w:r>
              <w:rPr>
                <w:rFonts w:hint="eastAsia" w:ascii="宋体" w:hAnsi="宋体" w:eastAsia="宋体" w:cs="宋体"/>
                <w:color w:val="auto"/>
                <w:kern w:val="0"/>
                <w:sz w:val="21"/>
                <w:szCs w:val="21"/>
                <w:highlight w:val="none"/>
              </w:rPr>
              <w:t>。</w:t>
            </w:r>
          </w:p>
          <w:p w14:paraId="15B1BB43">
            <w:pPr>
              <w:keepNext w:val="0"/>
              <w:keepLines w:val="0"/>
              <w:pageBreakBefore w:val="0"/>
              <w:widowControl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相关要求：</w:t>
            </w:r>
          </w:p>
          <w:p w14:paraId="3C83F247">
            <w:pPr>
              <w:keepNext w:val="0"/>
              <w:keepLines w:val="0"/>
              <w:pageBreakBefore w:val="0"/>
              <w:tabs>
                <w:tab w:val="left" w:pos="459"/>
              </w:tabs>
              <w:kinsoku/>
              <w:wordWrap/>
              <w:overflowPunct/>
              <w:topLinePunct w:val="0"/>
              <w:bidi w:val="0"/>
              <w:adjustRightInd/>
              <w:snapToGrid w:val="0"/>
              <w:spacing w:line="48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1.投标保证金采用银行转账交纳方式的，在投标截止时间前交至指定账户并且到账，投标人应将银行转账底单的扫描件做为投标保证金提交凭证</w:t>
            </w:r>
            <w:r>
              <w:rPr>
                <w:rFonts w:hint="eastAsia" w:ascii="宋体" w:hAnsi="宋体" w:cs="宋体"/>
                <w:color w:val="auto"/>
                <w:sz w:val="21"/>
                <w:szCs w:val="21"/>
                <w:highlight w:val="none"/>
                <w:lang w:val="en-US" w:eastAsia="zh-CN"/>
              </w:rPr>
              <w:t>（</w:t>
            </w:r>
            <w:r>
              <w:rPr>
                <w:rFonts w:hint="eastAsia" w:ascii="宋体" w:hAnsi="宋体" w:eastAsia="宋体" w:cs="宋体"/>
                <w:i w:val="0"/>
                <w:iCs w:val="0"/>
                <w:caps w:val="0"/>
                <w:color w:val="000000"/>
                <w:spacing w:val="0"/>
                <w:sz w:val="21"/>
                <w:szCs w:val="21"/>
                <w:shd w:val="clear" w:fill="FFFFFF"/>
              </w:rPr>
              <w:t>请注明投标项目名称和项目编号</w:t>
            </w:r>
            <w:r>
              <w:rPr>
                <w:rFonts w:hint="eastAsia" w:ascii="宋体" w:hAnsi="宋体" w:eastAsia="宋体" w:cs="宋体"/>
                <w:i w:val="0"/>
                <w:iCs w:val="0"/>
                <w:caps w:val="0"/>
                <w:color w:val="000000"/>
                <w:spacing w:val="0"/>
                <w:sz w:val="21"/>
                <w:szCs w:val="21"/>
                <w:shd w:val="clear" w:fill="FFFFFF"/>
                <w:lang w:val="en-US" w:eastAsia="zh-CN"/>
              </w:rPr>
              <w:t>投</w:t>
            </w:r>
            <w:r>
              <w:rPr>
                <w:rFonts w:hint="eastAsia" w:ascii="宋体" w:hAnsi="宋体" w:eastAsia="宋体" w:cs="宋体"/>
                <w:i w:val="0"/>
                <w:iCs w:val="0"/>
                <w:caps w:val="0"/>
                <w:color w:val="000000"/>
                <w:spacing w:val="0"/>
                <w:sz w:val="21"/>
                <w:szCs w:val="21"/>
                <w:shd w:val="clear" w:fill="FFFFFF"/>
              </w:rPr>
              <w:t>标保证金</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，放置于商务文件中，</w:t>
            </w:r>
            <w:r>
              <w:rPr>
                <w:rFonts w:hint="eastAsia" w:ascii="宋体" w:hAnsi="宋体" w:eastAsia="宋体" w:cs="宋体"/>
                <w:b/>
                <w:color w:val="auto"/>
                <w:sz w:val="21"/>
                <w:szCs w:val="21"/>
                <w:highlight w:val="none"/>
                <w:lang w:val="en-US" w:eastAsia="zh-CN"/>
              </w:rPr>
              <w:t>否则投标无效</w:t>
            </w:r>
            <w:r>
              <w:rPr>
                <w:rFonts w:hint="eastAsia" w:ascii="宋体" w:hAnsi="宋体" w:eastAsia="宋体" w:cs="宋体"/>
                <w:color w:val="auto"/>
                <w:sz w:val="21"/>
                <w:szCs w:val="21"/>
                <w:highlight w:val="none"/>
                <w:lang w:val="en-US" w:eastAsia="zh-CN"/>
              </w:rPr>
              <w:t>。</w:t>
            </w:r>
          </w:p>
          <w:p w14:paraId="18E4D875">
            <w:pPr>
              <w:keepNext w:val="0"/>
              <w:keepLines w:val="0"/>
              <w:pageBreakBefore w:val="0"/>
              <w:tabs>
                <w:tab w:val="left" w:pos="459"/>
              </w:tabs>
              <w:kinsoku/>
              <w:wordWrap/>
              <w:overflowPunct/>
              <w:topLinePunct w:val="0"/>
              <w:bidi w:val="0"/>
              <w:adjustRightInd/>
              <w:snapToGrid w:val="0"/>
              <w:spacing w:line="4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2.投标保证金采用支票、汇票、本票或者银行、保险机构出具的保函交纳方式的，投标人应将支票、汇票、本票或者银行、保险机构出具的保函的扫描件</w:t>
            </w:r>
            <w:r>
              <w:rPr>
                <w:rFonts w:hint="eastAsia" w:ascii="宋体" w:hAnsi="宋体" w:eastAsia="宋体" w:cs="宋体"/>
                <w:color w:val="auto"/>
                <w:sz w:val="21"/>
                <w:szCs w:val="21"/>
                <w:highlight w:val="none"/>
                <w:lang w:eastAsia="zh-CN"/>
              </w:rPr>
              <w:t>做为</w:t>
            </w:r>
            <w:r>
              <w:rPr>
                <w:rFonts w:hint="eastAsia" w:ascii="宋体" w:hAnsi="宋体" w:eastAsia="宋体" w:cs="宋体"/>
                <w:color w:val="auto"/>
                <w:sz w:val="21"/>
                <w:szCs w:val="21"/>
                <w:highlight w:val="none"/>
              </w:rPr>
              <w:t>投标保证金提交凭证，放置于商务文件中，</w:t>
            </w:r>
            <w:r>
              <w:rPr>
                <w:rFonts w:hint="eastAsia" w:ascii="宋体" w:hAnsi="宋体" w:eastAsia="宋体" w:cs="宋体"/>
                <w:b/>
                <w:color w:val="auto"/>
                <w:sz w:val="21"/>
                <w:szCs w:val="21"/>
                <w:highlight w:val="none"/>
              </w:rPr>
              <w:t>否则投标无效</w:t>
            </w:r>
            <w:r>
              <w:rPr>
                <w:rFonts w:hint="eastAsia" w:ascii="宋体" w:hAnsi="宋体" w:eastAsia="宋体" w:cs="宋体"/>
                <w:color w:val="auto"/>
                <w:sz w:val="21"/>
                <w:szCs w:val="21"/>
                <w:highlight w:val="none"/>
              </w:rPr>
              <w:t>。投标人必须在投标截止时间前采用现场递交方式(现场提交地址:蒙山县工业园区管委会四楼蒙山县公共资源交易中心）将单独密封的支票、汇票、本票或者银行、保险机构出具的保函原件提交给蒙山县公共资源交易中心。</w:t>
            </w:r>
          </w:p>
          <w:p w14:paraId="29987280">
            <w:pPr>
              <w:keepNext w:val="0"/>
              <w:keepLines w:val="0"/>
              <w:pageBreakBefore w:val="0"/>
              <w:widowControl w:val="0"/>
              <w:kinsoku/>
              <w:wordWrap/>
              <w:overflowPunct/>
              <w:topLinePunct w:val="0"/>
              <w:bidi w:val="0"/>
              <w:adjustRightInd/>
              <w:snapToGrid w:val="0"/>
              <w:spacing w:line="4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p w14:paraId="1525B3CA">
            <w:pPr>
              <w:keepNext w:val="0"/>
              <w:keepLines w:val="0"/>
              <w:pageBreakBefore w:val="0"/>
              <w:kinsoku/>
              <w:wordWrap/>
              <w:overflowPunct/>
              <w:topLinePunct w:val="0"/>
              <w:bidi w:val="0"/>
              <w:adjustRightInd/>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1.投标保证金在投标截止时间后提交的，或者不按规定交纳方式交纳的，或者未足额交纳的（包含保函额度不足的），视为无效投标保证金。</w:t>
            </w:r>
          </w:p>
          <w:p w14:paraId="4EA05D94">
            <w:pPr>
              <w:keepNext w:val="0"/>
              <w:keepLines w:val="0"/>
              <w:pageBreakBefore w:val="0"/>
              <w:kinsoku/>
              <w:wordWrap/>
              <w:overflowPunct/>
              <w:topLinePunct w:val="0"/>
              <w:bidi w:val="0"/>
              <w:adjustRightInd/>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2.投标人采用现钞方式或者从个人账户（自然人投标除外）转出的投标保证金，视为无效投标保证金。</w:t>
            </w:r>
          </w:p>
          <w:p w14:paraId="3D4BA3CE">
            <w:pPr>
              <w:keepNext w:val="0"/>
              <w:keepLines w:val="0"/>
              <w:pageBreakBefore w:val="0"/>
              <w:kinsoku/>
              <w:wordWrap/>
              <w:overflowPunct/>
              <w:topLinePunct w:val="0"/>
              <w:bidi w:val="0"/>
              <w:adjustRightInd/>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3.支票、汇票或者本票出现无效或者背书情形的，视为无效投标保证金。</w:t>
            </w:r>
          </w:p>
          <w:p w14:paraId="7B999BED">
            <w:pPr>
              <w:keepNext w:val="0"/>
              <w:keepLines w:val="0"/>
              <w:pageBreakBefore w:val="0"/>
              <w:kinsoku/>
              <w:wordWrap/>
              <w:overflowPunct/>
              <w:topLinePunct w:val="0"/>
              <w:bidi w:val="0"/>
              <w:adjustRightInd/>
              <w:spacing w:line="4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4.保函有效期低于投标有效期的，视为无效投标保证金。</w:t>
            </w:r>
          </w:p>
          <w:p w14:paraId="63AEAD80">
            <w:pPr>
              <w:keepNext w:val="0"/>
              <w:keepLines w:val="0"/>
              <w:pageBreakBefore w:val="0"/>
              <w:kinsoku/>
              <w:wordWrap/>
              <w:overflowPunct/>
              <w:topLinePunct w:val="0"/>
              <w:bidi w:val="0"/>
              <w:adjustRightInd/>
              <w:spacing w:line="480" w:lineRule="exact"/>
              <w:jc w:val="left"/>
              <w:rPr>
                <w:rFonts w:hint="eastAsia"/>
                <w:color w:val="auto"/>
                <w:highlight w:val="none"/>
              </w:rPr>
            </w:pPr>
            <w:r>
              <w:rPr>
                <w:rFonts w:hint="eastAsia" w:ascii="宋体" w:hAnsi="宋体" w:eastAsia="宋体" w:cs="宋体"/>
                <w:b/>
                <w:color w:val="auto"/>
                <w:sz w:val="21"/>
                <w:szCs w:val="21"/>
                <w:highlight w:val="none"/>
              </w:rPr>
              <w:t>5.采用银行、保险机构出具保函的，必须为无条件保函，否则视为无效投标保证金。</w:t>
            </w:r>
          </w:p>
        </w:tc>
      </w:tr>
      <w:tr w14:paraId="47419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05ABB8A7">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5" w:name="_21.1"/>
            <w:bookmarkEnd w:id="105"/>
            <w:bookmarkStart w:id="106" w:name="_19.2"/>
            <w:bookmarkEnd w:id="106"/>
            <w:r>
              <w:rPr>
                <w:rFonts w:hint="eastAsia" w:ascii="宋体" w:hAnsi="宋体" w:eastAsia="宋体" w:cs="宋体"/>
                <w:color w:val="auto"/>
                <w:sz w:val="21"/>
                <w:szCs w:val="21"/>
                <w:highlight w:val="none"/>
              </w:rPr>
              <w:t>20</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C148644">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本项目不接受电子备份投标文件。</w:t>
            </w:r>
          </w:p>
        </w:tc>
      </w:tr>
      <w:tr w14:paraId="1D1E7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75F267A">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0EEF9B14">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1.投标文件提交截止时间：详见招标公告。</w:t>
            </w:r>
          </w:p>
          <w:p w14:paraId="3E757DB5">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2.投标地点：详见招标公告。</w:t>
            </w:r>
          </w:p>
        </w:tc>
      </w:tr>
      <w:tr w14:paraId="50E41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A71065D">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7" w:name="_23"/>
            <w:bookmarkEnd w:id="107"/>
            <w:r>
              <w:rPr>
                <w:rFonts w:hint="eastAsia" w:ascii="宋体" w:hAnsi="宋体" w:eastAsia="宋体" w:cs="宋体"/>
                <w:color w:val="auto"/>
                <w:sz w:val="21"/>
                <w:szCs w:val="21"/>
                <w:highlight w:val="none"/>
              </w:rPr>
              <w:t>23</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21D92EA6">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1.开标时间：详见招标公告。</w:t>
            </w:r>
          </w:p>
          <w:p w14:paraId="679830EB">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2.开标地点：详见招标公告。</w:t>
            </w:r>
          </w:p>
        </w:tc>
      </w:tr>
      <w:tr w14:paraId="67B13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B2DC462">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67AC81A5">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电子投标文件解密时间：</w:t>
            </w:r>
            <w:r>
              <w:rPr>
                <w:rFonts w:hint="eastAsia" w:ascii="宋体" w:hAnsi="宋体" w:eastAsia="宋体" w:cs="宋体"/>
                <w:color w:val="auto"/>
                <w:sz w:val="21"/>
                <w:szCs w:val="21"/>
                <w:highlight w:val="none"/>
                <w:u w:val="single"/>
              </w:rPr>
              <w:t>30</w:t>
            </w:r>
            <w:r>
              <w:rPr>
                <w:rFonts w:hint="eastAsia" w:ascii="宋体" w:hAnsi="宋体" w:eastAsia="宋体" w:cs="宋体"/>
                <w:color w:val="auto"/>
                <w:sz w:val="21"/>
                <w:szCs w:val="21"/>
                <w:highlight w:val="none"/>
              </w:rPr>
              <w:t>分钟。</w:t>
            </w:r>
          </w:p>
        </w:tc>
      </w:tr>
      <w:tr w14:paraId="46B82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DCE80C5">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8" w:name="_25.3"/>
            <w:bookmarkEnd w:id="108"/>
            <w:r>
              <w:rPr>
                <w:rFonts w:hint="eastAsia" w:ascii="宋体" w:hAnsi="宋体" w:eastAsia="宋体" w:cs="宋体"/>
                <w:color w:val="auto"/>
                <w:sz w:val="21"/>
                <w:szCs w:val="21"/>
                <w:highlight w:val="none"/>
              </w:rPr>
              <w:t>25.3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73CFD4CA">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79BDD649">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查询渠道：“信用中国”网站（www.creditchina.gov.cn）、中国政府采购网（www.ccgp.gov.cn）。</w:t>
            </w:r>
          </w:p>
          <w:p w14:paraId="7D7E9C92">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信用查询截止时点：资格审查结束前</w:t>
            </w:r>
          </w:p>
          <w:p w14:paraId="4005F45C">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查询记录和证据留存方式：在查询网站中直接截图查询记录，截图</w:t>
            </w:r>
            <w:r>
              <w:rPr>
                <w:rFonts w:hint="eastAsia" w:ascii="宋体" w:hAnsi="宋体" w:eastAsia="宋体" w:cs="宋体"/>
                <w:color w:val="auto"/>
                <w:sz w:val="21"/>
                <w:szCs w:val="21"/>
                <w:highlight w:val="none"/>
                <w:lang w:eastAsia="zh-CN"/>
              </w:rPr>
              <w:t>做为</w:t>
            </w:r>
            <w:r>
              <w:rPr>
                <w:rFonts w:hint="eastAsia" w:ascii="宋体" w:hAnsi="宋体" w:eastAsia="宋体" w:cs="宋体"/>
                <w:color w:val="auto"/>
                <w:sz w:val="21"/>
                <w:szCs w:val="21"/>
                <w:highlight w:val="none"/>
              </w:rPr>
              <w:t>在</w:t>
            </w:r>
            <w:r>
              <w:rPr>
                <w:rFonts w:hint="eastAsia" w:ascii="宋体" w:hAnsi="宋体" w:eastAsia="宋体" w:cs="宋体"/>
                <w:color w:val="auto"/>
                <w:kern w:val="0"/>
                <w:sz w:val="21"/>
                <w:szCs w:val="21"/>
                <w:highlight w:val="none"/>
              </w:rPr>
              <w:t>广西政府采购云平台</w:t>
            </w:r>
            <w:r>
              <w:rPr>
                <w:rFonts w:hint="eastAsia" w:ascii="宋体" w:hAnsi="宋体" w:eastAsia="宋体" w:cs="宋体"/>
                <w:color w:val="auto"/>
                <w:sz w:val="21"/>
                <w:szCs w:val="21"/>
                <w:highlight w:val="none"/>
                <w:lang w:eastAsia="zh-CN"/>
              </w:rPr>
              <w:t>做为</w:t>
            </w:r>
            <w:r>
              <w:rPr>
                <w:rFonts w:hint="eastAsia" w:ascii="宋体" w:hAnsi="宋体" w:eastAsia="宋体" w:cs="宋体"/>
                <w:color w:val="auto"/>
                <w:sz w:val="21"/>
                <w:szCs w:val="21"/>
                <w:highlight w:val="none"/>
              </w:rPr>
              <w:t>附件上传保存。</w:t>
            </w:r>
          </w:p>
          <w:p w14:paraId="59C692B1">
            <w:pPr>
              <w:keepNext w:val="0"/>
              <w:keepLines w:val="0"/>
              <w:pageBreakBefore w:val="0"/>
              <w:kinsoku/>
              <w:wordWrap/>
              <w:overflowPunct/>
              <w:topLinePunct w:val="0"/>
              <w:bidi w:val="0"/>
              <w:adjustRightInd/>
              <w:snapToGrid w:val="0"/>
              <w:spacing w:line="4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w:t>
            </w:r>
          </w:p>
        </w:tc>
      </w:tr>
      <w:tr w14:paraId="18AF9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F74AC51">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09" w:name="_26"/>
            <w:bookmarkEnd w:id="109"/>
            <w:r>
              <w:rPr>
                <w:rFonts w:hint="eastAsia" w:ascii="宋体" w:hAnsi="宋体" w:eastAsia="宋体" w:cs="宋体"/>
                <w:color w:val="auto"/>
                <w:sz w:val="21"/>
                <w:szCs w:val="21"/>
                <w:highlight w:val="none"/>
              </w:rPr>
              <w:t>26.1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EF34C42">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评标委员会的人数：</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人</w:t>
            </w:r>
          </w:p>
        </w:tc>
      </w:tr>
      <w:tr w14:paraId="61DC9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3C2573C">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10" w:name="_28.3"/>
            <w:bookmarkEnd w:id="110"/>
            <w:r>
              <w:rPr>
                <w:rFonts w:hint="eastAsia" w:ascii="宋体" w:hAnsi="宋体" w:eastAsia="宋体" w:cs="宋体"/>
                <w:color w:val="auto"/>
                <w:sz w:val="21"/>
                <w:szCs w:val="21"/>
                <w:highlight w:val="none"/>
              </w:rPr>
              <w:t>29.1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CBC0CB7">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1EAF8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39757FC9">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11" w:name="_29.2.2（2）"/>
            <w:bookmarkEnd w:id="111"/>
            <w:r>
              <w:rPr>
                <w:rFonts w:hint="eastAsia" w:ascii="宋体" w:hAnsi="宋体" w:eastAsia="宋体" w:cs="宋体"/>
                <w:color w:val="auto"/>
                <w:sz w:val="21"/>
                <w:szCs w:val="21"/>
                <w:highlight w:val="none"/>
              </w:rPr>
              <w:t>29.2</w:t>
            </w:r>
          </w:p>
        </w:tc>
        <w:tc>
          <w:tcPr>
            <w:tcW w:w="8344" w:type="dxa"/>
            <w:tcBorders>
              <w:top w:val="single" w:color="auto" w:sz="4" w:space="0"/>
              <w:left w:val="single" w:color="auto" w:sz="4" w:space="0"/>
              <w:right w:val="single" w:color="auto" w:sz="4" w:space="0"/>
            </w:tcBorders>
            <w:noWrap w:val="0"/>
            <w:vAlign w:val="center"/>
          </w:tcPr>
          <w:p w14:paraId="54BFB5EB">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商务要求评审中允许负偏离的条款数</w:t>
            </w:r>
            <w:r>
              <w:rPr>
                <w:rFonts w:hint="eastAsia" w:ascii="宋体" w:hAnsi="宋体" w:eastAsia="宋体" w:cs="宋体"/>
                <w:color w:val="auto"/>
                <w:sz w:val="21"/>
                <w:szCs w:val="21"/>
                <w:highlight w:val="none"/>
                <w:u w:val="none"/>
              </w:rPr>
              <w:t>为</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none"/>
              </w:rPr>
              <w:t>项。</w:t>
            </w:r>
          </w:p>
          <w:p w14:paraId="3E819BCC">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技术要求评审中允许负偏离的条款数为</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none"/>
                <w:lang w:val="en-US" w:eastAsia="zh-CN"/>
              </w:rPr>
              <w:t>项</w:t>
            </w:r>
            <w:r>
              <w:rPr>
                <w:rFonts w:hint="eastAsia" w:ascii="宋体" w:hAnsi="宋体" w:eastAsia="宋体" w:cs="宋体"/>
                <w:color w:val="auto"/>
                <w:sz w:val="21"/>
                <w:szCs w:val="21"/>
                <w:highlight w:val="none"/>
                <w:u w:val="none"/>
              </w:rPr>
              <w:t>。</w:t>
            </w:r>
          </w:p>
        </w:tc>
      </w:tr>
      <w:tr w14:paraId="6C06D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26193FD4">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w:t>
            </w:r>
          </w:p>
        </w:tc>
        <w:tc>
          <w:tcPr>
            <w:tcW w:w="8344" w:type="dxa"/>
            <w:tcBorders>
              <w:top w:val="single" w:color="auto" w:sz="4" w:space="0"/>
              <w:left w:val="single" w:color="auto" w:sz="4" w:space="0"/>
              <w:right w:val="single" w:color="auto" w:sz="4" w:space="0"/>
            </w:tcBorders>
            <w:noWrap w:val="0"/>
            <w:vAlign w:val="center"/>
          </w:tcPr>
          <w:p w14:paraId="288FEEF8">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中标候选人推荐数量：</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名，根据[总得分由高到低]排列次序并全部推荐为中标候选人。</w:t>
            </w:r>
          </w:p>
        </w:tc>
      </w:tr>
      <w:tr w14:paraId="6625E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19173C7">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7EDD23F3">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采用综合评分法的采购项目，采购人确定供应商时，出现中标候选人并列的情形，采购人按以下的方式确定供应商：</w:t>
            </w:r>
          </w:p>
          <w:p w14:paraId="4F3AB234">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sym w:font="Wingdings 2" w:char="F052"/>
            </w:r>
            <w:r>
              <w:rPr>
                <w:rFonts w:hint="eastAsia" w:ascii="宋体" w:hAnsi="宋体" w:eastAsia="宋体" w:cs="宋体"/>
                <w:iCs/>
                <w:color w:val="auto"/>
                <w:sz w:val="21"/>
                <w:szCs w:val="21"/>
                <w:highlight w:val="none"/>
              </w:rPr>
              <w:t>依次按投标报价低的优先、政策分得分高的优先、技术评分高的优先、商务评分高的优先、响应时间短优先的顺序确定；</w:t>
            </w:r>
          </w:p>
        </w:tc>
      </w:tr>
      <w:tr w14:paraId="4FB1CE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1F6AA72">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12" w:name="_39.1"/>
            <w:bookmarkEnd w:id="112"/>
            <w:r>
              <w:rPr>
                <w:rFonts w:hint="eastAsia" w:ascii="宋体" w:hAnsi="宋体" w:eastAsia="宋体" w:cs="宋体"/>
                <w:color w:val="auto"/>
                <w:sz w:val="21"/>
                <w:szCs w:val="21"/>
                <w:highlight w:val="none"/>
              </w:rPr>
              <w:t>35.1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493B13D9">
            <w:pPr>
              <w:autoSpaceDE w:val="0"/>
              <w:autoSpaceDN w:val="0"/>
              <w:snapToGrid w:val="0"/>
              <w:spacing w:line="400" w:lineRule="exac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sym w:font="Wingdings 2" w:char="0052"/>
            </w:r>
            <w:r>
              <w:rPr>
                <w:rFonts w:hint="eastAsia" w:ascii="宋体" w:hAnsi="宋体"/>
                <w:color w:val="auto"/>
                <w:szCs w:val="21"/>
                <w:highlight w:val="none"/>
              </w:rPr>
              <w:t>本项目不收取履约保证金。</w:t>
            </w:r>
          </w:p>
        </w:tc>
      </w:tr>
      <w:tr w14:paraId="1C534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7C2670">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13" w:name="_40.1"/>
            <w:bookmarkEnd w:id="113"/>
            <w:r>
              <w:rPr>
                <w:rFonts w:hint="eastAsia" w:ascii="宋体" w:hAnsi="宋体" w:eastAsia="宋体" w:cs="宋体"/>
                <w:color w:val="auto"/>
                <w:sz w:val="21"/>
                <w:szCs w:val="21"/>
                <w:highlight w:val="none"/>
              </w:rPr>
              <w:t>36.1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0DC1EB3">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签订合同携带的证明材料：</w:t>
            </w:r>
          </w:p>
          <w:p w14:paraId="4A799C05">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委托代理人负责签订合同的，须携带授权委托书及委托代理人身份证原件等其他资格证件。</w:t>
            </w:r>
          </w:p>
          <w:p w14:paraId="5955AA61">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法定代表人负责签订合同的，须携带法定代表人身份证明原件及身份证原件等其他证明材料。</w:t>
            </w:r>
          </w:p>
        </w:tc>
      </w:tr>
      <w:tr w14:paraId="738F4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25C4B05">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267E90D6">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w:t>
            </w:r>
          </w:p>
          <w:p w14:paraId="21D64509">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质疑联系部门及联系方式：广西中信恒泰工程顾问有限公司</w:t>
            </w:r>
          </w:p>
          <w:p w14:paraId="6E415E15">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联系人及电话：</w:t>
            </w:r>
            <w:r>
              <w:rPr>
                <w:rFonts w:hint="eastAsia" w:ascii="宋体" w:hAnsi="宋体" w:eastAsia="宋体" w:cs="宋体"/>
                <w:bCs/>
                <w:color w:val="auto"/>
                <w:sz w:val="21"/>
                <w:szCs w:val="21"/>
                <w:highlight w:val="none"/>
                <w:lang w:eastAsia="zh-CN"/>
              </w:rPr>
              <w:t>黄红琳</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lang w:eastAsia="zh-CN"/>
              </w:rPr>
              <w:t>0771-5776253</w:t>
            </w:r>
          </w:p>
          <w:p w14:paraId="5B1B5BFC">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通讯地址：广西南宁市青秀区云景路69号南宁轨道大厦B</w:t>
            </w:r>
            <w:r>
              <w:rPr>
                <w:rFonts w:hint="eastAsia" w:ascii="宋体" w:hAnsi="宋体" w:eastAsia="宋体" w:cs="宋体"/>
                <w:color w:val="auto"/>
                <w:sz w:val="21"/>
                <w:szCs w:val="21"/>
                <w:highlight w:val="none"/>
                <w:lang w:eastAsia="zh-CN"/>
              </w:rPr>
              <w:t>座</w:t>
            </w:r>
            <w:r>
              <w:rPr>
                <w:rFonts w:hint="eastAsia" w:ascii="宋体" w:hAnsi="宋体" w:eastAsia="宋体" w:cs="宋体"/>
                <w:color w:val="auto"/>
                <w:sz w:val="21"/>
                <w:szCs w:val="21"/>
                <w:highlight w:val="none"/>
              </w:rPr>
              <w:t>15层</w:t>
            </w:r>
          </w:p>
          <w:p w14:paraId="3AD3369A">
            <w:pPr>
              <w:keepNext w:val="0"/>
              <w:keepLines w:val="0"/>
              <w:pageBreakBefore w:val="0"/>
              <w:kinsoku/>
              <w:wordWrap/>
              <w:overflowPunct/>
              <w:topLinePunct w:val="0"/>
              <w:autoSpaceDE w:val="0"/>
              <w:autoSpaceDN w:val="0"/>
              <w:bidi w:val="0"/>
              <w:adjustRightInd/>
              <w:snapToGrid w:val="0"/>
              <w:spacing w:line="4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现场提交质疑办理业务时间：工作日每天8时30分00秒到12时00分00秒，14时30分00秒到17时30分00秒，双休日和法定节假日不办理业务。</w:t>
            </w:r>
          </w:p>
        </w:tc>
      </w:tr>
      <w:tr w14:paraId="4D345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2572D3">
            <w:pPr>
              <w:keepNext w:val="0"/>
              <w:keepLines w:val="0"/>
              <w:pageBreakBefore w:val="0"/>
              <w:kinsoku/>
              <w:wordWrap/>
              <w:overflowPunct/>
              <w:topLinePunct w:val="0"/>
              <w:bidi w:val="0"/>
              <w:adjustRightInd/>
              <w:spacing w:line="480" w:lineRule="exact"/>
              <w:jc w:val="center"/>
              <w:rPr>
                <w:rFonts w:hint="eastAsia" w:ascii="宋体" w:hAnsi="宋体" w:eastAsia="宋体" w:cs="宋体"/>
                <w:color w:val="auto"/>
                <w:sz w:val="21"/>
                <w:szCs w:val="21"/>
                <w:highlight w:val="none"/>
              </w:rPr>
            </w:pPr>
            <w:bookmarkStart w:id="114" w:name="_42"/>
            <w:bookmarkEnd w:id="114"/>
            <w:bookmarkStart w:id="115" w:name="_41"/>
            <w:bookmarkEnd w:id="115"/>
            <w:bookmarkStart w:id="116" w:name="_Hlt17709148"/>
            <w:r>
              <w:rPr>
                <w:rFonts w:hint="eastAsia" w:ascii="宋体" w:hAnsi="宋体" w:eastAsia="宋体" w:cs="宋体"/>
                <w:color w:val="auto"/>
                <w:sz w:val="21"/>
                <w:szCs w:val="21"/>
                <w:highlight w:val="none"/>
              </w:rPr>
              <w:t>3</w:t>
            </w:r>
            <w:bookmarkEnd w:id="116"/>
            <w:r>
              <w:rPr>
                <w:rFonts w:hint="eastAsia" w:ascii="宋体" w:hAnsi="宋体" w:eastAsia="宋体" w:cs="宋体"/>
                <w:color w:val="auto"/>
                <w:sz w:val="21"/>
                <w:szCs w:val="21"/>
                <w:highlight w:val="none"/>
              </w:rPr>
              <w:t>9.1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471906D6">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1.采购代理费支付方式：</w:t>
            </w:r>
          </w:p>
          <w:p w14:paraId="584C910D">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☑本项目代理服务费由</w:t>
            </w:r>
            <w:r>
              <w:rPr>
                <w:rFonts w:hint="eastAsia" w:ascii="宋体" w:hAnsi="宋体" w:eastAsia="宋体" w:cs="宋体"/>
                <w:color w:val="auto"/>
                <w:sz w:val="21"/>
                <w:szCs w:val="21"/>
                <w:highlight w:val="none"/>
                <w:u w:val="single"/>
                <w:lang w:val="en-US" w:eastAsia="zh-CN"/>
              </w:rPr>
              <w:t>供应商</w:t>
            </w:r>
            <w:r>
              <w:rPr>
                <w:rFonts w:hint="eastAsia" w:ascii="宋体" w:hAnsi="宋体" w:eastAsia="宋体" w:cs="宋体"/>
                <w:color w:val="auto"/>
                <w:sz w:val="21"/>
                <w:szCs w:val="21"/>
                <w:highlight w:val="none"/>
                <w:lang w:val="en-US" w:eastAsia="zh-CN"/>
              </w:rPr>
              <w:t>在领取中标通知书前，一次性向采购代理机构支付。</w:t>
            </w:r>
          </w:p>
          <w:p w14:paraId="03099C1C">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2.采购代理费收取标准：</w:t>
            </w:r>
          </w:p>
          <w:p w14:paraId="00430484">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☑以分标（☑中标金额）为计费额，按本须知正文第39.2条规定的收费计算标准（☑服务招标）采用差额定率累进法计算出收费基准价格，采购代理收费按（☑收费基准价格下浮</w:t>
            </w:r>
            <w:r>
              <w:rPr>
                <w:rFonts w:hint="eastAsia"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）收取。</w:t>
            </w:r>
          </w:p>
          <w:p w14:paraId="17F21753">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3.账户名称：</w:t>
            </w:r>
          </w:p>
          <w:p w14:paraId="00A55BC5">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开户名称：广西中信恒泰工程顾问有限公司</w:t>
            </w:r>
          </w:p>
          <w:p w14:paraId="1E61FF95">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开户银行：建设银行南宁市金湖广场支行</w:t>
            </w:r>
          </w:p>
          <w:p w14:paraId="269FC264">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银行账号：4500 1604 2660 5250 2851</w:t>
            </w:r>
          </w:p>
        </w:tc>
      </w:tr>
      <w:tr w14:paraId="70233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7A847A2">
            <w:pPr>
              <w:keepNext w:val="0"/>
              <w:keepLines w:val="0"/>
              <w:pageBreakBefore w:val="0"/>
              <w:kinsoku/>
              <w:wordWrap/>
              <w:overflowPunct/>
              <w:topLinePunct w:val="0"/>
              <w:bidi w:val="0"/>
              <w:adjustRightInd/>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27FADE8">
            <w:pPr>
              <w:keepNext w:val="0"/>
              <w:keepLines w:val="0"/>
              <w:pageBreakBefore w:val="0"/>
              <w:kinsoku/>
              <w:wordWrap/>
              <w:overflowPunct/>
              <w:topLinePunct w:val="0"/>
              <w:bidi w:val="0"/>
              <w:adjustRightInd/>
              <w:snapToGrid w:val="0"/>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23560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9EBEA19">
            <w:pPr>
              <w:keepNext w:val="0"/>
              <w:keepLines w:val="0"/>
              <w:pageBreakBefore w:val="0"/>
              <w:kinsoku/>
              <w:wordWrap/>
              <w:overflowPunct/>
              <w:topLinePunct w:val="0"/>
              <w:bidi w:val="0"/>
              <w:adjustRightInd/>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w:t>
            </w:r>
          </w:p>
        </w:tc>
        <w:tc>
          <w:tcPr>
            <w:tcW w:w="8344" w:type="dxa"/>
            <w:tcBorders>
              <w:top w:val="single" w:color="auto" w:sz="4" w:space="0"/>
              <w:left w:val="single" w:color="auto" w:sz="4" w:space="0"/>
              <w:bottom w:val="single" w:color="auto" w:sz="4" w:space="0"/>
              <w:right w:val="single" w:color="auto" w:sz="4" w:space="0"/>
            </w:tcBorders>
            <w:noWrap w:val="0"/>
            <w:vAlign w:val="center"/>
          </w:tcPr>
          <w:p w14:paraId="1CCA5F0F">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3FD3D92">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2.本招标文件所称的“</w:t>
            </w:r>
            <w:r>
              <w:rPr>
                <w:rFonts w:hint="eastAsia" w:ascii="宋体" w:hAnsi="宋体" w:eastAsia="宋体" w:cs="宋体"/>
                <w:color w:val="auto"/>
                <w:sz w:val="21"/>
                <w:szCs w:val="21"/>
                <w:highlight w:val="none"/>
                <w:lang w:val="en-US" w:eastAsia="zh-CN"/>
              </w:rPr>
              <w:t>电子签章</w:t>
            </w:r>
            <w:r>
              <w:rPr>
                <w:rFonts w:hint="eastAsia" w:ascii="宋体" w:hAnsi="宋体" w:eastAsia="宋体" w:cs="宋体"/>
                <w:bCs/>
                <w:color w:val="auto"/>
                <w:sz w:val="21"/>
                <w:szCs w:val="21"/>
                <w:highlight w:val="none"/>
                <w:lang w:val="en-US" w:eastAsia="zh-CN"/>
              </w:rPr>
              <w:t>”、“电子签名”</w:t>
            </w:r>
            <w:r>
              <w:rPr>
                <w:rFonts w:hint="eastAsia" w:ascii="宋体" w:hAnsi="宋体" w:eastAsia="宋体" w:cs="宋体"/>
                <w:color w:val="auto"/>
                <w:sz w:val="21"/>
                <w:szCs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5D5E7939">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0899996">
            <w:pPr>
              <w:pStyle w:val="24"/>
              <w:keepNext w:val="0"/>
              <w:keepLines w:val="0"/>
              <w:pageBreakBefore w:val="0"/>
              <w:kinsoku/>
              <w:wordWrap/>
              <w:overflowPunct/>
              <w:topLinePunct w:val="0"/>
              <w:bidi w:val="0"/>
              <w:adjustRightInd/>
              <w:snapToGrid w:val="0"/>
              <w:spacing w:line="480" w:lineRule="exac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123FC93A">
            <w:pPr>
              <w:keepNext w:val="0"/>
              <w:keepLines w:val="0"/>
              <w:pageBreakBefore w:val="0"/>
              <w:kinsoku/>
              <w:wordWrap/>
              <w:overflowPunct/>
              <w:topLinePunct w:val="0"/>
              <w:bidi w:val="0"/>
              <w:adjustRightInd/>
              <w:spacing w:line="480" w:lineRule="exact"/>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bCs/>
                <w:color w:val="auto"/>
                <w:kern w:val="0"/>
                <w:sz w:val="21"/>
                <w:szCs w:val="21"/>
                <w:highlight w:val="none"/>
              </w:rPr>
              <w:t>本招标文件所称的“以上”“以下”“以内”“届满”，包括本数；所称的“不满”“超过”“以外”，不包括本数。</w:t>
            </w:r>
          </w:p>
        </w:tc>
      </w:tr>
    </w:tbl>
    <w:p w14:paraId="2236303D">
      <w:pPr>
        <w:pStyle w:val="5"/>
        <w:keepNext w:val="0"/>
        <w:keepLines w:val="0"/>
        <w:jc w:val="center"/>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sz w:val="44"/>
          <w:szCs w:val="44"/>
          <w:highlight w:val="none"/>
        </w:rPr>
        <w:t>投标人须知正文</w:t>
      </w:r>
    </w:p>
    <w:p w14:paraId="272EEC11">
      <w:pPr>
        <w:pStyle w:val="5"/>
        <w:keepNext w:val="0"/>
        <w:keepLines w:val="0"/>
        <w:jc w:val="center"/>
        <w:rPr>
          <w:rFonts w:hint="eastAsia" w:ascii="宋体" w:hAnsi="宋体" w:cs="宋体"/>
          <w:color w:val="auto"/>
          <w:highlight w:val="none"/>
        </w:rPr>
      </w:pPr>
      <w:r>
        <w:rPr>
          <w:rFonts w:hint="eastAsia" w:ascii="宋体" w:hAnsi="宋体" w:cs="宋体"/>
          <w:color w:val="auto"/>
          <w:highlight w:val="none"/>
        </w:rPr>
        <w:t>一、总则</w:t>
      </w:r>
    </w:p>
    <w:p w14:paraId="074775B2">
      <w:pPr>
        <w:pStyle w:val="7"/>
        <w:keepNext w:val="0"/>
        <w:keepLines w:val="0"/>
        <w:spacing w:before="0" w:after="0" w:line="500" w:lineRule="exact"/>
        <w:ind w:left="420" w:leftChars="200"/>
        <w:rPr>
          <w:rFonts w:hint="eastAsia" w:ascii="宋体" w:hAnsi="宋体" w:cs="宋体"/>
          <w:color w:val="auto"/>
          <w:sz w:val="24"/>
          <w:highlight w:val="none"/>
        </w:rPr>
      </w:pPr>
      <w:bookmarkStart w:id="117" w:name="_Toc254970527"/>
      <w:bookmarkStart w:id="118" w:name="_Toc254970668"/>
      <w:r>
        <w:rPr>
          <w:rFonts w:hint="eastAsia" w:ascii="宋体" w:hAnsi="宋体" w:cs="宋体"/>
          <w:color w:val="auto"/>
          <w:sz w:val="24"/>
          <w:highlight w:val="none"/>
        </w:rPr>
        <w:t>1.适用范围</w:t>
      </w:r>
      <w:bookmarkEnd w:id="117"/>
      <w:bookmarkEnd w:id="118"/>
    </w:p>
    <w:p w14:paraId="743FC407">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B7E98B9">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05D852D2">
      <w:pPr>
        <w:pStyle w:val="7"/>
        <w:keepNext w:val="0"/>
        <w:keepLines w:val="0"/>
        <w:spacing w:before="0" w:after="0" w:line="500" w:lineRule="exact"/>
        <w:ind w:left="420" w:leftChars="200"/>
        <w:rPr>
          <w:rFonts w:hint="eastAsia" w:ascii="宋体" w:hAnsi="宋体" w:cs="宋体"/>
          <w:color w:val="auto"/>
          <w:sz w:val="24"/>
          <w:highlight w:val="none"/>
        </w:rPr>
      </w:pPr>
      <w:bookmarkStart w:id="119" w:name="_Toc254970669"/>
      <w:bookmarkStart w:id="120" w:name="_Toc254970528"/>
      <w:r>
        <w:rPr>
          <w:rFonts w:hint="eastAsia" w:ascii="宋体" w:hAnsi="宋体" w:cs="宋体"/>
          <w:color w:val="auto"/>
          <w:sz w:val="24"/>
          <w:highlight w:val="none"/>
        </w:rPr>
        <w:t>2.定义</w:t>
      </w:r>
      <w:bookmarkEnd w:id="119"/>
      <w:bookmarkEnd w:id="120"/>
    </w:p>
    <w:p w14:paraId="60ED4749">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5D343475">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2D2693F2">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2.3“投标人”是指向采购人提供货物、工程或者服务的法人、其他组织或者自然人。</w:t>
      </w:r>
    </w:p>
    <w:p w14:paraId="29D1E7D1">
      <w:pPr>
        <w:pStyle w:val="8"/>
        <w:spacing w:line="500" w:lineRule="exact"/>
        <w:rPr>
          <w:rFonts w:hint="eastAsia" w:ascii="宋体" w:hAnsi="宋体" w:cs="宋体"/>
          <w:color w:val="auto"/>
          <w:szCs w:val="21"/>
          <w:highlight w:val="none"/>
        </w:rPr>
      </w:pPr>
      <w:r>
        <w:rPr>
          <w:rFonts w:hint="eastAsia" w:ascii="宋体" w:hAnsi="宋体" w:cs="宋体"/>
          <w:color w:val="auto"/>
          <w:szCs w:val="21"/>
          <w:highlight w:val="none"/>
        </w:rPr>
        <w:t>2.4“供应商”是指响应招标、参加投标竞争的法人、其他组织或者自然人。</w:t>
      </w:r>
    </w:p>
    <w:p w14:paraId="289D8B62">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2.5“服务”是指除货物和工程以外的其他政府采购对象。</w:t>
      </w:r>
    </w:p>
    <w:p w14:paraId="59FCC02F">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2.6“书面形式”是指合同书、信件和数据电文（包括电报、电传、传真、电子数据交换和电子邮件）等可以有形地表现所载内容的形式。</w:t>
      </w:r>
    </w:p>
    <w:p w14:paraId="6F20CC8E">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2.7“实质性要求”是指招标文件中已经指明不满足则投标无效的条款，或者不能负偏离的条款，或者采购需求中带“▲”的条款。</w:t>
      </w:r>
    </w:p>
    <w:p w14:paraId="6B38C07F">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629B0A22">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0F5119B6">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121" w:name="_Toc254970529"/>
      <w:bookmarkStart w:id="122" w:name="_Toc254970670"/>
    </w:p>
    <w:p w14:paraId="2E777E88">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w:t>
      </w:r>
      <w:bookmarkEnd w:id="121"/>
      <w:bookmarkEnd w:id="122"/>
      <w:r>
        <w:rPr>
          <w:rFonts w:hint="eastAsia" w:ascii="宋体" w:hAnsi="宋体" w:cs="宋体"/>
          <w:color w:val="auto"/>
          <w:sz w:val="24"/>
          <w:highlight w:val="none"/>
        </w:rPr>
        <w:t>投标人的资格要求</w:t>
      </w:r>
    </w:p>
    <w:p w14:paraId="79CE34D5">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6E711EEC">
      <w:pPr>
        <w:pStyle w:val="7"/>
        <w:keepNext w:val="0"/>
        <w:keepLines w:val="0"/>
        <w:spacing w:before="0" w:after="0" w:line="500" w:lineRule="exact"/>
        <w:ind w:left="420" w:leftChars="200"/>
        <w:rPr>
          <w:rFonts w:hint="eastAsia" w:ascii="宋体" w:hAnsi="宋体" w:cs="宋体"/>
          <w:color w:val="auto"/>
          <w:sz w:val="24"/>
          <w:highlight w:val="none"/>
        </w:rPr>
      </w:pPr>
      <w:bookmarkStart w:id="123" w:name="_Toc254970671"/>
      <w:bookmarkStart w:id="124" w:name="_Toc254970530"/>
      <w:r>
        <w:rPr>
          <w:rFonts w:hint="eastAsia" w:ascii="宋体" w:hAnsi="宋体" w:cs="宋体"/>
          <w:color w:val="auto"/>
          <w:sz w:val="24"/>
          <w:highlight w:val="none"/>
        </w:rPr>
        <w:t>4.投标委托</w:t>
      </w:r>
      <w:bookmarkEnd w:id="123"/>
      <w:bookmarkEnd w:id="124"/>
    </w:p>
    <w:p w14:paraId="3D3E8E0E">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3737BBFC">
      <w:pPr>
        <w:pStyle w:val="7"/>
        <w:keepNext w:val="0"/>
        <w:keepLines w:val="0"/>
        <w:spacing w:before="0" w:after="0" w:line="500" w:lineRule="exact"/>
        <w:ind w:left="420" w:leftChars="200"/>
        <w:rPr>
          <w:rFonts w:hint="eastAsia" w:ascii="宋体" w:hAnsi="宋体" w:cs="宋体"/>
          <w:color w:val="auto"/>
          <w:sz w:val="24"/>
          <w:highlight w:val="none"/>
        </w:rPr>
      </w:pPr>
      <w:bookmarkStart w:id="125" w:name="_5.投标费用"/>
      <w:bookmarkEnd w:id="125"/>
      <w:bookmarkStart w:id="126" w:name="_Toc254970672"/>
      <w:bookmarkStart w:id="127" w:name="_Toc254970531"/>
      <w:r>
        <w:rPr>
          <w:rFonts w:hint="eastAsia" w:ascii="宋体" w:hAnsi="宋体" w:cs="宋体"/>
          <w:color w:val="auto"/>
          <w:sz w:val="24"/>
          <w:highlight w:val="none"/>
        </w:rPr>
        <w:t>5.投标费用</w:t>
      </w:r>
      <w:bookmarkEnd w:id="126"/>
      <w:bookmarkEnd w:id="127"/>
    </w:p>
    <w:p w14:paraId="4293F731">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8864BDF">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6.联合体投标</w:t>
      </w:r>
    </w:p>
    <w:p w14:paraId="1DBBDDF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0F0C6FE9">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20D9B6F9">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4"/>
          <w:highlight w:val="none"/>
        </w:rPr>
        <w:t>7.转包与分包</w:t>
      </w:r>
      <w:bookmarkStart w:id="128" w:name="_Toc254970532"/>
      <w:bookmarkStart w:id="129" w:name="_Toc254970673"/>
    </w:p>
    <w:p w14:paraId="1AC0FEEE">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60601B0D">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9BF9B31">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243131D">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8.特别说明</w:t>
      </w:r>
      <w:bookmarkEnd w:id="128"/>
      <w:bookmarkEnd w:id="129"/>
    </w:p>
    <w:p w14:paraId="0440D86D">
      <w:pPr>
        <w:pStyle w:val="7"/>
        <w:keepNext w:val="0"/>
        <w:keepLines w:val="0"/>
        <w:spacing w:before="0" w:after="0" w:line="500" w:lineRule="exact"/>
        <w:ind w:firstLine="367" w:firstLineChars="17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36ABACD0">
      <w:pPr>
        <w:pStyle w:val="7"/>
        <w:keepNext w:val="0"/>
        <w:keepLines w:val="0"/>
        <w:spacing w:before="0" w:after="0" w:line="500" w:lineRule="exact"/>
        <w:ind w:firstLine="367" w:firstLineChars="17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8.2投标人应仔细阅读招标文件的所有内容，按照招标文件的要求提交投标文件，并对所提供的全部资料的真实性承担法律责任。</w:t>
      </w:r>
    </w:p>
    <w:p w14:paraId="6652895C">
      <w:pPr>
        <w:pStyle w:val="7"/>
        <w:keepNext w:val="0"/>
        <w:keepLines w:val="0"/>
        <w:spacing w:before="0" w:after="0" w:line="500" w:lineRule="exact"/>
        <w:ind w:firstLine="367" w:firstLineChars="17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8.3投标人在投标活动中提供任何虚假材料，将报监管部门查处；中标后发现的，供应商须依照《中华人民共和国消费者权益保护法》规定赔偿采购人，且民事赔偿并不免除违法投标人的行政与刑事责任。</w:t>
      </w:r>
    </w:p>
    <w:p w14:paraId="674E0BCD">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1D1793E2">
      <w:pPr>
        <w:pStyle w:val="7"/>
        <w:keepNext w:val="0"/>
        <w:keepLines w:val="0"/>
        <w:spacing w:before="0" w:after="0" w:line="500" w:lineRule="exact"/>
        <w:ind w:firstLine="367" w:firstLineChars="17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39E21BAE">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（1）参加采购活动前3年内与供应商存在劳动关系；</w:t>
      </w:r>
    </w:p>
    <w:p w14:paraId="7B667AB7">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（2）参加采购活动前3年内担任供应商的董事、监事；</w:t>
      </w:r>
    </w:p>
    <w:p w14:paraId="62A70820">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（3）参加采购活动前3年内是供应商的控股股东或者实际控制人；</w:t>
      </w:r>
    </w:p>
    <w:p w14:paraId="79627137">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（4）与供应商的法定代表人或者负责人有夫妻、直系血亲、三代以内旁系血亲或者近姻亲关系；</w:t>
      </w:r>
    </w:p>
    <w:p w14:paraId="0D09D543">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（5）与供应商有其他可能影响政府采购活动公平、公正进行的关系。</w:t>
      </w:r>
    </w:p>
    <w:p w14:paraId="44476169">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FB045FD">
      <w:pPr>
        <w:pStyle w:val="7"/>
        <w:keepNext w:val="0"/>
        <w:keepLines w:val="0"/>
        <w:spacing w:before="0" w:after="0" w:line="500" w:lineRule="exact"/>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5250A38A">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（1）不同投标人的投标文件由同一单位或者个人编制；或不同投标人报名的IP地址一致的；</w:t>
      </w:r>
    </w:p>
    <w:p w14:paraId="5376B94C">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（2）不同投标人委托同一单位或者个人办理投标事宜；</w:t>
      </w:r>
    </w:p>
    <w:p w14:paraId="24742D37">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（3）不同的投标人的投标文件载明的项目管理员为同一个人；</w:t>
      </w:r>
    </w:p>
    <w:p w14:paraId="72DC1C4F">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（4）不同投标人的投标文件异常一致或者投标报价呈规律性差异；</w:t>
      </w:r>
    </w:p>
    <w:p w14:paraId="6D4350A7">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（5）不同投标人的投标文件相互混装；</w:t>
      </w:r>
    </w:p>
    <w:p w14:paraId="019E9A06">
      <w:pPr>
        <w:pStyle w:val="24"/>
        <w:snapToGrid w:val="0"/>
        <w:spacing w:line="500" w:lineRule="exact"/>
        <w:ind w:left="2" w:leftChars="1" w:firstLine="422" w:firstLineChars="200"/>
        <w:rPr>
          <w:rFonts w:hint="eastAsia" w:hAnsi="宋体" w:cs="宋体"/>
          <w:b/>
          <w:color w:val="auto"/>
          <w:kern w:val="2"/>
          <w:sz w:val="21"/>
          <w:highlight w:val="none"/>
        </w:rPr>
      </w:pPr>
      <w:r>
        <w:rPr>
          <w:rFonts w:hint="eastAsia" w:hAnsi="宋体" w:cs="宋体"/>
          <w:b/>
          <w:color w:val="auto"/>
          <w:kern w:val="2"/>
          <w:sz w:val="21"/>
          <w:highlight w:val="none"/>
        </w:rPr>
        <w:t>（6）不同投标人的投标保证金从同一单位或者个人账户转出。</w:t>
      </w:r>
    </w:p>
    <w:p w14:paraId="2D1165D9">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9.3有下列情形之一的，属于恶意串通行为，将报同级监督管理部门：</w:t>
      </w:r>
    </w:p>
    <w:p w14:paraId="1CCEE343">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（1）供应商直接或者间接从采购人或者采购代理机构处获得其他供应商的相关信息并修改其投标文件或者响应文件；</w:t>
      </w:r>
    </w:p>
    <w:p w14:paraId="2662C4DC">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（2）供应商按照采购人或者采购代理机构的授意撤换、修改投标文件或者响应文件；</w:t>
      </w:r>
    </w:p>
    <w:p w14:paraId="072299D2">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（3）供应商之间协商报价、技术方案等投标文件或者响应文件的实质性内容；</w:t>
      </w:r>
    </w:p>
    <w:p w14:paraId="4292BEED">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（4）属于同一集团、协会、商会等组织成员的供应商按照该组织要求协同参加政府采购活动；</w:t>
      </w:r>
    </w:p>
    <w:p w14:paraId="2838BC7C">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2DF660A5">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（6）供应商之间商定部分供应商放弃参加政府采购活动或者放弃中标；</w:t>
      </w:r>
    </w:p>
    <w:p w14:paraId="6B5C1D02">
      <w:pPr>
        <w:pStyle w:val="24"/>
        <w:snapToGrid w:val="0"/>
        <w:spacing w:line="500" w:lineRule="exact"/>
        <w:ind w:left="2" w:leftChars="1" w:firstLine="420" w:firstLineChars="200"/>
        <w:rPr>
          <w:rFonts w:hint="eastAsia" w:hAnsi="宋体" w:cs="宋体"/>
          <w:color w:val="auto"/>
          <w:kern w:val="2"/>
          <w:sz w:val="21"/>
          <w:highlight w:val="none"/>
        </w:rPr>
      </w:pPr>
      <w:r>
        <w:rPr>
          <w:rFonts w:hint="eastAsia" w:hAnsi="宋体" w:cs="宋体"/>
          <w:color w:val="auto"/>
          <w:kern w:val="2"/>
          <w:sz w:val="21"/>
          <w:highlight w:val="none"/>
        </w:rPr>
        <w:t>（7）供应商与采购人或者采购代理机构之间、供应商相互之间，为谋求特定供应商中标或者排斥其他供应商的其他串通行为。</w:t>
      </w:r>
    </w:p>
    <w:p w14:paraId="64ADB0F1">
      <w:pPr>
        <w:pStyle w:val="24"/>
        <w:snapToGrid w:val="0"/>
        <w:spacing w:line="500" w:lineRule="exact"/>
        <w:ind w:left="2" w:leftChars="1" w:firstLine="422" w:firstLineChars="200"/>
        <w:rPr>
          <w:rFonts w:hint="eastAsia" w:hAnsi="宋体" w:cs="宋体"/>
          <w:b/>
          <w:color w:val="auto"/>
          <w:kern w:val="2"/>
          <w:sz w:val="21"/>
          <w:highlight w:val="none"/>
        </w:rPr>
      </w:pPr>
    </w:p>
    <w:p w14:paraId="0BC6D2B5">
      <w:pPr>
        <w:pStyle w:val="5"/>
        <w:keepNext w:val="0"/>
        <w:keepLines w:val="0"/>
        <w:spacing w:before="0" w:after="0" w:line="500" w:lineRule="exact"/>
        <w:jc w:val="center"/>
        <w:rPr>
          <w:rFonts w:hint="eastAsia" w:ascii="宋体" w:hAnsi="宋体" w:cs="宋体"/>
          <w:color w:val="auto"/>
          <w:highlight w:val="none"/>
        </w:rPr>
      </w:pPr>
      <w:bookmarkStart w:id="130" w:name="_Toc254970675"/>
      <w:bookmarkStart w:id="131" w:name="_Toc254970534"/>
      <w:r>
        <w:rPr>
          <w:rFonts w:hint="eastAsia" w:ascii="宋体" w:hAnsi="宋体" w:cs="宋体"/>
          <w:color w:val="auto"/>
          <w:highlight w:val="none"/>
        </w:rPr>
        <w:t>二、招标文件</w:t>
      </w:r>
      <w:bookmarkEnd w:id="130"/>
      <w:bookmarkEnd w:id="131"/>
    </w:p>
    <w:p w14:paraId="63E0343F">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0291AD76">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2D4E4E7A">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（2）采购需求；</w:t>
      </w:r>
    </w:p>
    <w:p w14:paraId="47A4518E">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3A4E1BF5">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045080B5">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35BC4BC3">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2050C038">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11.招标文件的澄清、修改、现场考察和答疑会</w:t>
      </w:r>
    </w:p>
    <w:p w14:paraId="4EDD36F1">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E0B423F">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9E8979">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11.2</w:t>
      </w:r>
      <w:bookmarkStart w:id="132"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132"/>
    <w:p w14:paraId="0DC2F427">
      <w:pPr>
        <w:pStyle w:val="5"/>
        <w:keepNext w:val="0"/>
        <w:keepLines w:val="0"/>
        <w:spacing w:before="0" w:after="0" w:line="500" w:lineRule="exact"/>
        <w:jc w:val="center"/>
        <w:rPr>
          <w:rFonts w:hint="eastAsia" w:ascii="宋体" w:hAnsi="宋体" w:cs="宋体"/>
          <w:color w:val="auto"/>
          <w:highlight w:val="none"/>
        </w:rPr>
      </w:pPr>
      <w:bookmarkStart w:id="133" w:name="_Toc254970535"/>
      <w:bookmarkStart w:id="134" w:name="_Toc254970676"/>
    </w:p>
    <w:p w14:paraId="736C3700">
      <w:pPr>
        <w:pStyle w:val="5"/>
        <w:keepNext w:val="0"/>
        <w:keepLines w:val="0"/>
        <w:spacing w:before="0" w:after="0" w:line="500" w:lineRule="exact"/>
        <w:jc w:val="center"/>
        <w:rPr>
          <w:rFonts w:hint="eastAsia" w:ascii="宋体" w:hAnsi="宋体" w:cs="宋体"/>
          <w:color w:val="auto"/>
          <w:highlight w:val="none"/>
        </w:rPr>
      </w:pPr>
      <w:r>
        <w:rPr>
          <w:rFonts w:hint="eastAsia" w:ascii="宋体" w:hAnsi="宋体" w:cs="宋体"/>
          <w:color w:val="auto"/>
          <w:highlight w:val="none"/>
        </w:rPr>
        <w:t>三、投标文件的编制</w:t>
      </w:r>
      <w:bookmarkEnd w:id="133"/>
      <w:bookmarkEnd w:id="134"/>
    </w:p>
    <w:p w14:paraId="03C3ED4B">
      <w:pPr>
        <w:pStyle w:val="7"/>
        <w:keepNext w:val="0"/>
        <w:keepLines w:val="0"/>
        <w:spacing w:before="0" w:after="0" w:line="500" w:lineRule="exact"/>
        <w:ind w:left="420" w:leftChars="200"/>
        <w:rPr>
          <w:rFonts w:hint="eastAsia" w:ascii="宋体" w:hAnsi="宋体" w:cs="宋体"/>
          <w:color w:val="auto"/>
          <w:sz w:val="24"/>
          <w:highlight w:val="none"/>
        </w:rPr>
      </w:pPr>
      <w:bookmarkStart w:id="135" w:name="_Toc254970677"/>
      <w:bookmarkStart w:id="136" w:name="_Toc254970536"/>
      <w:r>
        <w:rPr>
          <w:rFonts w:hint="eastAsia" w:ascii="宋体" w:hAnsi="宋体" w:cs="宋体"/>
          <w:color w:val="auto"/>
          <w:sz w:val="24"/>
          <w:highlight w:val="none"/>
        </w:rPr>
        <w:t>12.投标文件的编制原则</w:t>
      </w:r>
    </w:p>
    <w:p w14:paraId="31D97747">
      <w:pPr>
        <w:snapToGrid w:val="0"/>
        <w:spacing w:line="5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3D2942FA">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135"/>
      <w:bookmarkEnd w:id="136"/>
    </w:p>
    <w:p w14:paraId="7350F86D">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投标文件由报价文件、资格证明文件、商务技术文件三部分组成。</w:t>
      </w:r>
    </w:p>
    <w:p w14:paraId="28FBCD67">
      <w:pPr>
        <w:pStyle w:val="7"/>
        <w:keepNext w:val="0"/>
        <w:keepLines w:val="0"/>
        <w:spacing w:before="0" w:after="0" w:line="500" w:lineRule="exact"/>
        <w:ind w:left="420" w:leftChars="200"/>
        <w:rPr>
          <w:rFonts w:hint="eastAsia" w:ascii="宋体" w:hAnsi="宋体" w:cs="宋体"/>
          <w:b w:val="0"/>
          <w:color w:val="auto"/>
          <w:sz w:val="21"/>
          <w:szCs w:val="21"/>
          <w:highlight w:val="none"/>
        </w:rPr>
      </w:pPr>
      <w:bookmarkStart w:id="137" w:name="_13.1报价文件:_具体材料见“投标人须知前附表”。"/>
      <w:bookmarkEnd w:id="137"/>
      <w:r>
        <w:rPr>
          <w:rFonts w:hint="eastAsia" w:ascii="宋体" w:hAnsi="宋体" w:cs="宋体"/>
          <w:b w:val="0"/>
          <w:color w:val="auto"/>
          <w:sz w:val="21"/>
          <w:szCs w:val="21"/>
          <w:highlight w:val="none"/>
        </w:rPr>
        <w:t>（1）报价文件：具体材料见“投标人须知前附表”。</w:t>
      </w:r>
    </w:p>
    <w:p w14:paraId="1091EABD">
      <w:pPr>
        <w:pStyle w:val="7"/>
        <w:keepNext w:val="0"/>
        <w:keepLines w:val="0"/>
        <w:spacing w:before="0" w:after="0" w:line="500" w:lineRule="exact"/>
        <w:ind w:left="420" w:leftChars="200"/>
        <w:rPr>
          <w:rFonts w:hint="eastAsia" w:ascii="宋体" w:hAnsi="宋体" w:cs="宋体"/>
          <w:b w:val="0"/>
          <w:color w:val="auto"/>
          <w:sz w:val="21"/>
          <w:szCs w:val="21"/>
          <w:highlight w:val="none"/>
        </w:rPr>
      </w:pPr>
      <w:bookmarkStart w:id="138" w:name="_13.2资格证明文件：具体材料见“投标人须知前附表”。"/>
      <w:bookmarkEnd w:id="138"/>
      <w:r>
        <w:rPr>
          <w:rFonts w:hint="eastAsia" w:ascii="宋体" w:hAnsi="宋体" w:cs="宋体"/>
          <w:b w:val="0"/>
          <w:color w:val="auto"/>
          <w:sz w:val="21"/>
          <w:szCs w:val="21"/>
          <w:highlight w:val="none"/>
        </w:rPr>
        <w:t>（2）资格证明文件：具体材料见“投标人须知前附表”。</w:t>
      </w:r>
    </w:p>
    <w:p w14:paraId="3760F3DB">
      <w:pPr>
        <w:pStyle w:val="7"/>
        <w:keepNext w:val="0"/>
        <w:keepLines w:val="0"/>
        <w:spacing w:before="0" w:after="0" w:line="500" w:lineRule="exact"/>
        <w:ind w:left="420" w:leftChars="200"/>
        <w:rPr>
          <w:rFonts w:hint="eastAsia" w:ascii="宋体" w:hAnsi="宋体" w:cs="宋体"/>
          <w:b w:val="0"/>
          <w:color w:val="auto"/>
          <w:sz w:val="21"/>
          <w:szCs w:val="21"/>
          <w:highlight w:val="none"/>
        </w:rPr>
      </w:pPr>
      <w:bookmarkStart w:id="139" w:name="_13.3商务文件:_具体材料见“投标人须知前附表”。"/>
      <w:bookmarkEnd w:id="139"/>
      <w:r>
        <w:rPr>
          <w:rFonts w:hint="eastAsia" w:ascii="宋体" w:hAnsi="宋体" w:cs="宋体"/>
          <w:b w:val="0"/>
          <w:color w:val="auto"/>
          <w:sz w:val="21"/>
          <w:szCs w:val="21"/>
          <w:highlight w:val="none"/>
        </w:rPr>
        <w:t>（3）商务技术文件：具体材料见“投标人须知前附表”。</w:t>
      </w:r>
    </w:p>
    <w:p w14:paraId="600362A8">
      <w:pPr>
        <w:pStyle w:val="7"/>
        <w:keepNext w:val="0"/>
        <w:keepLines w:val="0"/>
        <w:spacing w:before="0" w:after="0" w:line="500" w:lineRule="exact"/>
        <w:ind w:left="420" w:leftChars="200"/>
        <w:rPr>
          <w:rFonts w:hint="eastAsia" w:ascii="宋体" w:hAnsi="宋体" w:cs="宋体"/>
          <w:color w:val="auto"/>
          <w:sz w:val="24"/>
          <w:highlight w:val="none"/>
        </w:rPr>
      </w:pPr>
      <w:bookmarkStart w:id="140" w:name="_13.5投标文件电子版：具体材料见“投标人须知前附表”。"/>
      <w:bookmarkEnd w:id="140"/>
      <w:bookmarkStart w:id="141" w:name="_13.4技术文件：具体材料见“投标人须知前附表”。"/>
      <w:bookmarkEnd w:id="141"/>
      <w:bookmarkStart w:id="142" w:name="_Toc254970678"/>
      <w:bookmarkStart w:id="143" w:name="_Toc254970537"/>
      <w:r>
        <w:rPr>
          <w:rFonts w:hint="eastAsia" w:ascii="宋体" w:hAnsi="宋体" w:cs="宋体"/>
          <w:color w:val="auto"/>
          <w:sz w:val="24"/>
          <w:highlight w:val="none"/>
        </w:rPr>
        <w:t>14.投标文件的语言及计量</w:t>
      </w:r>
      <w:bookmarkEnd w:id="142"/>
      <w:bookmarkEnd w:id="143"/>
    </w:p>
    <w:p w14:paraId="1081B9A7">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5EDE1B5F">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5FA599C">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3D381F29">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Cs/>
          <w:color w:val="auto"/>
          <w:sz w:val="21"/>
          <w:szCs w:val="21"/>
          <w:highlight w:val="none"/>
        </w:rPr>
        <w:t>，否则视同未响应。</w:t>
      </w:r>
    </w:p>
    <w:p w14:paraId="62BDF7B3">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15.投标的风险</w:t>
      </w:r>
    </w:p>
    <w:p w14:paraId="67885BDE">
      <w:pPr>
        <w:pStyle w:val="24"/>
        <w:snapToGrid w:val="0"/>
        <w:spacing w:line="500" w:lineRule="exact"/>
        <w:ind w:firstLine="420" w:firstLineChars="200"/>
        <w:jc w:val="left"/>
        <w:rPr>
          <w:rFonts w:hint="eastAsia"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64B63C39">
      <w:pPr>
        <w:pStyle w:val="7"/>
        <w:keepNext w:val="0"/>
        <w:keepLines w:val="0"/>
        <w:spacing w:before="0" w:after="0" w:line="500" w:lineRule="exact"/>
        <w:ind w:left="420" w:leftChars="200"/>
        <w:rPr>
          <w:rFonts w:hint="eastAsia" w:ascii="宋体" w:hAnsi="宋体" w:cs="宋体"/>
          <w:color w:val="auto"/>
          <w:sz w:val="24"/>
          <w:highlight w:val="none"/>
        </w:rPr>
      </w:pPr>
      <w:bookmarkStart w:id="144" w:name="_Toc254970679"/>
      <w:bookmarkStart w:id="145" w:name="_Toc254970538"/>
      <w:r>
        <w:rPr>
          <w:rFonts w:hint="eastAsia" w:ascii="宋体" w:hAnsi="宋体" w:cs="宋体"/>
          <w:color w:val="auto"/>
          <w:sz w:val="24"/>
          <w:highlight w:val="none"/>
        </w:rPr>
        <w:t>16.投标报价</w:t>
      </w:r>
      <w:bookmarkEnd w:id="144"/>
      <w:bookmarkEnd w:id="145"/>
    </w:p>
    <w:p w14:paraId="6C0AC43E">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60ABDCD5">
      <w:pPr>
        <w:pStyle w:val="7"/>
        <w:keepNext w:val="0"/>
        <w:keepLines w:val="0"/>
        <w:spacing w:before="0" w:after="0" w:line="500" w:lineRule="exact"/>
        <w:ind w:left="420" w:leftChars="200"/>
        <w:rPr>
          <w:rFonts w:hint="eastAsia" w:ascii="宋体" w:hAnsi="宋体" w:cs="宋体"/>
          <w:b w:val="0"/>
          <w:color w:val="auto"/>
          <w:sz w:val="21"/>
          <w:szCs w:val="21"/>
          <w:highlight w:val="none"/>
        </w:rPr>
      </w:pPr>
      <w:bookmarkStart w:id="146" w:name="_16.2投标报价具体定义见投标人须知前附表。"/>
      <w:bookmarkEnd w:id="146"/>
      <w:r>
        <w:rPr>
          <w:rFonts w:hint="eastAsia" w:ascii="宋体" w:hAnsi="宋体" w:cs="宋体"/>
          <w:b w:val="0"/>
          <w:color w:val="auto"/>
          <w:sz w:val="21"/>
          <w:szCs w:val="21"/>
          <w:highlight w:val="none"/>
        </w:rPr>
        <w:t>16.2投标报价具体包括内容详见“投标人须知前附表”。</w:t>
      </w:r>
    </w:p>
    <w:p w14:paraId="19C4627D">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7B30B206">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17.投标有效期</w:t>
      </w:r>
    </w:p>
    <w:p w14:paraId="07CEBB8B">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bookmarkStart w:id="147" w:name="_17.1投标有效期应按“投标人须知中的前附表”规定的期限。"/>
      <w:bookmarkEnd w:id="147"/>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7332E51D">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48" w:name="_Toc254970540"/>
      <w:bookmarkStart w:id="149" w:name="_Toc254970681"/>
      <w:r>
        <w:rPr>
          <w:rFonts w:hint="eastAsia" w:ascii="宋体" w:hAnsi="宋体" w:cs="宋体"/>
          <w:b w:val="0"/>
          <w:color w:val="auto"/>
          <w:sz w:val="21"/>
          <w:szCs w:val="21"/>
          <w:highlight w:val="none"/>
        </w:rPr>
        <w:t xml:space="preserve"> 投标有效期应按规定的期限作出承诺，具体详见“投标人须知前附表”。</w:t>
      </w:r>
    </w:p>
    <w:p w14:paraId="51714C18">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48"/>
      <w:bookmarkEnd w:id="149"/>
    </w:p>
    <w:p w14:paraId="6FB3F9B8">
      <w:pPr>
        <w:pStyle w:val="7"/>
        <w:keepNext w:val="0"/>
        <w:keepLines w:val="0"/>
        <w:spacing w:before="0" w:after="0" w:line="500" w:lineRule="exact"/>
        <w:ind w:left="420" w:leftChars="200"/>
        <w:rPr>
          <w:rFonts w:hint="eastAsia" w:ascii="宋体" w:hAnsi="宋体" w:cs="宋体"/>
          <w:color w:val="auto"/>
          <w:sz w:val="24"/>
          <w:highlight w:val="none"/>
        </w:rPr>
      </w:pPr>
      <w:bookmarkStart w:id="150" w:name="_18.投标保证金"/>
      <w:bookmarkEnd w:id="150"/>
      <w:bookmarkStart w:id="151" w:name="_Toc254970682"/>
      <w:bookmarkStart w:id="152" w:name="_Toc254970541"/>
      <w:r>
        <w:rPr>
          <w:rFonts w:hint="eastAsia" w:ascii="宋体" w:hAnsi="宋体" w:cs="宋体"/>
          <w:color w:val="auto"/>
          <w:sz w:val="24"/>
          <w:highlight w:val="none"/>
        </w:rPr>
        <w:t>18.投标保证金</w:t>
      </w:r>
      <w:bookmarkEnd w:id="151"/>
      <w:bookmarkEnd w:id="152"/>
    </w:p>
    <w:p w14:paraId="67AB97A7">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18.1投标人须按“投标人须知前附表”的规定提交投标保证金。</w:t>
      </w:r>
    </w:p>
    <w:p w14:paraId="2DE36945">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7F6E2F11">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5743840A">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2CEE9FDB">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18.4投标人有下列情形之一的，投标保证金将不予退还：</w:t>
      </w:r>
    </w:p>
    <w:p w14:paraId="19839D68">
      <w:pPr>
        <w:snapToGrid w:val="0"/>
        <w:spacing w:line="50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760C59E2">
      <w:pPr>
        <w:snapToGrid w:val="0"/>
        <w:spacing w:line="50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35D41B6D">
      <w:pPr>
        <w:snapToGrid w:val="0"/>
        <w:spacing w:line="50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7C799136">
      <w:pPr>
        <w:snapToGrid w:val="0"/>
        <w:spacing w:line="50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124CB839">
      <w:pPr>
        <w:snapToGrid w:val="0"/>
        <w:spacing w:line="500" w:lineRule="exact"/>
        <w:ind w:firstLine="420" w:firstLineChars="200"/>
        <w:rPr>
          <w:rFonts w:hint="eastAsia" w:ascii="宋体" w:hAnsi="宋体" w:cs="宋体"/>
          <w:color w:val="auto"/>
          <w:szCs w:val="21"/>
          <w:highlight w:val="none"/>
        </w:rPr>
      </w:pPr>
      <w:bookmarkStart w:id="153" w:name="_Toc254970542"/>
      <w:bookmarkStart w:id="154" w:name="_Toc254970683"/>
      <w:r>
        <w:rPr>
          <w:rFonts w:hint="eastAsia" w:ascii="宋体" w:hAnsi="宋体" w:cs="宋体"/>
          <w:color w:val="auto"/>
          <w:szCs w:val="21"/>
          <w:highlight w:val="none"/>
        </w:rPr>
        <w:t>（5）投标人出现本章第9.2、9.3情形的；</w:t>
      </w:r>
    </w:p>
    <w:p w14:paraId="7D109E3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53"/>
    <w:bookmarkEnd w:id="154"/>
    <w:p w14:paraId="2882B6EC">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4"/>
          <w:highlight w:val="none"/>
        </w:rPr>
        <w:t>19.投标文件的编制</w:t>
      </w:r>
    </w:p>
    <w:p w14:paraId="018788B6">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79330DCD">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bookmarkStart w:id="155" w:name="_19.2投标文件应按报价文件、资格证明文件、商务文件、技术文件分别编制"/>
      <w:bookmarkEnd w:id="155"/>
      <w:r>
        <w:rPr>
          <w:rFonts w:hint="eastAsia" w:ascii="宋体" w:hAnsi="宋体" w:cs="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1E680200">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1D6113EF">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广西政府采购云中获取招标文件的投标人名称一致，投标人为自然人的，标注的投标人名称应与身份证姓名及签名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48DF66AA">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08A2A24">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20.电子备份投标文件</w:t>
      </w:r>
    </w:p>
    <w:p w14:paraId="11E2BAF9">
      <w:pPr>
        <w:spacing w:line="500" w:lineRule="exact"/>
        <w:ind w:firstLine="420" w:firstLineChars="200"/>
        <w:rPr>
          <w:rFonts w:hint="eastAsia" w:ascii="宋体" w:hAnsi="宋体" w:cs="宋体"/>
          <w:color w:val="auto"/>
          <w:sz w:val="24"/>
          <w:highlight w:val="none"/>
        </w:rPr>
      </w:pPr>
      <w:r>
        <w:rPr>
          <w:rFonts w:hint="eastAsia" w:ascii="宋体" w:hAnsi="宋体" w:cs="宋体"/>
          <w:color w:val="auto"/>
          <w:highlight w:val="none"/>
        </w:rPr>
        <w:t>电子备份投标文件是指通过“广西政府采购云电子投标客户端”在线编制生成且后缀名为“bfbs”的文件，是否接受电子备份投标文件</w:t>
      </w:r>
      <w:r>
        <w:rPr>
          <w:rFonts w:hint="eastAsia" w:ascii="宋体" w:hAnsi="宋体" w:cs="宋体"/>
          <w:bCs/>
          <w:color w:val="auto"/>
          <w:szCs w:val="21"/>
          <w:highlight w:val="none"/>
        </w:rPr>
        <w:t>详见“投标人须知前附表”。</w:t>
      </w:r>
    </w:p>
    <w:p w14:paraId="4E660242">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72AF43C1">
      <w:pPr>
        <w:spacing w:line="500" w:lineRule="exact"/>
        <w:ind w:firstLine="420" w:firstLineChars="200"/>
        <w:rPr>
          <w:rFonts w:hint="eastAsia" w:ascii="宋体" w:hAnsi="宋体" w:cs="宋体"/>
          <w:b/>
          <w:color w:val="auto"/>
          <w:highlight w:val="none"/>
        </w:rPr>
      </w:pPr>
      <w:bookmarkStart w:id="156" w:name="_21.1投标人必须在“投标人须知中的前附表”规定的投标文件接收时间和投"/>
      <w:bookmarkEnd w:id="156"/>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投标文件提交截止时间前将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kern w:val="0"/>
          <w:szCs w:val="21"/>
          <w:highlight w:val="none"/>
        </w:rPr>
        <w:t>广西政府采购云平台</w:t>
      </w:r>
      <w:r>
        <w:rPr>
          <w:rFonts w:hint="eastAsia" w:ascii="宋体" w:hAnsi="宋体" w:cs="宋体"/>
          <w:bCs/>
          <w:color w:val="auto"/>
          <w:szCs w:val="21"/>
          <w:highlight w:val="none"/>
        </w:rPr>
        <w:t>。</w:t>
      </w:r>
    </w:p>
    <w:p w14:paraId="2FD73854">
      <w:pPr>
        <w:spacing w:line="500" w:lineRule="exact"/>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298625F3">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22.投标文件的补充、修改、撤回与退回</w:t>
      </w:r>
    </w:p>
    <w:p w14:paraId="1384D4D8">
      <w:pPr>
        <w:snapToGrid w:val="0"/>
        <w:spacing w:line="500" w:lineRule="exact"/>
        <w:ind w:firstLine="420"/>
        <w:jc w:val="left"/>
        <w:rPr>
          <w:rFonts w:hint="eastAsia" w:ascii="宋体" w:hAnsi="宋体" w:cs="宋体"/>
          <w:color w:val="auto"/>
          <w:szCs w:val="21"/>
          <w:highlight w:val="none"/>
        </w:rPr>
      </w:pPr>
      <w:bookmarkStart w:id="157" w:name="_Toc254970543"/>
      <w:bookmarkStart w:id="158"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57"/>
    <w:bookmarkEnd w:id="158"/>
    <w:p w14:paraId="4E0CF957">
      <w:pPr>
        <w:pStyle w:val="124"/>
        <w:spacing w:before="0" w:line="5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22.2广西政府采购云平台收到投标文件后向投标人发出确认回执通知。在投标截止时间前，除投标人补充、修改或者撤回投标文件外，任何单位和个人不得解密或提取投标文件。</w:t>
      </w:r>
    </w:p>
    <w:p w14:paraId="43033EF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5344E010">
      <w:pPr>
        <w:pStyle w:val="5"/>
        <w:keepNext w:val="0"/>
        <w:keepLines w:val="0"/>
        <w:spacing w:before="0" w:after="0" w:line="500" w:lineRule="exact"/>
        <w:jc w:val="center"/>
        <w:rPr>
          <w:rFonts w:hint="eastAsia" w:ascii="宋体" w:hAnsi="宋体" w:cs="宋体"/>
          <w:color w:val="auto"/>
          <w:highlight w:val="none"/>
        </w:rPr>
      </w:pPr>
      <w:bookmarkStart w:id="159" w:name="_Toc254970544"/>
      <w:bookmarkStart w:id="160" w:name="_Toc254970685"/>
    </w:p>
    <w:p w14:paraId="28CA489A">
      <w:pPr>
        <w:pStyle w:val="5"/>
        <w:keepNext w:val="0"/>
        <w:keepLines w:val="0"/>
        <w:spacing w:before="0" w:after="0" w:line="500" w:lineRule="exact"/>
        <w:jc w:val="center"/>
        <w:rPr>
          <w:rFonts w:hint="eastAsia" w:ascii="宋体" w:hAnsi="宋体" w:cs="宋体"/>
          <w:color w:val="auto"/>
          <w:highlight w:val="none"/>
        </w:rPr>
      </w:pPr>
      <w:r>
        <w:rPr>
          <w:rFonts w:hint="eastAsia" w:ascii="宋体" w:hAnsi="宋体" w:cs="宋体"/>
          <w:color w:val="auto"/>
          <w:highlight w:val="none"/>
        </w:rPr>
        <w:t>四、开标</w:t>
      </w:r>
      <w:bookmarkEnd w:id="159"/>
      <w:bookmarkEnd w:id="160"/>
    </w:p>
    <w:p w14:paraId="3ACF4BC5">
      <w:pPr>
        <w:pStyle w:val="7"/>
        <w:keepNext w:val="0"/>
        <w:keepLines w:val="0"/>
        <w:spacing w:before="0" w:after="0" w:line="500" w:lineRule="exact"/>
        <w:ind w:left="420" w:leftChars="200"/>
        <w:rPr>
          <w:rFonts w:hint="eastAsia" w:ascii="宋体" w:hAnsi="宋体" w:cs="宋体"/>
          <w:color w:val="auto"/>
          <w:sz w:val="24"/>
          <w:highlight w:val="none"/>
        </w:rPr>
      </w:pPr>
      <w:bookmarkStart w:id="161" w:name="_23.开标时间和地点"/>
      <w:bookmarkEnd w:id="161"/>
      <w:r>
        <w:rPr>
          <w:rFonts w:hint="eastAsia" w:ascii="宋体" w:hAnsi="宋体" w:cs="宋体"/>
          <w:color w:val="auto"/>
          <w:sz w:val="24"/>
          <w:highlight w:val="none"/>
        </w:rPr>
        <w:t>23.开标时间和地点</w:t>
      </w:r>
    </w:p>
    <w:p w14:paraId="5DFF3861">
      <w:pPr>
        <w:spacing w:line="50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26CA377E">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24.开标程序</w:t>
      </w:r>
    </w:p>
    <w:p w14:paraId="7D625029">
      <w:pPr>
        <w:pStyle w:val="8"/>
        <w:spacing w:line="500" w:lineRule="exact"/>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686FA4C2">
      <w:pPr>
        <w:pStyle w:val="8"/>
        <w:spacing w:line="500" w:lineRule="exact"/>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24.2采购代理机构将按照招标文件规定的时间通过广西政府采购云平台组织线上开标活动，所有投标人均应当准时在线参加，投标人因未在线参加开标而导致投标文件无法按时解密等一切后果由投标人自己承担。</w:t>
      </w:r>
    </w:p>
    <w:p w14:paraId="31F2791F">
      <w:pPr>
        <w:pStyle w:val="8"/>
        <w:spacing w:line="500" w:lineRule="exact"/>
        <w:rPr>
          <w:rFonts w:hint="eastAsia" w:ascii="宋体" w:hAnsi="宋体" w:cs="宋体"/>
          <w:color w:val="auto"/>
          <w:highlight w:val="none"/>
        </w:rPr>
      </w:pPr>
      <w:r>
        <w:rPr>
          <w:rFonts w:hint="eastAsia" w:ascii="宋体" w:hAnsi="宋体" w:cs="宋体"/>
          <w:color w:val="auto"/>
          <w:highlight w:val="none"/>
        </w:rPr>
        <w:t>24.3开标程序</w:t>
      </w:r>
    </w:p>
    <w:p w14:paraId="3E0B165D">
      <w:pPr>
        <w:pStyle w:val="8"/>
        <w:spacing w:line="500" w:lineRule="exact"/>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1BCC530B">
      <w:pPr>
        <w:pStyle w:val="8"/>
        <w:spacing w:line="500" w:lineRule="exact"/>
        <w:rPr>
          <w:rFonts w:hint="eastAsia" w:ascii="宋体" w:hAnsi="宋体" w:cs="宋体"/>
          <w:color w:val="auto"/>
          <w:highlight w:val="none"/>
        </w:rPr>
      </w:pPr>
      <w:r>
        <w:rPr>
          <w:rFonts w:hint="eastAsia" w:ascii="宋体" w:hAnsi="宋体" w:cs="宋体"/>
          <w:color w:val="auto"/>
          <w:highlight w:val="none"/>
        </w:rPr>
        <w:t>（2）电子唱标。投标文件解密结束，宣布的内容均在</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415B00A6">
      <w:pPr>
        <w:pStyle w:val="8"/>
        <w:spacing w:line="500" w:lineRule="exact"/>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478E9C2">
      <w:pPr>
        <w:pStyle w:val="8"/>
        <w:spacing w:line="500" w:lineRule="exact"/>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222A408">
      <w:pPr>
        <w:pStyle w:val="8"/>
        <w:spacing w:line="500" w:lineRule="exact"/>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9453E23">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特别说明：如</w:t>
      </w:r>
      <w:r>
        <w:rPr>
          <w:rFonts w:hint="eastAsia" w:hAnsi="宋体" w:cs="宋体"/>
          <w:color w:val="auto"/>
          <w:kern w:val="2"/>
          <w:sz w:val="21"/>
          <w:szCs w:val="20"/>
          <w:highlight w:val="none"/>
        </w:rPr>
        <w:t>遇广西政府采购云平台电子化开标或评审</w:t>
      </w:r>
      <w:r>
        <w:rPr>
          <w:rFonts w:hint="eastAsia" w:hAnsi="宋体" w:cs="宋体"/>
          <w:color w:val="auto"/>
          <w:sz w:val="21"/>
          <w:highlight w:val="none"/>
        </w:rPr>
        <w:t>程序调整的，按调整后执行。</w:t>
      </w:r>
    </w:p>
    <w:p w14:paraId="72BDF1AB">
      <w:pPr>
        <w:pStyle w:val="24"/>
        <w:snapToGrid w:val="0"/>
        <w:spacing w:line="500" w:lineRule="exact"/>
        <w:ind w:left="689" w:leftChars="228" w:hanging="210" w:hangingChars="100"/>
        <w:rPr>
          <w:rFonts w:hint="eastAsia" w:hAnsi="宋体" w:cs="宋体"/>
          <w:color w:val="auto"/>
          <w:sz w:val="21"/>
          <w:highlight w:val="none"/>
        </w:rPr>
      </w:pPr>
    </w:p>
    <w:p w14:paraId="44BEE139">
      <w:pPr>
        <w:pStyle w:val="5"/>
        <w:keepNext w:val="0"/>
        <w:keepLines w:val="0"/>
        <w:spacing w:before="0" w:after="0" w:line="500" w:lineRule="exact"/>
        <w:jc w:val="center"/>
        <w:rPr>
          <w:rFonts w:hint="eastAsia" w:ascii="宋体" w:hAnsi="宋体" w:cs="宋体"/>
          <w:color w:val="auto"/>
          <w:highlight w:val="none"/>
        </w:rPr>
      </w:pPr>
      <w:r>
        <w:rPr>
          <w:rFonts w:hint="eastAsia" w:ascii="宋体" w:hAnsi="宋体" w:cs="宋体"/>
          <w:color w:val="auto"/>
          <w:highlight w:val="none"/>
        </w:rPr>
        <w:t>五、资格审查</w:t>
      </w:r>
    </w:p>
    <w:p w14:paraId="3CF0CD5C">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4"/>
          <w:highlight w:val="none"/>
        </w:rPr>
        <w:t>25.资格审查</w:t>
      </w:r>
    </w:p>
    <w:p w14:paraId="198E705F">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25.1开标结束后，采购人或者采购代理机构通过电子开评标系统依据招标文件对电子投标文件进行线上资格审查。</w:t>
      </w:r>
    </w:p>
    <w:p w14:paraId="0F00D3C6">
      <w:pPr>
        <w:pStyle w:val="7"/>
        <w:keepNext w:val="0"/>
        <w:keepLines w:val="0"/>
        <w:spacing w:before="0" w:after="0" w:line="500" w:lineRule="exact"/>
        <w:ind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015754AA">
      <w:pPr>
        <w:pStyle w:val="7"/>
        <w:keepNext w:val="0"/>
        <w:keepLines w:val="0"/>
        <w:numPr>
          <w:ilvl w:val="0"/>
          <w:numId w:val="0"/>
        </w:numPr>
        <w:spacing w:before="0" w:after="0" w:line="500" w:lineRule="exact"/>
        <w:ind w:firstLine="422" w:firstLineChars="200"/>
        <w:rPr>
          <w:rFonts w:hint="eastAsia" w:ascii="宋体" w:hAnsi="宋体" w:cs="宋体"/>
          <w:color w:val="auto"/>
          <w:sz w:val="21"/>
          <w:szCs w:val="21"/>
          <w:highlight w:val="none"/>
        </w:rPr>
      </w:pPr>
      <w:bookmarkStart w:id="162" w:name="_25.3_投标人有下列情形之一的，资格审查不通过而导致其投标无效："/>
      <w:bookmarkEnd w:id="162"/>
      <w:r>
        <w:rPr>
          <w:rFonts w:hint="eastAsia" w:ascii="宋体" w:hAnsi="宋体" w:cs="宋体"/>
          <w:color w:val="auto"/>
          <w:sz w:val="21"/>
          <w:szCs w:val="21"/>
          <w:highlight w:val="none"/>
        </w:rPr>
        <w:t>25.3投标人有下列情形之一的，资格审查不通过，作无效投标处理：</w:t>
      </w:r>
    </w:p>
    <w:p w14:paraId="62EEA9A0">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（1）不具备招标文件中规定的资格要求的；</w:t>
      </w:r>
    </w:p>
    <w:p w14:paraId="4C7349A5">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B865393">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（3）同一合同项下的不同投标人，单位负责人为同一人或者存在直接控股、管理关系的；为本项目提供过整体设计、规范编制或者项目管理、监理、检测等服务的投标人</w:t>
      </w:r>
      <w:r>
        <w:rPr>
          <w:rFonts w:hint="eastAsia" w:hAnsi="宋体" w:cs="宋体"/>
          <w:b/>
          <w:color w:val="auto"/>
          <w:sz w:val="21"/>
          <w:highlight w:val="none"/>
          <w:lang w:eastAsia="zh-CN"/>
        </w:rPr>
        <w:t>，不</w:t>
      </w:r>
      <w:r>
        <w:rPr>
          <w:rFonts w:hint="eastAsia" w:hAnsi="宋体" w:cs="宋体"/>
          <w:b/>
          <w:color w:val="auto"/>
          <w:sz w:val="21"/>
          <w:highlight w:val="none"/>
        </w:rPr>
        <w:t>再参加该采购项目的其他采购活动的；</w:t>
      </w:r>
    </w:p>
    <w:p w14:paraId="3CF67E04">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12D0ED78">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48FCE7C3">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45D74A49">
      <w:pPr>
        <w:pStyle w:val="24"/>
        <w:snapToGrid w:val="0"/>
        <w:spacing w:line="500" w:lineRule="exact"/>
        <w:ind w:left="689" w:leftChars="228" w:hanging="210" w:hangingChars="100"/>
        <w:rPr>
          <w:rFonts w:hint="eastAsia" w:hAnsi="宋体" w:cs="宋体"/>
          <w:color w:val="auto"/>
          <w:sz w:val="21"/>
          <w:highlight w:val="none"/>
        </w:rPr>
      </w:pPr>
    </w:p>
    <w:p w14:paraId="687ABF47">
      <w:pPr>
        <w:pStyle w:val="5"/>
        <w:keepNext w:val="0"/>
        <w:keepLines w:val="0"/>
        <w:spacing w:before="0" w:after="0" w:line="500" w:lineRule="exact"/>
        <w:jc w:val="center"/>
        <w:rPr>
          <w:rFonts w:hint="eastAsia" w:ascii="宋体" w:hAnsi="宋体" w:cs="宋体"/>
          <w:color w:val="auto"/>
          <w:highlight w:val="none"/>
        </w:rPr>
      </w:pPr>
      <w:r>
        <w:rPr>
          <w:rFonts w:hint="eastAsia" w:ascii="宋体" w:hAnsi="宋体" w:cs="宋体"/>
          <w:color w:val="auto"/>
          <w:highlight w:val="none"/>
        </w:rPr>
        <w:t>六、评标</w:t>
      </w:r>
    </w:p>
    <w:p w14:paraId="001E1F1A">
      <w:pPr>
        <w:pStyle w:val="7"/>
        <w:keepNext w:val="0"/>
        <w:keepLines w:val="0"/>
        <w:spacing w:before="0" w:after="0" w:line="500" w:lineRule="exact"/>
        <w:ind w:left="420" w:leftChars="200"/>
        <w:rPr>
          <w:rFonts w:hint="eastAsia" w:ascii="宋体" w:hAnsi="宋体" w:cs="宋体"/>
          <w:color w:val="auto"/>
          <w:sz w:val="24"/>
          <w:highlight w:val="none"/>
        </w:rPr>
      </w:pPr>
      <w:bookmarkStart w:id="163" w:name="_26.组建评标委员会"/>
      <w:bookmarkEnd w:id="163"/>
      <w:r>
        <w:rPr>
          <w:rFonts w:hint="eastAsia" w:ascii="宋体" w:hAnsi="宋体" w:cs="宋体"/>
          <w:color w:val="auto"/>
          <w:sz w:val="24"/>
          <w:highlight w:val="none"/>
        </w:rPr>
        <w:t>26.组建评标委员会</w:t>
      </w:r>
    </w:p>
    <w:p w14:paraId="5ADB9F7C">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09187F2D">
      <w:pPr>
        <w:pStyle w:val="24"/>
        <w:snapToGrid w:val="0"/>
        <w:spacing w:line="500" w:lineRule="exact"/>
        <w:ind w:left="2" w:leftChars="1" w:firstLine="420" w:firstLineChars="200"/>
        <w:rPr>
          <w:rFonts w:hint="eastAsia"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3A6C3A24">
      <w:pPr>
        <w:pStyle w:val="24"/>
        <w:snapToGrid w:val="0"/>
        <w:spacing w:line="500" w:lineRule="exact"/>
        <w:ind w:left="2" w:leftChars="1" w:firstLine="420" w:firstLineChars="200"/>
        <w:rPr>
          <w:rFonts w:hint="eastAsia"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采购代理机构应当基</w:t>
      </w:r>
      <w:r>
        <w:rPr>
          <w:rFonts w:hint="eastAsia" w:hAnsi="宋体" w:cs="宋体"/>
          <w:color w:val="auto"/>
          <w:sz w:val="21"/>
          <w:highlight w:val="none"/>
        </w:rPr>
        <w:t>于广西政府采购云平台抽（选）取评</w:t>
      </w:r>
      <w:r>
        <w:rPr>
          <w:rFonts w:hint="eastAsia" w:hAnsi="宋体" w:cs="宋体"/>
          <w:bCs/>
          <w:color w:val="auto"/>
          <w:sz w:val="21"/>
          <w:highlight w:val="none"/>
        </w:rPr>
        <w:t>审专家。</w:t>
      </w:r>
    </w:p>
    <w:p w14:paraId="457AA5CF">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27.评标的依据</w:t>
      </w:r>
    </w:p>
    <w:p w14:paraId="475AA873">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w:t>
      </w:r>
      <w:r>
        <w:rPr>
          <w:rFonts w:hint="eastAsia" w:hAnsi="宋体" w:cs="宋体"/>
          <w:color w:val="auto"/>
          <w:sz w:val="21"/>
          <w:highlight w:val="none"/>
          <w:lang w:eastAsia="zh-CN"/>
        </w:rPr>
        <w:t>做为</w:t>
      </w:r>
      <w:r>
        <w:rPr>
          <w:rFonts w:hint="eastAsia" w:hAnsi="宋体" w:cs="宋体"/>
          <w:color w:val="auto"/>
          <w:sz w:val="21"/>
          <w:highlight w:val="none"/>
        </w:rPr>
        <w:t>评标依据。</w:t>
      </w:r>
    </w:p>
    <w:p w14:paraId="7A9F57AF">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28.评标原则</w:t>
      </w:r>
    </w:p>
    <w:p w14:paraId="277C49A9">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9C68B9C">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28.2</w:t>
      </w:r>
      <w:bookmarkStart w:id="164" w:name="_28.3评标方法。本项目将按须知前附表规定的评标办法进行评标，具体评标"/>
      <w:bookmarkEnd w:id="164"/>
      <w:r>
        <w:rPr>
          <w:rFonts w:hint="eastAsia" w:hAnsi="宋体" w:cs="宋体"/>
          <w:color w:val="auto"/>
          <w:sz w:val="21"/>
          <w:highlight w:val="none"/>
        </w:rPr>
        <w:t>评委表决。评标委员会成员对需要共同认定的事项存在争议的，应当按照少数服从多数的原则作出结论。</w:t>
      </w:r>
    </w:p>
    <w:p w14:paraId="42D19BBC">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2762749">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3FF9361C">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29.评标方法及中标候选人推荐</w:t>
      </w:r>
    </w:p>
    <w:p w14:paraId="3EFF7AA1">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29.1本项目的评标方法详见“投标人须知前附表”。</w:t>
      </w:r>
    </w:p>
    <w:p w14:paraId="50667B20">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29.2商务/技术要求允许负偏离的条款数详见“投标人须知前附表”。</w:t>
      </w:r>
    </w:p>
    <w:p w14:paraId="2C63F454">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29.3中标候选人推荐数量详见“投标人须知前附表”。</w:t>
      </w:r>
    </w:p>
    <w:p w14:paraId="18955BB8">
      <w:pPr>
        <w:spacing w:line="5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29.4电子交易活动的中止。采购过程中出现以下情形，导致</w:t>
      </w:r>
      <w:r>
        <w:rPr>
          <w:rFonts w:hint="eastAsia" w:ascii="宋体" w:hAnsi="宋体" w:cs="宋体"/>
          <w:color w:val="auto"/>
          <w:highlight w:val="none"/>
        </w:rPr>
        <w:t>电子交易平台无法正常运行，或者无法保证电子交易的公平、公正和安全时，采购代理机构可以中止电子交易活动：</w:t>
      </w:r>
    </w:p>
    <w:p w14:paraId="2B430B4B">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（1）电子交易平台发生故障而无法登录访问的；</w:t>
      </w:r>
    </w:p>
    <w:p w14:paraId="53B3171C">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A212316">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7B8DD05">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（4）病毒发作导致不能进行正常操作的；</w:t>
      </w:r>
    </w:p>
    <w:p w14:paraId="119F9A03">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0A1AF666">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DA74E5A">
      <w:pPr>
        <w:pStyle w:val="5"/>
        <w:keepNext w:val="0"/>
        <w:keepLines w:val="0"/>
        <w:spacing w:before="0" w:after="0" w:line="500" w:lineRule="exact"/>
        <w:jc w:val="center"/>
        <w:rPr>
          <w:rFonts w:hint="eastAsia" w:ascii="宋体" w:hAnsi="宋体" w:cs="宋体"/>
          <w:color w:val="auto"/>
          <w:highlight w:val="none"/>
        </w:rPr>
      </w:pPr>
      <w:bookmarkStart w:id="165" w:name="_Toc254970546"/>
      <w:bookmarkStart w:id="166" w:name="_Toc254970687"/>
      <w:r>
        <w:rPr>
          <w:rFonts w:hint="eastAsia" w:ascii="宋体" w:hAnsi="宋体" w:cs="宋体"/>
          <w:color w:val="auto"/>
          <w:highlight w:val="none"/>
        </w:rPr>
        <w:t>七、</w:t>
      </w:r>
      <w:bookmarkEnd w:id="165"/>
      <w:bookmarkEnd w:id="166"/>
      <w:r>
        <w:rPr>
          <w:rFonts w:hint="eastAsia" w:ascii="宋体" w:hAnsi="宋体" w:cs="宋体"/>
          <w:color w:val="auto"/>
          <w:highlight w:val="none"/>
        </w:rPr>
        <w:t>中标和合同</w:t>
      </w:r>
    </w:p>
    <w:p w14:paraId="03F322E5">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30</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确定中标人</w:t>
      </w:r>
    </w:p>
    <w:p w14:paraId="32735218">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40C881ED">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577D0443">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30.3出现下列情形之一的，应予废标：</w:t>
      </w:r>
    </w:p>
    <w:p w14:paraId="00E18672">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（1）符合专业条件的投标人或者对招标文件作实质响应的投标人不足三家的；</w:t>
      </w:r>
    </w:p>
    <w:p w14:paraId="5EFA1B38">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2E0D1CDC">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4E9B3B71">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（4）因重大变故，采购任务取消的。</w:t>
      </w:r>
    </w:p>
    <w:p w14:paraId="2B0ADDA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5D3C9607">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31.结果公告</w:t>
      </w:r>
    </w:p>
    <w:p w14:paraId="6F40D852">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5F99B1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46E8A338">
      <w:pPr>
        <w:pStyle w:val="7"/>
        <w:keepNext w:val="0"/>
        <w:keepLines w:val="0"/>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31.2中标人享受《政府采购促进中小企业发展管理办法》（财库〔2020〕46号）规定的中小企业扶持政策的，采购人、采购代理机构应当随中标结果公开中标人的《中小企业声明函》。</w:t>
      </w:r>
    </w:p>
    <w:p w14:paraId="67401000">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4"/>
          <w:highlight w:val="none"/>
        </w:rPr>
        <w:t>32.发出中标通知书</w:t>
      </w:r>
    </w:p>
    <w:p w14:paraId="214433C2">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6A4F7C5">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33.无义务解释未中标原因</w:t>
      </w:r>
    </w:p>
    <w:p w14:paraId="3D4F0C3F">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651137E8">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104D3DEA">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1D507C42">
      <w:pPr>
        <w:pStyle w:val="7"/>
        <w:keepNext w:val="0"/>
        <w:keepLines w:val="0"/>
        <w:spacing w:before="0" w:after="0" w:line="500" w:lineRule="exact"/>
        <w:ind w:left="420" w:leftChars="200"/>
        <w:rPr>
          <w:rFonts w:hint="eastAsia" w:ascii="宋体" w:hAnsi="宋体" w:cs="宋体"/>
          <w:color w:val="auto"/>
          <w:sz w:val="21"/>
          <w:szCs w:val="21"/>
          <w:highlight w:val="none"/>
        </w:rPr>
      </w:pPr>
      <w:r>
        <w:rPr>
          <w:rFonts w:hint="eastAsia" w:ascii="宋体" w:hAnsi="宋体" w:cs="宋体"/>
          <w:color w:val="auto"/>
          <w:sz w:val="24"/>
          <w:highlight w:val="none"/>
        </w:rPr>
        <w:t>35.履约保证金</w:t>
      </w:r>
      <w:bookmarkStart w:id="167" w:name="_39.1中标人须于签订合同前按本须知前附表规定的金额转账或电汇到指定账"/>
      <w:bookmarkEnd w:id="167"/>
    </w:p>
    <w:p w14:paraId="4F45EC11">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35.1履约保证金的金额、提交方式、退付的时间和条件详见“投标人须知前附表”。中标人未按规定提交履约保证金的，视为拒绝与采购人签订合同。</w:t>
      </w:r>
    </w:p>
    <w:p w14:paraId="6AC48346">
      <w:pPr>
        <w:pStyle w:val="7"/>
        <w:keepNext w:val="0"/>
        <w:keepLines w:val="0"/>
        <w:numPr>
          <w:ilvl w:val="0"/>
          <w:numId w:val="0"/>
        </w:numPr>
        <w:spacing w:before="0" w:after="0" w:line="500" w:lineRule="exact"/>
        <w:ind w:firstLine="420" w:firstLineChars="200"/>
        <w:rPr>
          <w:rFonts w:hint="eastAsia"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405C8AB9">
      <w:pPr>
        <w:pStyle w:val="7"/>
        <w:keepNext w:val="0"/>
        <w:keepLines w:val="0"/>
        <w:spacing w:before="0" w:after="0" w:line="500" w:lineRule="exact"/>
        <w:ind w:left="420" w:leftChars="200"/>
        <w:rPr>
          <w:rFonts w:hint="eastAsia" w:ascii="宋体" w:hAnsi="宋体" w:cs="宋体"/>
          <w:b w:val="0"/>
          <w:color w:val="auto"/>
          <w:sz w:val="21"/>
          <w:szCs w:val="21"/>
          <w:highlight w:val="none"/>
        </w:rPr>
      </w:pPr>
      <w:r>
        <w:rPr>
          <w:rFonts w:hint="eastAsia" w:ascii="宋体" w:hAnsi="宋体" w:cs="宋体"/>
          <w:color w:val="auto"/>
          <w:sz w:val="24"/>
          <w:highlight w:val="none"/>
        </w:rPr>
        <w:t>36.签订合同</w:t>
      </w:r>
      <w:bookmarkStart w:id="168" w:name="_40.1投标人接到中标通知书后，按须知前附表规定向采购人出示相关资格证"/>
      <w:bookmarkEnd w:id="168"/>
    </w:p>
    <w:p w14:paraId="1485CFA1">
      <w:pPr>
        <w:pStyle w:val="7"/>
        <w:keepNext w:val="0"/>
        <w:keepLines w:val="0"/>
        <w:numPr>
          <w:ilvl w:val="0"/>
          <w:numId w:val="0"/>
        </w:numPr>
        <w:spacing w:before="0" w:after="0" w:line="500" w:lineRule="exact"/>
        <w:ind w:firstLine="422" w:firstLineChars="200"/>
        <w:rPr>
          <w:rFonts w:hint="eastAsia" w:ascii="宋体" w:hAnsi="宋体" w:cs="宋体"/>
          <w:color w:val="auto"/>
          <w:kern w:val="0"/>
          <w:sz w:val="21"/>
          <w:szCs w:val="21"/>
          <w:highlight w:val="none"/>
          <w:lang w:val="zh-CN"/>
        </w:rPr>
      </w:pPr>
      <w:r>
        <w:rPr>
          <w:rFonts w:hint="eastAsia" w:ascii="宋体" w:hAnsi="宋体" w:cs="宋体"/>
          <w:color w:val="auto"/>
          <w:sz w:val="21"/>
          <w:szCs w:val="21"/>
          <w:highlight w:val="none"/>
        </w:rPr>
        <w:t>36.1签订电子采购合同：中标人领取电子中标通知书后，</w:t>
      </w:r>
      <w:r>
        <w:rPr>
          <w:rFonts w:hint="eastAsia" w:ascii="宋体" w:hAnsi="宋体" w:cs="宋体"/>
          <w:color w:val="auto"/>
          <w:kern w:val="0"/>
          <w:sz w:val="21"/>
          <w:szCs w:val="21"/>
          <w:highlight w:val="none"/>
        </w:rPr>
        <w:t>在</w:t>
      </w:r>
      <w:r>
        <w:rPr>
          <w:rFonts w:hint="eastAsia" w:ascii="宋体" w:hAnsi="宋体" w:cs="宋体"/>
          <w:color w:val="auto"/>
          <w:kern w:val="0"/>
          <w:sz w:val="21"/>
          <w:szCs w:val="21"/>
          <w:highlight w:val="none"/>
          <w:lang w:val="zh-CN"/>
        </w:rPr>
        <w:t>规定的日期、时间、地点，由法定代表人或其授权代表与采购人代表签订纸质采购合同。</w:t>
      </w:r>
    </w:p>
    <w:p w14:paraId="2118EA74">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2463152B">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1A5549B6">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0F147CB6">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88D7D93">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36.5采购人或中标人不得单方面向合同另一方提出任何招标文件没有约定的条件或不合理的要求，</w:t>
      </w:r>
      <w:r>
        <w:rPr>
          <w:rFonts w:hint="eastAsia" w:ascii="宋体" w:hAnsi="宋体" w:cs="宋体"/>
          <w:color w:val="auto"/>
          <w:szCs w:val="21"/>
          <w:highlight w:val="none"/>
          <w:lang w:eastAsia="zh-CN"/>
        </w:rPr>
        <w:t>做为</w:t>
      </w:r>
      <w:r>
        <w:rPr>
          <w:rFonts w:hint="eastAsia" w:ascii="宋体" w:hAnsi="宋体" w:cs="宋体"/>
          <w:color w:val="auto"/>
          <w:szCs w:val="21"/>
          <w:highlight w:val="none"/>
        </w:rPr>
        <w:t>签订合同的条件；也不得协商另行订立背离招标文件和合同实质性内容的协议。</w:t>
      </w:r>
    </w:p>
    <w:p w14:paraId="1C9FF3D4">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36.6如签订合同并生效后，中标人无故拒绝或延期，除按照合同条款处理外，将承担相应的法律责任。</w:t>
      </w:r>
    </w:p>
    <w:p w14:paraId="33392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w:t>
      </w:r>
      <w:r>
        <w:rPr>
          <w:rFonts w:hint="eastAsia" w:ascii="宋体" w:hAnsi="宋体" w:cs="宋体"/>
          <w:color w:val="auto"/>
          <w:highlight w:val="none"/>
        </w:rPr>
        <w:t>中标人</w:t>
      </w:r>
      <w:r>
        <w:rPr>
          <w:rFonts w:hint="eastAsia" w:ascii="宋体" w:hAnsi="宋体" w:cs="宋体"/>
          <w:color w:val="auto"/>
          <w:szCs w:val="21"/>
          <w:highlight w:val="none"/>
        </w:rPr>
        <w:t>协商签订补充合同，但所有补充合同的采购金额不得超过原合同采购金额的10%。</w:t>
      </w:r>
    </w:p>
    <w:p w14:paraId="32D4B944">
      <w:pPr>
        <w:pStyle w:val="7"/>
        <w:keepNext w:val="0"/>
        <w:keepLines w:val="0"/>
        <w:spacing w:before="0" w:after="0" w:line="500" w:lineRule="exact"/>
        <w:ind w:left="420" w:leftChars="200"/>
        <w:rPr>
          <w:rFonts w:hint="eastAsia" w:ascii="宋体" w:hAnsi="宋体" w:cs="宋体"/>
          <w:color w:val="auto"/>
          <w:sz w:val="24"/>
          <w:highlight w:val="none"/>
        </w:rPr>
      </w:pPr>
      <w:bookmarkStart w:id="169" w:name="_41.政府采购合同公告"/>
      <w:bookmarkEnd w:id="169"/>
      <w:r>
        <w:rPr>
          <w:rFonts w:hint="eastAsia" w:ascii="宋体" w:hAnsi="宋体" w:cs="宋体"/>
          <w:color w:val="auto"/>
          <w:sz w:val="24"/>
          <w:highlight w:val="none"/>
        </w:rPr>
        <w:t>37.政府采购合同公告</w:t>
      </w:r>
    </w:p>
    <w:p w14:paraId="04C4067C">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793B8F2">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38.询问、质疑和投诉</w:t>
      </w:r>
    </w:p>
    <w:p w14:paraId="77EB64D3">
      <w:pPr>
        <w:pStyle w:val="8"/>
        <w:spacing w:line="500" w:lineRule="exact"/>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634E9299">
      <w:pPr>
        <w:pStyle w:val="8"/>
        <w:spacing w:line="500" w:lineRule="exact"/>
        <w:rPr>
          <w:rFonts w:hint="eastAsia" w:ascii="宋体" w:hAnsi="宋体" w:cs="宋体"/>
          <w:b/>
          <w:color w:val="auto"/>
          <w:szCs w:val="21"/>
          <w:highlight w:val="none"/>
        </w:rPr>
      </w:pPr>
      <w:r>
        <w:rPr>
          <w:rFonts w:hint="eastAsia" w:ascii="宋体" w:hAnsi="宋体" w:cs="宋体"/>
          <w:b/>
          <w:color w:val="auto"/>
          <w:szCs w:val="21"/>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2EE4E458">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0AFFB030">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（2）对采购过程提出质疑的，为各采购程序环节结束之日；</w:t>
      </w:r>
    </w:p>
    <w:p w14:paraId="51E57B83">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（3）对中标结果提出质疑的，为中标结果公告期限届满之日。</w:t>
      </w:r>
      <w:bookmarkStart w:id="170" w:name="_9.2质疑、投诉应当采用书面形式，质疑函、投诉书均应明确阐述招标文件、"/>
      <w:bookmarkEnd w:id="170"/>
    </w:p>
    <w:p w14:paraId="4D13481E">
      <w:pPr>
        <w:pStyle w:val="24"/>
        <w:snapToGrid w:val="0"/>
        <w:spacing w:line="500" w:lineRule="exact"/>
        <w:ind w:firstLine="422" w:firstLineChars="200"/>
        <w:rPr>
          <w:rFonts w:hint="eastAsia" w:hAnsi="宋体" w:cs="宋体"/>
          <w:b/>
          <w:color w:val="auto"/>
          <w:sz w:val="21"/>
          <w:highlight w:val="none"/>
        </w:rPr>
      </w:pPr>
      <w:r>
        <w:rPr>
          <w:rFonts w:hint="eastAsia" w:hAnsi="宋体" w:cs="宋体"/>
          <w:b/>
          <w:color w:val="auto"/>
          <w:sz w:val="21"/>
          <w:highlight w:val="none"/>
        </w:rPr>
        <w:t>38.3</w:t>
      </w:r>
      <w:r>
        <w:rPr>
          <w:rFonts w:hint="eastAsia" w:hAnsi="宋体" w:cs="宋体"/>
          <w:b/>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5F539FF4">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2BFE12EB">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（2）质疑项目的名称、编号；</w:t>
      </w:r>
    </w:p>
    <w:p w14:paraId="49A4FC1F">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5F256E92">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（4）事实依据；</w:t>
      </w:r>
    </w:p>
    <w:p w14:paraId="50ECE423">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（5）必要的法律依据；</w:t>
      </w:r>
    </w:p>
    <w:p w14:paraId="4956A379">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（6）提出质疑的日期。</w:t>
      </w:r>
    </w:p>
    <w:p w14:paraId="0300C396">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3372E600">
      <w:pPr>
        <w:pStyle w:val="7"/>
        <w:keepNext w:val="0"/>
        <w:keepLines w:val="0"/>
        <w:snapToGrid w:val="0"/>
        <w:spacing w:before="0" w:after="0" w:line="500" w:lineRule="exact"/>
        <w:ind w:firstLine="420" w:firstLineChars="200"/>
        <w:rPr>
          <w:rFonts w:hint="eastAsia"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021A266F">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482D9E4D">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（二）对采购过程、中标结果提出的质疑，合格供应商符合法定数量时，可以从合格的中标候选人中另行确定中标人的，应当依法另行确定中标人；否则应当重新开展采购活动。</w:t>
      </w:r>
    </w:p>
    <w:p w14:paraId="46182620">
      <w:pPr>
        <w:pStyle w:val="24"/>
        <w:snapToGrid w:val="0"/>
        <w:spacing w:line="500" w:lineRule="exact"/>
        <w:ind w:firstLine="420"/>
        <w:rPr>
          <w:rFonts w:hint="eastAsia"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22310BD2">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9F9AD28">
      <w:pPr>
        <w:pStyle w:val="5"/>
        <w:keepNext w:val="0"/>
        <w:keepLines w:val="0"/>
        <w:spacing w:before="0" w:after="0" w:line="500" w:lineRule="exact"/>
        <w:jc w:val="center"/>
        <w:rPr>
          <w:rFonts w:hint="eastAsia" w:ascii="宋体" w:hAnsi="宋体" w:cs="宋体"/>
          <w:color w:val="auto"/>
          <w:highlight w:val="none"/>
        </w:rPr>
      </w:pPr>
      <w:bookmarkStart w:id="171" w:name="_八、其他事项"/>
      <w:bookmarkEnd w:id="171"/>
    </w:p>
    <w:p w14:paraId="0F4F7EDE">
      <w:pPr>
        <w:pStyle w:val="5"/>
        <w:keepNext w:val="0"/>
        <w:keepLines w:val="0"/>
        <w:spacing w:before="0" w:after="0" w:line="500" w:lineRule="exact"/>
        <w:jc w:val="center"/>
        <w:rPr>
          <w:rFonts w:hint="eastAsia" w:ascii="宋体" w:hAnsi="宋体" w:cs="宋体"/>
          <w:color w:val="auto"/>
          <w:highlight w:val="none"/>
        </w:rPr>
      </w:pPr>
      <w:r>
        <w:rPr>
          <w:rFonts w:hint="eastAsia" w:ascii="宋体" w:hAnsi="宋体" w:cs="宋体"/>
          <w:color w:val="auto"/>
          <w:highlight w:val="none"/>
        </w:rPr>
        <w:t>八、其他事项</w:t>
      </w:r>
    </w:p>
    <w:p w14:paraId="08FD3357">
      <w:pPr>
        <w:pStyle w:val="7"/>
        <w:keepNext w:val="0"/>
        <w:keepLines w:val="0"/>
        <w:spacing w:before="0" w:after="0" w:line="500" w:lineRule="exact"/>
        <w:ind w:left="420" w:leftChars="200"/>
        <w:rPr>
          <w:rFonts w:hint="eastAsia" w:ascii="宋体" w:hAnsi="宋体" w:cs="宋体"/>
          <w:color w:val="auto"/>
          <w:sz w:val="24"/>
          <w:highlight w:val="none"/>
        </w:rPr>
      </w:pPr>
      <w:bookmarkStart w:id="172" w:name="_42.代理服务费"/>
      <w:bookmarkEnd w:id="172"/>
      <w:r>
        <w:rPr>
          <w:rFonts w:hint="eastAsia" w:ascii="宋体" w:hAnsi="宋体" w:cs="宋体"/>
          <w:color w:val="auto"/>
          <w:sz w:val="24"/>
          <w:highlight w:val="none"/>
        </w:rPr>
        <w:t>39.采购代理服务费</w:t>
      </w:r>
    </w:p>
    <w:p w14:paraId="46BA19C5">
      <w:pPr>
        <w:pStyle w:val="7"/>
        <w:keepNext w:val="0"/>
        <w:keepLines w:val="0"/>
        <w:numPr>
          <w:ilvl w:val="0"/>
          <w:numId w:val="0"/>
        </w:numPr>
        <w:spacing w:before="0" w:after="0" w:line="500" w:lineRule="exact"/>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39.1采购代理服务收取标准及缴费账户详见“投标人须知前附表”。</w:t>
      </w:r>
    </w:p>
    <w:p w14:paraId="3F80F401">
      <w:pPr>
        <w:pStyle w:val="7"/>
        <w:keepNext w:val="0"/>
        <w:keepLines w:val="0"/>
        <w:spacing w:before="0" w:after="0" w:line="500" w:lineRule="exact"/>
        <w:ind w:left="420" w:leftChars="200"/>
        <w:rPr>
          <w:rFonts w:hint="eastAsia" w:ascii="宋体" w:hAnsi="宋体" w:cs="宋体"/>
          <w:color w:val="auto"/>
          <w:szCs w:val="21"/>
          <w:highlight w:val="none"/>
        </w:rPr>
      </w:pPr>
      <w:r>
        <w:rPr>
          <w:rFonts w:hint="eastAsia" w:ascii="宋体" w:hAnsi="宋体" w:cs="宋体"/>
          <w:b w:val="0"/>
          <w:color w:val="auto"/>
          <w:sz w:val="21"/>
          <w:szCs w:val="21"/>
          <w:highlight w:val="none"/>
        </w:rPr>
        <w:t>39.2采购代理服务收费标准：</w:t>
      </w:r>
    </w:p>
    <w:tbl>
      <w:tblPr>
        <w:tblStyle w:val="4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99D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73B3DE6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4CA2C492">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659" w:type="dxa"/>
            <w:noWrap w:val="0"/>
            <w:vAlign w:val="center"/>
          </w:tcPr>
          <w:p w14:paraId="0F0ECB09">
            <w:pPr>
              <w:spacing w:line="50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687" w:type="dxa"/>
            <w:noWrap w:val="0"/>
            <w:vAlign w:val="center"/>
          </w:tcPr>
          <w:p w14:paraId="53695A0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1659" w:type="dxa"/>
            <w:noWrap w:val="0"/>
            <w:vAlign w:val="center"/>
          </w:tcPr>
          <w:p w14:paraId="3FA34CD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36F0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CACF37B">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6C1028C5">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1.5%                </w:t>
            </w:r>
          </w:p>
        </w:tc>
        <w:tc>
          <w:tcPr>
            <w:tcW w:w="1687" w:type="dxa"/>
            <w:noWrap w:val="0"/>
            <w:vAlign w:val="top"/>
          </w:tcPr>
          <w:p w14:paraId="5CC2A3C0">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659" w:type="dxa"/>
            <w:noWrap w:val="0"/>
            <w:vAlign w:val="top"/>
          </w:tcPr>
          <w:p w14:paraId="1BC4C151">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5A1D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4077E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0AC1D253">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noWrap w:val="0"/>
            <w:vAlign w:val="top"/>
          </w:tcPr>
          <w:p w14:paraId="6CFAFA24">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659" w:type="dxa"/>
            <w:noWrap w:val="0"/>
            <w:vAlign w:val="top"/>
          </w:tcPr>
          <w:p w14:paraId="19088532">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3209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53409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48AD6E1F">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0.8%                </w:t>
            </w:r>
          </w:p>
        </w:tc>
        <w:tc>
          <w:tcPr>
            <w:tcW w:w="1687" w:type="dxa"/>
            <w:noWrap w:val="0"/>
            <w:vAlign w:val="top"/>
          </w:tcPr>
          <w:p w14:paraId="65398E47">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659" w:type="dxa"/>
            <w:noWrap w:val="0"/>
            <w:vAlign w:val="top"/>
          </w:tcPr>
          <w:p w14:paraId="0042DB4A">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30BE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87EDA53">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0C64B87F">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noWrap w:val="0"/>
            <w:vAlign w:val="top"/>
          </w:tcPr>
          <w:p w14:paraId="4362860B">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659" w:type="dxa"/>
            <w:noWrap w:val="0"/>
            <w:vAlign w:val="top"/>
          </w:tcPr>
          <w:p w14:paraId="348BE2DD">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6999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442015A">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6A0D07A2">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noWrap w:val="0"/>
            <w:vAlign w:val="top"/>
          </w:tcPr>
          <w:p w14:paraId="757C1ED8">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659" w:type="dxa"/>
            <w:noWrap w:val="0"/>
            <w:vAlign w:val="top"/>
          </w:tcPr>
          <w:p w14:paraId="2AB7A710">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4131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33AF1E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3049C1E3">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687" w:type="dxa"/>
            <w:noWrap w:val="0"/>
            <w:vAlign w:val="top"/>
          </w:tcPr>
          <w:p w14:paraId="7417CA07">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0.05%</w:t>
            </w:r>
          </w:p>
        </w:tc>
        <w:tc>
          <w:tcPr>
            <w:tcW w:w="1659" w:type="dxa"/>
            <w:noWrap w:val="0"/>
            <w:vAlign w:val="top"/>
          </w:tcPr>
          <w:p w14:paraId="11BBE1F8">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szCs w:val="21"/>
                <w:highlight w:val="none"/>
              </w:rPr>
              <w:t>0.05%</w:t>
            </w:r>
          </w:p>
        </w:tc>
      </w:tr>
      <w:tr w14:paraId="3812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60635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3D69605A">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687" w:type="dxa"/>
            <w:noWrap w:val="0"/>
            <w:vAlign w:val="top"/>
          </w:tcPr>
          <w:p w14:paraId="69F1E134">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659" w:type="dxa"/>
            <w:noWrap w:val="0"/>
            <w:vAlign w:val="top"/>
          </w:tcPr>
          <w:p w14:paraId="45221CA6">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szCs w:val="21"/>
                <w:highlight w:val="none"/>
              </w:rPr>
              <w:t>0.035%</w:t>
            </w:r>
          </w:p>
        </w:tc>
      </w:tr>
      <w:tr w14:paraId="173B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2EE71A">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7F406BB9">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687" w:type="dxa"/>
            <w:noWrap w:val="0"/>
            <w:vAlign w:val="top"/>
          </w:tcPr>
          <w:p w14:paraId="26255E0E">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659" w:type="dxa"/>
            <w:noWrap w:val="0"/>
            <w:vAlign w:val="top"/>
          </w:tcPr>
          <w:p w14:paraId="1DBD8C9B">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szCs w:val="21"/>
                <w:highlight w:val="none"/>
              </w:rPr>
              <w:t>0.008%</w:t>
            </w:r>
          </w:p>
        </w:tc>
      </w:tr>
      <w:tr w14:paraId="6DD4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11C308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48B83887">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687" w:type="dxa"/>
            <w:noWrap w:val="0"/>
            <w:vAlign w:val="top"/>
          </w:tcPr>
          <w:p w14:paraId="46BB5B6A">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659" w:type="dxa"/>
            <w:noWrap w:val="0"/>
            <w:vAlign w:val="top"/>
          </w:tcPr>
          <w:p w14:paraId="7C68DDC5">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BD6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017CF0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510268ED">
            <w:pPr>
              <w:spacing w:line="500" w:lineRule="exact"/>
              <w:ind w:left="0" w:leftChars="0" w:firstLine="218" w:firstLineChars="104"/>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687" w:type="dxa"/>
            <w:noWrap w:val="0"/>
            <w:vAlign w:val="top"/>
          </w:tcPr>
          <w:p w14:paraId="4F18BE69">
            <w:pPr>
              <w:spacing w:line="5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659" w:type="dxa"/>
            <w:noWrap w:val="0"/>
            <w:vAlign w:val="top"/>
          </w:tcPr>
          <w:p w14:paraId="3AF7D5D2">
            <w:pPr>
              <w:spacing w:line="500" w:lineRule="exact"/>
              <w:ind w:left="0" w:leftChars="0" w:firstLine="199" w:firstLineChars="95"/>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07450E73">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4C7B6C6">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161A5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0D7BF468">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5D8D6FF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100万元×l.5%＝1.5万元</w:t>
      </w:r>
    </w:p>
    <w:p w14:paraId="6FBEC43A">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（200－100）万元×0.8%＝0.8万元</w:t>
      </w:r>
    </w:p>
    <w:p w14:paraId="044D78FE">
      <w:pPr>
        <w:pStyle w:val="24"/>
        <w:snapToGrid w:val="0"/>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合计收费＝1.5+0.8＝2.3（万元）</w:t>
      </w:r>
    </w:p>
    <w:p w14:paraId="307EEEF8">
      <w:pPr>
        <w:pStyle w:val="7"/>
        <w:keepNext w:val="0"/>
        <w:keepLines w:val="0"/>
        <w:spacing w:before="0" w:after="0" w:line="500" w:lineRule="exact"/>
        <w:ind w:left="420" w:leftChars="200"/>
        <w:rPr>
          <w:rFonts w:hint="eastAsia" w:ascii="宋体" w:hAnsi="宋体" w:cs="宋体"/>
          <w:color w:val="auto"/>
          <w:sz w:val="24"/>
          <w:highlight w:val="none"/>
        </w:rPr>
      </w:pPr>
      <w:r>
        <w:rPr>
          <w:rFonts w:hint="eastAsia" w:ascii="宋体" w:hAnsi="宋体" w:cs="宋体"/>
          <w:color w:val="auto"/>
          <w:sz w:val="24"/>
          <w:highlight w:val="none"/>
        </w:rPr>
        <w:t>40.需要补充的其他内容</w:t>
      </w:r>
    </w:p>
    <w:p w14:paraId="23FCE345">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1443817C">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40.2其他事项详见“投标人须知前附表”。</w:t>
      </w:r>
    </w:p>
    <w:p w14:paraId="0CAF3A64">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1E788F8">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65DFAD23">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715DE936">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685D305">
      <w:pPr>
        <w:pStyle w:val="24"/>
        <w:spacing w:line="500" w:lineRule="exact"/>
        <w:ind w:firstLine="420" w:firstLineChars="20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w:t>
      </w:r>
    </w:p>
    <w:p w14:paraId="0A22331D">
      <w:pPr>
        <w:pStyle w:val="2"/>
        <w:spacing w:line="500" w:lineRule="exact"/>
        <w:ind w:left="449" w:leftChars="114" w:hanging="210" w:hangingChars="100"/>
        <w:rPr>
          <w:rFonts w:hint="eastAsia" w:ascii="宋体" w:hAnsi="宋体" w:cs="宋体"/>
          <w:b/>
          <w:bCs/>
          <w:color w:val="auto"/>
          <w:sz w:val="21"/>
          <w:szCs w:val="21"/>
          <w:highlight w:val="none"/>
        </w:rPr>
      </w:pPr>
      <w:r>
        <w:rPr>
          <w:rFonts w:hint="eastAsia" w:ascii="宋体" w:hAnsi="宋体" w:cs="宋体"/>
          <w:color w:val="auto"/>
          <w:sz w:val="21"/>
          <w:highlight w:val="none"/>
        </w:rPr>
        <w:t>依据本招标文件规定享受扶持政策获得政府采购合同的，小微企业不得将合同分包给大中型企业，中型企业不得将合同分包给大型企业。</w:t>
      </w:r>
      <w:r>
        <w:rPr>
          <w:rFonts w:hint="eastAsia" w:ascii="宋体" w:hAnsi="宋体" w:cs="宋体"/>
          <w:color w:val="auto"/>
          <w:highlight w:val="none"/>
        </w:rPr>
        <w:br w:type="page"/>
      </w:r>
    </w:p>
    <w:p w14:paraId="5292E08F">
      <w:pPr>
        <w:pStyle w:val="3"/>
        <w:spacing w:before="0" w:after="0" w:line="500" w:lineRule="exact"/>
        <w:jc w:val="center"/>
        <w:rPr>
          <w:rFonts w:hint="eastAsia" w:ascii="宋体" w:hAnsi="宋体" w:cs="宋体"/>
          <w:color w:val="auto"/>
          <w:highlight w:val="none"/>
        </w:rPr>
      </w:pPr>
      <w:bookmarkStart w:id="173" w:name="_Toc19782"/>
      <w:bookmarkStart w:id="174" w:name="_Toc4114"/>
      <w:bookmarkStart w:id="175" w:name="_Toc8725"/>
      <w:bookmarkStart w:id="176" w:name="_Toc22034"/>
      <w:bookmarkStart w:id="177" w:name="_Toc254970689"/>
      <w:bookmarkStart w:id="178" w:name="_Toc4469"/>
      <w:bookmarkStart w:id="179" w:name="_Toc254970548"/>
      <w:bookmarkStart w:id="180" w:name="_Toc5385"/>
      <w:bookmarkStart w:id="181" w:name="_Toc24357"/>
      <w:bookmarkStart w:id="182" w:name="_Toc330456896"/>
      <w:bookmarkStart w:id="183" w:name="_Toc1035"/>
      <w:r>
        <w:rPr>
          <w:rFonts w:hint="eastAsia" w:ascii="宋体" w:hAnsi="宋体" w:cs="宋体"/>
          <w:color w:val="auto"/>
          <w:highlight w:val="none"/>
        </w:rPr>
        <w:t>第四章  评标方法及评标标准</w:t>
      </w:r>
      <w:bookmarkEnd w:id="173"/>
      <w:bookmarkEnd w:id="174"/>
      <w:bookmarkEnd w:id="175"/>
      <w:bookmarkEnd w:id="176"/>
      <w:bookmarkEnd w:id="177"/>
      <w:bookmarkEnd w:id="178"/>
      <w:bookmarkEnd w:id="179"/>
      <w:bookmarkEnd w:id="180"/>
      <w:bookmarkEnd w:id="181"/>
      <w:bookmarkEnd w:id="182"/>
      <w:bookmarkEnd w:id="183"/>
    </w:p>
    <w:p w14:paraId="03999CDB">
      <w:pPr>
        <w:pStyle w:val="5"/>
        <w:keepNext w:val="0"/>
        <w:keepLines w:val="0"/>
        <w:spacing w:before="0" w:after="0" w:line="500" w:lineRule="exact"/>
        <w:jc w:val="center"/>
        <w:rPr>
          <w:rFonts w:hint="eastAsia" w:ascii="宋体" w:hAnsi="宋体" w:cs="宋体"/>
          <w:color w:val="auto"/>
          <w:highlight w:val="none"/>
        </w:rPr>
      </w:pPr>
    </w:p>
    <w:p w14:paraId="25724F2A">
      <w:pPr>
        <w:pStyle w:val="5"/>
        <w:keepNext w:val="0"/>
        <w:keepLines w:val="0"/>
        <w:spacing w:before="0" w:after="0" w:line="520" w:lineRule="exact"/>
        <w:jc w:val="center"/>
        <w:rPr>
          <w:rFonts w:hint="eastAsia" w:ascii="宋体" w:hAnsi="宋体" w:cs="宋体"/>
          <w:color w:val="auto"/>
          <w:highlight w:val="none"/>
        </w:rPr>
      </w:pPr>
      <w:r>
        <w:rPr>
          <w:rFonts w:hint="eastAsia" w:ascii="宋体" w:hAnsi="宋体" w:cs="宋体"/>
          <w:color w:val="auto"/>
          <w:highlight w:val="none"/>
        </w:rPr>
        <w:t>一、评标方法</w:t>
      </w:r>
    </w:p>
    <w:p w14:paraId="3E718DA7">
      <w:pPr>
        <w:pStyle w:val="24"/>
        <w:spacing w:line="520" w:lineRule="exact"/>
        <w:ind w:firstLine="420"/>
        <w:rPr>
          <w:rFonts w:hint="eastAsia"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48664119">
      <w:pPr>
        <w:pStyle w:val="5"/>
        <w:keepNext w:val="0"/>
        <w:keepLines w:val="0"/>
        <w:spacing w:before="0" w:after="0" w:line="520" w:lineRule="exact"/>
        <w:jc w:val="center"/>
        <w:rPr>
          <w:rFonts w:hint="eastAsia" w:ascii="宋体" w:hAnsi="宋体" w:cs="宋体"/>
          <w:color w:val="auto"/>
          <w:highlight w:val="none"/>
        </w:rPr>
      </w:pPr>
    </w:p>
    <w:p w14:paraId="0FE95CCF">
      <w:pPr>
        <w:pStyle w:val="5"/>
        <w:keepNext w:val="0"/>
        <w:keepLines w:val="0"/>
        <w:spacing w:before="0" w:after="0" w:line="520" w:lineRule="exact"/>
        <w:jc w:val="center"/>
        <w:rPr>
          <w:rFonts w:hint="eastAsia" w:ascii="宋体" w:hAnsi="宋体" w:cs="宋体"/>
          <w:color w:val="auto"/>
          <w:highlight w:val="none"/>
        </w:rPr>
      </w:pPr>
      <w:r>
        <w:rPr>
          <w:rFonts w:hint="eastAsia" w:ascii="宋体" w:hAnsi="宋体" w:cs="宋体"/>
          <w:color w:val="auto"/>
          <w:highlight w:val="none"/>
        </w:rPr>
        <w:t>二、评标程序</w:t>
      </w:r>
    </w:p>
    <w:p w14:paraId="0BA8B5FF">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1.符合性审查</w:t>
      </w:r>
    </w:p>
    <w:p w14:paraId="24F4DAE4">
      <w:pPr>
        <w:pStyle w:val="24"/>
        <w:snapToGrid w:val="0"/>
        <w:spacing w:line="520" w:lineRule="exact"/>
        <w:ind w:left="1" w:firstLine="420"/>
        <w:rPr>
          <w:rFonts w:hint="eastAsia" w:hAnsi="宋体" w:cs="宋体"/>
          <w:bCs/>
          <w:color w:val="auto"/>
          <w:kern w:val="2"/>
          <w:sz w:val="21"/>
          <w:highlight w:val="none"/>
        </w:rPr>
      </w:pPr>
      <w:r>
        <w:rPr>
          <w:rFonts w:hint="eastAsia" w:hAnsi="宋体" w:cs="宋体"/>
          <w:bCs/>
          <w:color w:val="auto"/>
          <w:kern w:val="2"/>
          <w:sz w:val="21"/>
          <w:highlight w:val="none"/>
        </w:rPr>
        <w:t>评标委员会应当对符合资格的投标人的投标文件进行投标报价、商务、技术等实质性内容符合性审查，以确定其是否满足招标文件的实质性要求。</w:t>
      </w:r>
    </w:p>
    <w:p w14:paraId="2A76B0A8">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2.符合性审查不通过而导致投标无效的情形</w:t>
      </w:r>
    </w:p>
    <w:p w14:paraId="6A9A2129">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投标人的投标文件中存在对招标文件的任何实质性要求和条件的负偏离，将被视为投标无效。</w:t>
      </w:r>
    </w:p>
    <w:p w14:paraId="435BF246">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2.1在报价评审时，如发现下列情形之一的，将被视为投标无效：</w:t>
      </w:r>
    </w:p>
    <w:p w14:paraId="19D55E28">
      <w:pPr>
        <w:pStyle w:val="8"/>
        <w:numPr>
          <w:ilvl w:val="0"/>
          <w:numId w:val="9"/>
        </w:numPr>
        <w:spacing w:line="520" w:lineRule="exact"/>
        <w:ind w:firstLine="396" w:firstLineChars="200"/>
        <w:rPr>
          <w:rFonts w:hint="eastAsia" w:ascii="宋体" w:hAnsi="宋体" w:cs="宋体"/>
          <w:bCs/>
          <w:color w:val="auto"/>
          <w:spacing w:val="-6"/>
          <w:szCs w:val="21"/>
          <w:highlight w:val="none"/>
        </w:rPr>
      </w:pPr>
      <w:r>
        <w:rPr>
          <w:rFonts w:hint="eastAsia" w:ascii="宋体" w:hAnsi="宋体" w:cs="宋体"/>
          <w:bCs/>
          <w:color w:val="auto"/>
          <w:spacing w:val="-6"/>
          <w:szCs w:val="21"/>
          <w:highlight w:val="none"/>
        </w:rPr>
        <w:t>报价文件未提供“投标人须知前附表”第13.1条规定中“必须提供”的文件资料的；</w:t>
      </w:r>
    </w:p>
    <w:p w14:paraId="016368EE">
      <w:pPr>
        <w:pStyle w:val="8"/>
        <w:numPr>
          <w:ilvl w:val="0"/>
          <w:numId w:val="9"/>
        </w:numPr>
        <w:spacing w:line="520" w:lineRule="exact"/>
        <w:ind w:firstLineChars="200"/>
        <w:rPr>
          <w:rFonts w:hint="eastAsia" w:ascii="宋体" w:hAnsi="宋体" w:cs="宋体"/>
          <w:bCs/>
          <w:color w:val="auto"/>
          <w:szCs w:val="21"/>
          <w:highlight w:val="none"/>
        </w:rPr>
      </w:pPr>
      <w:r>
        <w:rPr>
          <w:rFonts w:hint="eastAsia" w:ascii="宋体" w:hAnsi="宋体" w:cs="宋体"/>
          <w:bCs/>
          <w:color w:val="auto"/>
          <w:szCs w:val="21"/>
          <w:highlight w:val="none"/>
        </w:rPr>
        <w:t>未采用人民币报价或者未按照招标文件标明的币种报价的；</w:t>
      </w:r>
    </w:p>
    <w:p w14:paraId="5CD668CC">
      <w:pPr>
        <w:pStyle w:val="8"/>
        <w:numPr>
          <w:ilvl w:val="0"/>
          <w:numId w:val="9"/>
        </w:numPr>
        <w:spacing w:line="520" w:lineRule="exact"/>
        <w:ind w:left="-2" w:firstLine="422"/>
        <w:rPr>
          <w:rFonts w:hint="eastAsia" w:ascii="宋体" w:hAnsi="宋体" w:cs="宋体"/>
          <w:bCs/>
          <w:color w:val="auto"/>
          <w:spacing w:val="-6"/>
          <w:szCs w:val="21"/>
          <w:highlight w:val="none"/>
        </w:rPr>
      </w:pPr>
      <w:r>
        <w:rPr>
          <w:rFonts w:hint="eastAsia" w:ascii="宋体" w:hAnsi="宋体" w:cs="宋体"/>
          <w:bCs/>
          <w:color w:val="auto"/>
          <w:spacing w:val="-6"/>
          <w:szCs w:val="21"/>
          <w:highlight w:val="none"/>
        </w:rPr>
        <w:t>各分标报价超出招标文件相应分标规定最高限价，或者超出相应分标采购预算金额的；</w:t>
      </w:r>
    </w:p>
    <w:p w14:paraId="144FF1B3">
      <w:pPr>
        <w:pStyle w:val="8"/>
        <w:numPr>
          <w:ilvl w:val="0"/>
          <w:numId w:val="9"/>
        </w:numPr>
        <w:spacing w:line="520" w:lineRule="exact"/>
        <w:ind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9FB764E">
      <w:pPr>
        <w:pStyle w:val="8"/>
        <w:numPr>
          <w:ilvl w:val="0"/>
          <w:numId w:val="9"/>
        </w:numPr>
        <w:spacing w:line="520" w:lineRule="exact"/>
        <w:ind w:firstLineChars="200"/>
        <w:rPr>
          <w:rFonts w:hint="eastAsia" w:ascii="宋体" w:hAnsi="宋体" w:cs="宋体"/>
          <w:bCs/>
          <w:color w:val="auto"/>
          <w:szCs w:val="21"/>
          <w:highlight w:val="none"/>
        </w:rPr>
      </w:pPr>
      <w:r>
        <w:rPr>
          <w:rFonts w:hint="eastAsia" w:ascii="宋体" w:hAnsi="宋体" w:cs="宋体"/>
          <w:bCs/>
          <w:color w:val="auto"/>
          <w:szCs w:val="21"/>
          <w:highlight w:val="none"/>
        </w:rPr>
        <w:t>修正后的报价，投标人不确认的；</w:t>
      </w:r>
    </w:p>
    <w:p w14:paraId="53B51DC2">
      <w:pPr>
        <w:pStyle w:val="8"/>
        <w:numPr>
          <w:ilvl w:val="0"/>
          <w:numId w:val="9"/>
        </w:numPr>
        <w:spacing w:line="520" w:lineRule="exact"/>
        <w:ind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投标人属于本章第5.1条（2）或者第5.2条（2）项情形的。</w:t>
      </w:r>
    </w:p>
    <w:p w14:paraId="15573815">
      <w:pPr>
        <w:pStyle w:val="8"/>
        <w:numPr>
          <w:ilvl w:val="0"/>
          <w:numId w:val="9"/>
        </w:numPr>
        <w:spacing w:line="520" w:lineRule="exact"/>
        <w:ind w:firstLine="396" w:firstLineChars="200"/>
        <w:rPr>
          <w:rFonts w:hint="eastAsia" w:ascii="宋体" w:hAnsi="宋体" w:cs="宋体"/>
          <w:bCs/>
          <w:color w:val="auto"/>
          <w:szCs w:val="21"/>
          <w:highlight w:val="none"/>
        </w:rPr>
      </w:pPr>
      <w:r>
        <w:rPr>
          <w:rFonts w:hint="eastAsia" w:ascii="宋体" w:hAnsi="宋体" w:cs="宋体"/>
          <w:bCs/>
          <w:color w:val="auto"/>
          <w:spacing w:val="-6"/>
          <w:szCs w:val="21"/>
          <w:highlight w:val="none"/>
        </w:rPr>
        <w:t>报价文件</w:t>
      </w:r>
      <w:r>
        <w:rPr>
          <w:rFonts w:hint="eastAsia" w:ascii="宋体" w:hAnsi="宋体" w:cs="宋体"/>
          <w:bCs/>
          <w:color w:val="auto"/>
          <w:szCs w:val="21"/>
          <w:highlight w:val="none"/>
        </w:rPr>
        <w:t>响应的标的数量及单位与招标文件要求实质性不一致的。</w:t>
      </w:r>
    </w:p>
    <w:p w14:paraId="0BD9A40F">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2.2在商务评审时，如发现下列情形之一的，将被视为投标无效：</w:t>
      </w:r>
    </w:p>
    <w:p w14:paraId="094A6E4E">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投标文件未按招标文件要求签署、盖章的；</w:t>
      </w:r>
    </w:p>
    <w:p w14:paraId="73734B83">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委托代理人未能出具有效身份证或者出具的身份证与授权委托书中的信息不符的；</w:t>
      </w:r>
    </w:p>
    <w:p w14:paraId="54BA0D56">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为无效投标保证金的或者未按照招标文件的规定提交投标保证金的；</w:t>
      </w:r>
    </w:p>
    <w:p w14:paraId="064BA894">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投标文件未提供“投标人须知前附表”第13.1条规定中“必须提供”或者“委托时必须提供”的文件资料的；</w:t>
      </w:r>
    </w:p>
    <w:p w14:paraId="48AD5750">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商务要求评审允许负偏离的条款数超过“投标人须知前附表”规定项数的；</w:t>
      </w:r>
    </w:p>
    <w:p w14:paraId="2ED4E243">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投标文件的实质性内容未使用中文表述、使用计量单位不符合招标文件要求的；</w:t>
      </w:r>
    </w:p>
    <w:p w14:paraId="55DD9E72">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投标文件中的文件资料因填写不齐全或者内容虚假或者出现其他情形而导致被评标委员会认定无效的；</w:t>
      </w:r>
    </w:p>
    <w:p w14:paraId="78C94A4C">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投标文件含有采购人不能接受的附加条件的；</w:t>
      </w:r>
    </w:p>
    <w:p w14:paraId="2A860C8F">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属于投标人须知正文第9.2条情形的；</w:t>
      </w:r>
    </w:p>
    <w:p w14:paraId="7925EC95">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投标文件标注的项目名称或者项目编号与招标文件标注的项目名称或者项目编号不一致的；</w:t>
      </w:r>
    </w:p>
    <w:p w14:paraId="65ADEFF8">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招标文件明确不允许分包，投标文件拟分包的；</w:t>
      </w:r>
    </w:p>
    <w:p w14:paraId="342EDF72">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未响应招标文件实质性要求的；</w:t>
      </w:r>
    </w:p>
    <w:p w14:paraId="705D189C">
      <w:pPr>
        <w:numPr>
          <w:ilvl w:val="0"/>
          <w:numId w:val="10"/>
        </w:num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法律、法规和招标文件规定的其他无效情形。</w:t>
      </w:r>
    </w:p>
    <w:p w14:paraId="2D5DFC6A">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2.3在技术评审时，如发现下列情形之一的，将被视为投标无效：</w:t>
      </w:r>
    </w:p>
    <w:p w14:paraId="1536A73F">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（1）技术要求评审允许负偏离的条款数超过“投标人须知前附表”规定项数的；</w:t>
      </w:r>
    </w:p>
    <w:p w14:paraId="34BC26C3">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（2）投标文件未提供“投标人须知前附表”第13.1条规定中“必须提供”的文件资料的；</w:t>
      </w:r>
    </w:p>
    <w:p w14:paraId="08C065BB">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（3）虚假投标，或者出现其他情形而导致被评标委员会认定无效的；</w:t>
      </w:r>
    </w:p>
    <w:p w14:paraId="05868F17">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（4）</w:t>
      </w:r>
      <w:bookmarkStart w:id="184" w:name="_Hlk71706244"/>
      <w:r>
        <w:rPr>
          <w:rFonts w:hint="eastAsia" w:ascii="宋体" w:hAnsi="宋体" w:eastAsia="宋体" w:cs="宋体"/>
          <w:bCs/>
          <w:color w:val="auto"/>
          <w:kern w:val="2"/>
          <w:sz w:val="21"/>
          <w:szCs w:val="21"/>
          <w:highlight w:val="none"/>
        </w:rPr>
        <w:t>招标文件未载明允许提供备选（替代）投标方案或明确不允许提供备选（替代）投标方案时，投标人提供了备选（替代）投标方案的；</w:t>
      </w:r>
      <w:bookmarkEnd w:id="184"/>
    </w:p>
    <w:p w14:paraId="6BCDD5EA">
      <w:pPr>
        <w:pStyle w:val="19"/>
        <w:snapToGrid w:val="0"/>
        <w:spacing w:line="520" w:lineRule="exact"/>
        <w:ind w:firstLine="411" w:firstLineChars="196"/>
        <w:rPr>
          <w:rFonts w:hint="eastAsia" w:ascii="宋体" w:hAnsi="宋体" w:eastAsia="宋体" w:cs="宋体"/>
          <w:bCs/>
          <w:color w:val="auto"/>
          <w:highlight w:val="none"/>
        </w:rPr>
      </w:pPr>
      <w:r>
        <w:rPr>
          <w:rFonts w:hint="eastAsia" w:ascii="宋体" w:hAnsi="宋体" w:eastAsia="宋体" w:cs="宋体"/>
          <w:bCs/>
          <w:color w:val="auto"/>
          <w:kern w:val="2"/>
          <w:sz w:val="21"/>
          <w:szCs w:val="21"/>
          <w:highlight w:val="none"/>
        </w:rPr>
        <w:t>（5）未响应招标文件实质性要求的。</w:t>
      </w:r>
    </w:p>
    <w:p w14:paraId="6A5E8DA1">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2.4其他投标无效的情形：</w:t>
      </w:r>
    </w:p>
    <w:p w14:paraId="313F483A">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（1）投标文件未按招标文件要求签署或CA电子签章的；</w:t>
      </w:r>
    </w:p>
    <w:p w14:paraId="79371C6C">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（2）投标人提交两份或两份以上内容不同的投标文件；</w:t>
      </w:r>
    </w:p>
    <w:p w14:paraId="69455EA4">
      <w:pPr>
        <w:pStyle w:val="19"/>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（3）投标人在线制作投标文件时填写的报价金额与解密后“电子加密投标文件”中《开标一览表》填写的金额不一致并拒绝按招标文件要求接受调整的；</w:t>
      </w:r>
    </w:p>
    <w:p w14:paraId="39268193">
      <w:pPr>
        <w:pStyle w:val="19"/>
        <w:snapToGrid w:val="0"/>
        <w:spacing w:line="520" w:lineRule="exact"/>
        <w:ind w:firstLine="411" w:firstLineChars="19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（4）法律、法规和招标文件规定的其他无效情形（或出现重大偏差）。</w:t>
      </w:r>
    </w:p>
    <w:p w14:paraId="02480ADA">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3.澄清补正</w:t>
      </w:r>
    </w:p>
    <w:p w14:paraId="090477AB">
      <w:pPr>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对投标文件中含义不明确、同类问题表述不一致或者有明显文字和计算错误的内容，评标委员会应在</w:t>
      </w:r>
      <w:r>
        <w:rPr>
          <w:rFonts w:hint="eastAsia" w:ascii="宋体" w:hAnsi="宋体" w:cs="宋体"/>
          <w:bCs/>
          <w:color w:val="auto"/>
          <w:kern w:val="0"/>
          <w:szCs w:val="21"/>
          <w:highlight w:val="none"/>
        </w:rPr>
        <w:t>广西政府采购云平台</w:t>
      </w:r>
      <w:r>
        <w:rPr>
          <w:rFonts w:hint="eastAsia" w:ascii="宋体" w:hAnsi="宋体" w:cs="宋体"/>
          <w:bCs/>
          <w:color w:val="auto"/>
          <w:szCs w:val="21"/>
          <w:highlight w:val="none"/>
        </w:rPr>
        <w:t>发布电子澄清函，要求投标人在规定时间内作出必要的澄清、说明或者补正。投标人在</w:t>
      </w:r>
      <w:r>
        <w:rPr>
          <w:rFonts w:hint="eastAsia" w:ascii="宋体" w:hAnsi="宋体" w:cs="宋体"/>
          <w:bCs/>
          <w:color w:val="auto"/>
          <w:kern w:val="0"/>
          <w:szCs w:val="21"/>
          <w:highlight w:val="none"/>
        </w:rPr>
        <w:t>广西政府采购云平台</w:t>
      </w:r>
      <w:r>
        <w:rPr>
          <w:rFonts w:hint="eastAsia" w:ascii="宋体" w:hAnsi="宋体" w:cs="宋体"/>
          <w:bCs/>
          <w:color w:val="auto"/>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63B8338">
      <w:pPr>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0C12055">
      <w:pPr>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未按评标委员会的要求作出明确澄清、说明或者更正的投标人的投标文件将按照有利于采购人的原则由评标委员会进行判定。</w:t>
      </w:r>
    </w:p>
    <w:p w14:paraId="30627731">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4.投标文件修正</w:t>
      </w:r>
    </w:p>
    <w:p w14:paraId="3F3C7E9B">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4.1投标文件报价出现前后不一致的，按照下列规定修正：</w:t>
      </w:r>
    </w:p>
    <w:p w14:paraId="197616CC">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（1）投标文件中开标一览表（报价表）内容与投标文件中相应内容不一致的，以开标一览表（报价表）为准；</w:t>
      </w:r>
    </w:p>
    <w:p w14:paraId="7CD9DAEC">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（2）大写金额和小写金额不一致的，以大写金额为准；</w:t>
      </w:r>
    </w:p>
    <w:p w14:paraId="5E94A138">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（3）单价金额小数点或者百分比有明显错位的，以开标一览表的总价为准，并修改单价；</w:t>
      </w:r>
    </w:p>
    <w:p w14:paraId="46E5D115">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（4）总价金额与按单价汇总金额不一致的，以单价金额计算结果为准。</w:t>
      </w:r>
    </w:p>
    <w:p w14:paraId="6604D6D3">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同时出现两种以上不一致的，按照以上（1）</w:t>
      </w:r>
      <w:r>
        <w:rPr>
          <w:rFonts w:hint="eastAsia" w:hAnsi="宋体" w:cs="宋体"/>
          <w:color w:val="auto"/>
          <w:highlight w:val="none"/>
        </w:rPr>
        <w:t>～</w:t>
      </w:r>
      <w:r>
        <w:rPr>
          <w:rFonts w:hint="eastAsia" w:hAnsi="宋体" w:cs="宋体"/>
          <w:bCs/>
          <w:color w:val="auto"/>
          <w:sz w:val="21"/>
          <w:highlight w:val="none"/>
        </w:rPr>
        <w:t>（4）规定的顺序修正。修正后的报价经投标人确认后产生约束力，投标人不确认的，</w:t>
      </w:r>
      <w:r>
        <w:rPr>
          <w:rFonts w:hint="eastAsia" w:hAnsi="宋体" w:cs="宋体"/>
          <w:bCs/>
          <w:color w:val="auto"/>
          <w:kern w:val="2"/>
          <w:sz w:val="21"/>
          <w:highlight w:val="none"/>
        </w:rPr>
        <w:t>其投标无效</w:t>
      </w:r>
      <w:r>
        <w:rPr>
          <w:rFonts w:hint="eastAsia" w:hAnsi="宋体" w:cs="宋体"/>
          <w:bCs/>
          <w:color w:val="auto"/>
          <w:sz w:val="21"/>
          <w:highlight w:val="none"/>
        </w:rPr>
        <w:t>。</w:t>
      </w:r>
    </w:p>
    <w:p w14:paraId="2411E90A">
      <w:pPr>
        <w:pStyle w:val="24"/>
        <w:snapToGrid w:val="0"/>
        <w:spacing w:line="520" w:lineRule="exact"/>
        <w:ind w:firstLine="420" w:firstLineChars="200"/>
        <w:rPr>
          <w:rFonts w:hint="eastAsia" w:hAnsi="宋体" w:cs="宋体"/>
          <w:bCs/>
          <w:color w:val="auto"/>
          <w:sz w:val="21"/>
          <w:highlight w:val="none"/>
        </w:rPr>
      </w:pPr>
      <w:r>
        <w:rPr>
          <w:rFonts w:hint="eastAsia" w:hAnsi="宋体" w:cs="宋体"/>
          <w:bCs/>
          <w:color w:val="auto"/>
          <w:sz w:val="21"/>
          <w:highlight w:val="none"/>
        </w:rPr>
        <w:t>4.2经投标人确认修正后的报价若超过采购预算金额或者最高限价，投标人的投标文件作无效投标处理。</w:t>
      </w:r>
    </w:p>
    <w:p w14:paraId="4CB33DC1">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4.3经投标人确认修正后的报价</w:t>
      </w:r>
      <w:r>
        <w:rPr>
          <w:rFonts w:hint="eastAsia" w:ascii="宋体" w:hAnsi="宋体" w:cs="宋体"/>
          <w:bCs/>
          <w:color w:val="auto"/>
          <w:szCs w:val="21"/>
          <w:highlight w:val="none"/>
          <w:lang w:eastAsia="zh-CN"/>
        </w:rPr>
        <w:t>做为</w:t>
      </w:r>
      <w:r>
        <w:rPr>
          <w:rFonts w:hint="eastAsia" w:ascii="宋体" w:hAnsi="宋体" w:cs="宋体"/>
          <w:bCs/>
          <w:color w:val="auto"/>
          <w:szCs w:val="21"/>
          <w:highlight w:val="none"/>
        </w:rPr>
        <w:t>签订合同的依据，并以此报价计算价格分。</w:t>
      </w:r>
    </w:p>
    <w:p w14:paraId="619A3077">
      <w:pPr>
        <w:pStyle w:val="7"/>
        <w:keepNext w:val="0"/>
        <w:keepLines w:val="0"/>
        <w:spacing w:before="0" w:after="0" w:line="520" w:lineRule="exact"/>
        <w:ind w:left="420"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5.比较与评价</w:t>
      </w:r>
    </w:p>
    <w:p w14:paraId="4A5CBC44">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5.1采用综合评分法的</w:t>
      </w:r>
    </w:p>
    <w:p w14:paraId="4DEA7ABD">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（1）评标委员会按照招标文件中规定的评标方法及评标标准，对符合性审查合格的投标文件进行商务和技术评估，综合比较与评价。</w:t>
      </w:r>
    </w:p>
    <w:p w14:paraId="650CC144">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（2）评标委员会独立对每个投标人的投标文件进行评价，并汇总每个投标人的得分。</w:t>
      </w:r>
    </w:p>
    <w:p w14:paraId="170E1860">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1）评标委员会在评审中发现下列情形之一的，应当启动异常低价投标审查程序：</w:t>
      </w:r>
    </w:p>
    <w:p w14:paraId="3CCAE614">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①投标报价低于全部通过符合性审查供应商投标报价平均值</w:t>
      </w:r>
      <w:r>
        <w:rPr>
          <w:rFonts w:hint="eastAsia" w:ascii="宋体" w:hAnsi="宋体" w:cs="宋体"/>
          <w:bCs/>
          <w:color w:val="auto"/>
          <w:szCs w:val="21"/>
          <w:highlight w:val="none"/>
          <w:lang w:val="en-US" w:eastAsia="zh-CN"/>
        </w:rPr>
        <w:t>50</w:t>
      </w:r>
      <w:r>
        <w:rPr>
          <w:rFonts w:hint="eastAsia" w:ascii="宋体" w:hAnsi="宋体" w:cs="宋体"/>
          <w:bCs/>
          <w:color w:val="auto"/>
          <w:szCs w:val="21"/>
          <w:highlight w:val="none"/>
        </w:rPr>
        <w:t>%的，即投标报价＜全部通过符合性审查供应商投标报价平均值×</w:t>
      </w:r>
      <w:r>
        <w:rPr>
          <w:rFonts w:hint="eastAsia" w:ascii="宋体" w:hAnsi="宋体" w:cs="宋体"/>
          <w:bCs/>
          <w:color w:val="auto"/>
          <w:szCs w:val="21"/>
          <w:highlight w:val="none"/>
          <w:lang w:val="en-US" w:eastAsia="zh-CN"/>
        </w:rPr>
        <w:t>50</w:t>
      </w:r>
      <w:r>
        <w:rPr>
          <w:rFonts w:hint="eastAsia" w:ascii="宋体" w:hAnsi="宋体" w:cs="宋体"/>
          <w:bCs/>
          <w:color w:val="auto"/>
          <w:szCs w:val="21"/>
          <w:highlight w:val="none"/>
        </w:rPr>
        <w:t>%；</w:t>
      </w:r>
    </w:p>
    <w:p w14:paraId="68F3D894">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②投标报价低于通过符合性审查的次低报价供应商投标报价</w:t>
      </w:r>
      <w:r>
        <w:rPr>
          <w:rFonts w:hint="eastAsia" w:ascii="宋体" w:hAnsi="宋体" w:cs="宋体"/>
          <w:bCs/>
          <w:color w:val="auto"/>
          <w:szCs w:val="21"/>
          <w:highlight w:val="none"/>
          <w:lang w:val="en-US" w:eastAsia="zh-CN"/>
        </w:rPr>
        <w:t>50</w:t>
      </w:r>
      <w:r>
        <w:rPr>
          <w:rFonts w:hint="eastAsia" w:ascii="宋体" w:hAnsi="宋体" w:cs="宋体"/>
          <w:bCs/>
          <w:color w:val="auto"/>
          <w:szCs w:val="21"/>
          <w:highlight w:val="none"/>
        </w:rPr>
        <w:t>%的，即投标报价＜通过符合性审查的次低报价供应商投标报价×</w:t>
      </w:r>
      <w:r>
        <w:rPr>
          <w:rFonts w:hint="eastAsia" w:ascii="宋体" w:hAnsi="宋体" w:cs="宋体"/>
          <w:bCs/>
          <w:color w:val="auto"/>
          <w:szCs w:val="21"/>
          <w:highlight w:val="none"/>
          <w:lang w:val="en-US" w:eastAsia="zh-CN"/>
        </w:rPr>
        <w:t>50</w:t>
      </w:r>
      <w:r>
        <w:rPr>
          <w:rFonts w:hint="eastAsia" w:ascii="宋体" w:hAnsi="宋体" w:cs="宋体"/>
          <w:bCs/>
          <w:color w:val="auto"/>
          <w:szCs w:val="21"/>
          <w:highlight w:val="none"/>
        </w:rPr>
        <w:t>%；</w:t>
      </w:r>
    </w:p>
    <w:p w14:paraId="33F49828">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③投标报价低于采购项目最高限价</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5%的，即投标报价＜采购项目最高限价×</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5%；</w:t>
      </w:r>
    </w:p>
    <w:p w14:paraId="3B85C9AB">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④评标委员会基于专业判断，认为供应商报价过低，有可能影响产品质量或者不能诚信履约的其他情形。</w:t>
      </w:r>
    </w:p>
    <w:p w14:paraId="341983EB">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06A0F16">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val="0"/>
          <w:color w:val="auto"/>
          <w:szCs w:val="21"/>
          <w:highlight w:val="none"/>
        </w:rPr>
        <w:t>投标供应商不能提供书面说明、证明材料，或者提供的书面说明、证明材料不能证明其报价合理性的，评标委员会应当将其</w:t>
      </w:r>
      <w:r>
        <w:rPr>
          <w:rFonts w:hint="eastAsia" w:ascii="宋体" w:hAnsi="宋体" w:cs="宋体"/>
          <w:b/>
          <w:bCs w:val="0"/>
          <w:color w:val="auto"/>
          <w:szCs w:val="21"/>
          <w:highlight w:val="none"/>
          <w:lang w:eastAsia="zh-CN"/>
        </w:rPr>
        <w:t>做为</w:t>
      </w:r>
      <w:r>
        <w:rPr>
          <w:rFonts w:hint="eastAsia" w:ascii="宋体" w:hAnsi="宋体" w:cs="宋体"/>
          <w:b/>
          <w:bCs w:val="0"/>
          <w:color w:val="auto"/>
          <w:szCs w:val="21"/>
          <w:highlight w:val="none"/>
        </w:rPr>
        <w:t>无效投标处理。</w:t>
      </w:r>
    </w:p>
    <w:p w14:paraId="012FA9D6">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E14284C">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异常低价投标审查的启动原因、审查意见和审查结果应当在评审报告中记录，并随供应商提供的相关书面说明及证明材料；如有，以及评标委员会有关互联网浏览、查询历史一并归档。</w:t>
      </w:r>
    </w:p>
    <w:p w14:paraId="57EFBE8E">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（3）评标委员会按照招标文件中规定的评标方法和标准计算各投标人的报价得分。在计算过程中，不得去掉最高报价或者最低报价。</w:t>
      </w:r>
    </w:p>
    <w:p w14:paraId="0B4153CC">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（4）各投标人的得分为所有评委的有效评分的算术平均数。</w:t>
      </w:r>
    </w:p>
    <w:p w14:paraId="2EE6D198">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（5）评标委员会按照招标文件中的规定推荐中标候选人。</w:t>
      </w:r>
    </w:p>
    <w:p w14:paraId="7F5810BE">
      <w:pPr>
        <w:snapToGrid w:val="0"/>
        <w:spacing w:line="52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0E5F8D8C">
      <w:pPr>
        <w:pStyle w:val="3"/>
        <w:spacing w:before="0" w:after="0" w:line="520" w:lineRule="exact"/>
        <w:jc w:val="center"/>
        <w:rPr>
          <w:rFonts w:hint="eastAsia" w:ascii="宋体" w:hAnsi="宋体" w:cs="宋体"/>
          <w:color w:val="auto"/>
          <w:kern w:val="2"/>
          <w:sz w:val="32"/>
          <w:szCs w:val="32"/>
          <w:highlight w:val="none"/>
        </w:rPr>
      </w:pPr>
      <w:bookmarkStart w:id="185" w:name="_Toc6215"/>
      <w:bookmarkStart w:id="186" w:name="_Toc22758"/>
      <w:bookmarkStart w:id="187" w:name="_Toc23294"/>
      <w:bookmarkStart w:id="188" w:name="_Toc32300"/>
      <w:bookmarkStart w:id="189" w:name="_Toc7941"/>
      <w:bookmarkStart w:id="190" w:name="_Toc29774"/>
      <w:bookmarkStart w:id="191" w:name="_Toc8636"/>
      <w:bookmarkStart w:id="192" w:name="_Toc562"/>
      <w:bookmarkStart w:id="193" w:name="_Toc21508"/>
      <w:bookmarkStart w:id="194" w:name="_Toc21221"/>
    </w:p>
    <w:p w14:paraId="6C87A876">
      <w:pPr>
        <w:pStyle w:val="5"/>
        <w:keepNext w:val="0"/>
        <w:keepLines w:val="0"/>
        <w:spacing w:before="0" w:after="0" w:line="520" w:lineRule="exact"/>
        <w:jc w:val="center"/>
        <w:rPr>
          <w:rFonts w:hint="eastAsia" w:ascii="宋体" w:hAnsi="宋体" w:cs="宋体"/>
          <w:color w:val="auto"/>
          <w:highlight w:val="none"/>
        </w:rPr>
      </w:pPr>
      <w:r>
        <w:rPr>
          <w:rFonts w:hint="eastAsia" w:ascii="宋体" w:hAnsi="宋体" w:eastAsia="宋体" w:cs="宋体"/>
          <w:b/>
          <w:bCs/>
          <w:color w:val="auto"/>
          <w:highlight w:val="none"/>
        </w:rPr>
        <w:t>三、评分标准</w:t>
      </w:r>
      <w:bookmarkEnd w:id="185"/>
      <w:bookmarkEnd w:id="186"/>
      <w:bookmarkEnd w:id="187"/>
      <w:bookmarkEnd w:id="188"/>
      <w:bookmarkEnd w:id="189"/>
      <w:bookmarkEnd w:id="190"/>
      <w:bookmarkEnd w:id="191"/>
      <w:bookmarkEnd w:id="192"/>
      <w:r>
        <w:rPr>
          <w:rFonts w:hint="eastAsia" w:ascii="宋体" w:hAnsi="宋体" w:eastAsia="宋体" w:cs="宋体"/>
          <w:b/>
          <w:bCs/>
          <w:color w:val="auto"/>
          <w:highlight w:val="none"/>
        </w:rPr>
        <w:t>（综合评分法）</w:t>
      </w:r>
      <w:bookmarkEnd w:id="193"/>
      <w:bookmarkEnd w:id="194"/>
    </w:p>
    <w:p w14:paraId="20985682">
      <w:pPr>
        <w:widowControl/>
        <w:adjustRightInd w:val="0"/>
        <w:snapToGrid w:val="0"/>
        <w:spacing w:line="520" w:lineRule="exact"/>
        <w:ind w:firstLine="459" w:firstLineChars="219"/>
        <w:rPr>
          <w:rFonts w:hint="eastAsia" w:ascii="宋体" w:hAnsi="宋体" w:cs="宋体"/>
          <w:b/>
          <w:bCs/>
          <w:color w:val="auto"/>
          <w:kern w:val="0"/>
          <w:szCs w:val="21"/>
          <w:highlight w:val="none"/>
        </w:rPr>
      </w:pPr>
      <w:r>
        <w:rPr>
          <w:rFonts w:hint="eastAsia" w:ascii="宋体" w:hAnsi="宋体" w:cs="宋体"/>
          <w:bCs/>
          <w:color w:val="auto"/>
          <w:kern w:val="0"/>
          <w:szCs w:val="21"/>
          <w:highlight w:val="none"/>
        </w:rPr>
        <w:t>（一）</w:t>
      </w:r>
      <w:r>
        <w:rPr>
          <w:rFonts w:hint="eastAsia" w:ascii="宋体" w:hAnsi="宋体" w:cs="宋体"/>
          <w:b/>
          <w:bCs/>
          <w:color w:val="auto"/>
          <w:kern w:val="0"/>
          <w:szCs w:val="21"/>
          <w:highlight w:val="none"/>
        </w:rPr>
        <w:t>评标原则</w:t>
      </w:r>
    </w:p>
    <w:p w14:paraId="7E4B727E">
      <w:pPr>
        <w:widowControl/>
        <w:adjustRightInd w:val="0"/>
        <w:snapToGrid w:val="0"/>
        <w:spacing w:line="520" w:lineRule="exact"/>
        <w:ind w:firstLine="459" w:firstLineChars="219"/>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1.评委构成：《政府采购货物和服务招标投标管理办法》第四十七条评标委员会由采购人代表和评审专家组成，成员人数应当为5人以上单数，其中评审专家不得少于成员总数的三分之二。</w:t>
      </w:r>
    </w:p>
    <w:p w14:paraId="4264B68B">
      <w:pPr>
        <w:widowControl/>
        <w:adjustRightInd w:val="0"/>
        <w:snapToGrid w:val="0"/>
        <w:spacing w:line="520" w:lineRule="exact"/>
        <w:ind w:firstLine="378" w:firstLineChars="18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646039B6">
      <w:pPr>
        <w:widowControl/>
        <w:adjustRightInd w:val="0"/>
        <w:snapToGrid w:val="0"/>
        <w:spacing w:line="520" w:lineRule="exact"/>
        <w:ind w:firstLine="378" w:firstLineChars="180"/>
        <w:rPr>
          <w:rFonts w:hint="eastAsia" w:ascii="宋体" w:hAnsi="宋体" w:cs="宋体"/>
          <w:color w:val="auto"/>
          <w:szCs w:val="21"/>
          <w:highlight w:val="none"/>
        </w:rPr>
      </w:pPr>
      <w:r>
        <w:rPr>
          <w:rFonts w:hint="eastAsia" w:ascii="宋体" w:hAnsi="宋体" w:cs="宋体"/>
          <w:bCs/>
          <w:color w:val="auto"/>
          <w:szCs w:val="21"/>
          <w:highlight w:val="none"/>
        </w:rPr>
        <w:t>3.评标方式：以封闭方式进行。</w:t>
      </w:r>
    </w:p>
    <w:p w14:paraId="3A3FBEB7">
      <w:pPr>
        <w:adjustRightInd w:val="0"/>
        <w:snapToGrid w:val="0"/>
        <w:spacing w:line="520" w:lineRule="exact"/>
        <w:ind w:firstLine="252" w:firstLineChars="120"/>
        <w:rPr>
          <w:rFonts w:hint="eastAsia" w:ascii="宋体" w:hAnsi="宋体" w:cs="宋体"/>
          <w:b/>
          <w:color w:val="auto"/>
          <w:szCs w:val="21"/>
          <w:highlight w:val="none"/>
        </w:rPr>
      </w:pPr>
      <w:r>
        <w:rPr>
          <w:rFonts w:hint="eastAsia" w:ascii="宋体" w:hAnsi="宋体" w:cs="宋体"/>
          <w:color w:val="auto"/>
          <w:kern w:val="0"/>
          <w:szCs w:val="21"/>
          <w:highlight w:val="none"/>
        </w:rPr>
        <w:t>（二）</w:t>
      </w:r>
      <w:r>
        <w:rPr>
          <w:rFonts w:hint="eastAsia" w:ascii="宋体" w:hAnsi="宋体" w:cs="宋体"/>
          <w:b/>
          <w:color w:val="auto"/>
          <w:szCs w:val="21"/>
          <w:highlight w:val="none"/>
        </w:rPr>
        <w:t>评标方法</w:t>
      </w:r>
    </w:p>
    <w:p w14:paraId="6F78ED2B">
      <w:pPr>
        <w:widowControl/>
        <w:adjustRightInd w:val="0"/>
        <w:snapToGrid w:val="0"/>
        <w:spacing w:line="520" w:lineRule="exact"/>
        <w:ind w:firstLine="378" w:firstLineChars="180"/>
        <w:rPr>
          <w:rFonts w:hint="eastAsia" w:ascii="宋体" w:hAnsi="宋体" w:cs="宋体"/>
          <w:color w:val="auto"/>
          <w:kern w:val="0"/>
          <w:szCs w:val="21"/>
          <w:highlight w:val="none"/>
        </w:rPr>
      </w:pPr>
      <w:r>
        <w:rPr>
          <w:rFonts w:hint="eastAsia" w:ascii="宋体" w:hAnsi="宋体" w:cs="宋体"/>
          <w:color w:val="auto"/>
          <w:kern w:val="0"/>
          <w:szCs w:val="21"/>
          <w:highlight w:val="none"/>
        </w:rPr>
        <w:t>1.对进入详评的，采用百分制综合评分法。</w:t>
      </w:r>
    </w:p>
    <w:p w14:paraId="597023DE">
      <w:pPr>
        <w:widowControl/>
        <w:adjustRightInd w:val="0"/>
        <w:snapToGrid w:val="0"/>
        <w:spacing w:line="520" w:lineRule="exact"/>
        <w:ind w:firstLine="378" w:firstLineChars="180"/>
        <w:rPr>
          <w:rFonts w:hint="eastAsia" w:ascii="宋体" w:hAnsi="宋体" w:cs="宋体"/>
          <w:color w:val="auto"/>
          <w:kern w:val="0"/>
          <w:szCs w:val="21"/>
          <w:highlight w:val="none"/>
        </w:rPr>
      </w:pPr>
      <w:r>
        <w:rPr>
          <w:rFonts w:hint="eastAsia" w:ascii="宋体" w:hAnsi="宋体" w:cs="宋体"/>
          <w:color w:val="auto"/>
          <w:kern w:val="0"/>
          <w:szCs w:val="21"/>
          <w:highlight w:val="none"/>
        </w:rPr>
        <w:t>2.计分办法（按四舍五入取至百分位）：</w:t>
      </w:r>
    </w:p>
    <w:p w14:paraId="237116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rPr>
      </w:pPr>
    </w:p>
    <w:p w14:paraId="59A0750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rPr>
        <w:sectPr>
          <w:footerReference r:id="rId24" w:type="first"/>
          <w:headerReference r:id="rId21" w:type="default"/>
          <w:footerReference r:id="rId22" w:type="default"/>
          <w:footerReference r:id="rId23" w:type="even"/>
          <w:pgSz w:w="11906" w:h="16838"/>
          <w:pgMar w:top="1247" w:right="1247" w:bottom="1247" w:left="1247" w:header="720" w:footer="720" w:gutter="0"/>
          <w:pgNumType w:fmt="decimal"/>
          <w:cols w:space="720" w:num="1"/>
          <w:titlePg/>
          <w:docGrid w:linePitch="312" w:charSpace="0"/>
        </w:sectPr>
      </w:pPr>
    </w:p>
    <w:tbl>
      <w:tblPr>
        <w:tblStyle w:val="47"/>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646"/>
        <w:gridCol w:w="6673"/>
      </w:tblGrid>
      <w:tr w14:paraId="728A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bottom w:val="single" w:color="auto" w:sz="4" w:space="0"/>
              <w:right w:val="single" w:color="auto" w:sz="4" w:space="0"/>
            </w:tcBorders>
            <w:noWrap/>
            <w:vAlign w:val="center"/>
          </w:tcPr>
          <w:p w14:paraId="3E0EC7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highlight w:val="none"/>
              </w:rPr>
              <w:br w:type="page"/>
            </w:r>
            <w:r>
              <w:rPr>
                <w:rFonts w:hint="eastAsia" w:ascii="宋体" w:hAnsi="宋体" w:eastAsia="宋体" w:cs="宋体"/>
                <w:color w:val="auto"/>
                <w:sz w:val="21"/>
                <w:szCs w:val="21"/>
                <w:highlight w:val="none"/>
              </w:rPr>
              <w:t>序号</w:t>
            </w:r>
          </w:p>
        </w:tc>
        <w:tc>
          <w:tcPr>
            <w:tcW w:w="1646" w:type="dxa"/>
            <w:tcBorders>
              <w:top w:val="single" w:color="auto" w:sz="4" w:space="0"/>
              <w:left w:val="single" w:color="auto" w:sz="4" w:space="0"/>
              <w:bottom w:val="single" w:color="auto" w:sz="4" w:space="0"/>
              <w:right w:val="single" w:color="auto" w:sz="4" w:space="0"/>
            </w:tcBorders>
            <w:noWrap/>
            <w:vAlign w:val="center"/>
          </w:tcPr>
          <w:p w14:paraId="597D9AD3">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673" w:type="dxa"/>
            <w:tcBorders>
              <w:top w:val="single" w:color="auto" w:sz="4" w:space="0"/>
              <w:left w:val="single" w:color="auto" w:sz="4" w:space="0"/>
              <w:bottom w:val="single" w:color="auto" w:sz="4" w:space="0"/>
              <w:right w:val="single" w:color="auto" w:sz="4" w:space="0"/>
            </w:tcBorders>
            <w:noWrap/>
            <w:vAlign w:val="center"/>
          </w:tcPr>
          <w:p w14:paraId="5E98E231">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rPr>
            </w:pPr>
            <w:bookmarkStart w:id="195" w:name="评分办法2"/>
            <w:r>
              <w:rPr>
                <w:rFonts w:hint="eastAsia" w:ascii="宋体" w:hAnsi="宋体" w:eastAsia="宋体" w:cs="宋体"/>
                <w:color w:val="auto"/>
                <w:sz w:val="21"/>
                <w:szCs w:val="21"/>
                <w:highlight w:val="none"/>
              </w:rPr>
              <w:t>评分标准</w:t>
            </w:r>
            <w:bookmarkEnd w:id="195"/>
          </w:p>
        </w:tc>
      </w:tr>
      <w:tr w14:paraId="37E7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bottom w:val="single" w:color="auto" w:sz="4" w:space="0"/>
              <w:right w:val="single" w:color="auto" w:sz="4" w:space="0"/>
            </w:tcBorders>
            <w:noWrap/>
            <w:vAlign w:val="center"/>
          </w:tcPr>
          <w:p w14:paraId="3F2CABEE">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46" w:type="dxa"/>
            <w:tcBorders>
              <w:top w:val="single" w:color="auto" w:sz="4" w:space="0"/>
              <w:left w:val="single" w:color="auto" w:sz="4" w:space="0"/>
              <w:bottom w:val="single" w:color="auto" w:sz="4" w:space="0"/>
              <w:right w:val="single" w:color="auto" w:sz="4" w:space="0"/>
            </w:tcBorders>
            <w:noWrap/>
            <w:vAlign w:val="center"/>
          </w:tcPr>
          <w:p w14:paraId="2D49FDBA">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投标报价分</w:t>
            </w:r>
          </w:p>
          <w:p w14:paraId="522E5191">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673" w:type="dxa"/>
            <w:tcBorders>
              <w:top w:val="single" w:color="auto" w:sz="4" w:space="0"/>
              <w:left w:val="single" w:color="auto" w:sz="4" w:space="0"/>
              <w:bottom w:val="single" w:color="auto" w:sz="4" w:space="0"/>
              <w:right w:val="single" w:color="auto" w:sz="4" w:space="0"/>
            </w:tcBorders>
            <w:noWrap/>
            <w:vAlign w:val="top"/>
          </w:tcPr>
          <w:p w14:paraId="627D583F">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（1）评标报价为投标人的投标报价进行政策性扣除后的价格，评标报价只是</w:t>
            </w:r>
            <w:r>
              <w:rPr>
                <w:rFonts w:hint="eastAsia" w:ascii="宋体" w:hAnsi="宋体" w:eastAsia="宋体" w:cs="宋体"/>
                <w:color w:val="auto"/>
                <w:sz w:val="21"/>
                <w:szCs w:val="21"/>
                <w:highlight w:val="none"/>
                <w:lang w:eastAsia="zh-CN"/>
              </w:rPr>
              <w:t>做为</w:t>
            </w:r>
            <w:r>
              <w:rPr>
                <w:rFonts w:hint="eastAsia" w:ascii="宋体" w:hAnsi="宋体" w:eastAsia="宋体" w:cs="宋体"/>
                <w:color w:val="auto"/>
                <w:sz w:val="21"/>
                <w:szCs w:val="21"/>
                <w:highlight w:val="none"/>
              </w:rPr>
              <w:t>评标时使用。最终中标人的中标金额等于投标报价。</w:t>
            </w:r>
          </w:p>
          <w:p w14:paraId="51362D1A">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（2）政策性扣除计算方法。</w:t>
            </w:r>
          </w:p>
          <w:p w14:paraId="237FCFA1">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w:t>
            </w:r>
            <w:bookmarkStart w:id="196" w:name="_Hlk65857072"/>
            <w:r>
              <w:rPr>
                <w:rFonts w:hint="eastAsia" w:ascii="宋体" w:hAnsi="宋体" w:cs="宋体"/>
                <w:color w:val="auto"/>
                <w:szCs w:val="21"/>
                <w:highlight w:val="none"/>
              </w:rPr>
              <w:t>根据《政府采购促进中小企业发展管理办法》(财库(2020) 46号)第九条的规定，</w:t>
            </w:r>
            <w:bookmarkEnd w:id="196"/>
            <w:r>
              <w:rPr>
                <w:rFonts w:hint="eastAsia" w:ascii="宋体" w:hAnsi="宋体" w:cs="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r>
              <w:rPr>
                <w:rFonts w:hint="eastAsia" w:ascii="宋体" w:hAnsi="宋体" w:eastAsia="宋体" w:cs="宋体"/>
                <w:color w:val="auto"/>
                <w:sz w:val="21"/>
                <w:szCs w:val="21"/>
                <w:highlight w:val="none"/>
              </w:rPr>
              <w:t>除上述情况外，评标报价=投标报价</w:t>
            </w:r>
          </w:p>
          <w:p w14:paraId="60C82561">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16F5F61">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DD67F93">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（5）满足招标文件要求且评标报价最低的评标报价为评标基准价，其价格分为满分。</w:t>
            </w:r>
          </w:p>
          <w:p w14:paraId="6F1C797E">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（6）价格分计算公式：</w:t>
            </w:r>
          </w:p>
          <w:p w14:paraId="212A8856">
            <w:pPr>
              <w:keepNext w:val="0"/>
              <w:keepLines w:val="0"/>
              <w:pageBreakBefore w:val="0"/>
              <w:widowControl/>
              <w:kinsoku/>
              <w:wordWrap/>
              <w:overflowPunct/>
              <w:topLinePunct w:val="0"/>
              <w:autoSpaceDE/>
              <w:autoSpaceDN/>
              <w:bidi w:val="0"/>
              <w:snapToGrid/>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价格分=（评标基准价/评标报价）×10分</w:t>
            </w:r>
          </w:p>
        </w:tc>
      </w:tr>
      <w:tr w14:paraId="10C2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236" w:type="dxa"/>
            <w:gridSpan w:val="3"/>
            <w:tcBorders>
              <w:top w:val="single" w:color="auto" w:sz="4" w:space="0"/>
              <w:left w:val="single" w:color="auto" w:sz="4" w:space="0"/>
              <w:bottom w:val="single" w:color="auto" w:sz="4" w:space="0"/>
              <w:right w:val="single" w:color="auto" w:sz="4" w:space="0"/>
            </w:tcBorders>
            <w:noWrap/>
            <w:vAlign w:val="center"/>
          </w:tcPr>
          <w:p w14:paraId="42CC472A">
            <w:pPr>
              <w:keepNext w:val="0"/>
              <w:keepLines w:val="0"/>
              <w:pageBreakBefore w:val="0"/>
              <w:kinsoku/>
              <w:wordWrap/>
              <w:overflowPunct/>
              <w:topLinePunct w:val="0"/>
              <w:autoSpaceDE/>
              <w:autoSpaceDN/>
              <w:bidi w:val="0"/>
              <w:snapToGrid/>
              <w:spacing w:line="440" w:lineRule="exact"/>
              <w:ind w:leftChars="-6" w:right="240" w:hanging="12" w:hangingChars="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2.技术分（满分</w:t>
            </w:r>
            <w:r>
              <w:rPr>
                <w:rFonts w:hint="eastAsia" w:ascii="宋体" w:hAnsi="宋体" w:cs="宋体"/>
                <w:color w:val="auto"/>
                <w:sz w:val="21"/>
                <w:szCs w:val="21"/>
                <w:highlight w:val="none"/>
                <w:lang w:val="en-US" w:eastAsia="zh-CN"/>
              </w:rPr>
              <w:t>75</w:t>
            </w:r>
            <w:r>
              <w:rPr>
                <w:rFonts w:hint="eastAsia" w:ascii="宋体" w:hAnsi="宋体" w:eastAsia="宋体" w:cs="宋体"/>
                <w:color w:val="auto"/>
                <w:sz w:val="21"/>
                <w:szCs w:val="21"/>
                <w:highlight w:val="none"/>
              </w:rPr>
              <w:t>分）</w:t>
            </w:r>
          </w:p>
        </w:tc>
      </w:tr>
      <w:tr w14:paraId="4760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right w:val="single" w:color="auto" w:sz="4" w:space="0"/>
            </w:tcBorders>
            <w:noWrap/>
            <w:vAlign w:val="center"/>
          </w:tcPr>
          <w:p w14:paraId="0C1CA133">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646" w:type="dxa"/>
            <w:tcBorders>
              <w:top w:val="single" w:color="auto" w:sz="4" w:space="0"/>
              <w:left w:val="single" w:color="auto" w:sz="4" w:space="0"/>
              <w:right w:val="single" w:color="auto" w:sz="4" w:space="0"/>
            </w:tcBorders>
            <w:noWrap/>
            <w:vAlign w:val="center"/>
          </w:tcPr>
          <w:p w14:paraId="15F6FDFF">
            <w:pPr>
              <w:widowControl/>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Cs w:val="21"/>
                <w:highlight w:val="none"/>
                <w:lang w:val="en-US" w:eastAsia="zh-CN"/>
              </w:rPr>
              <w:t>绿化养护实施方案完整性、针对性（满分20分）</w:t>
            </w:r>
          </w:p>
        </w:tc>
        <w:tc>
          <w:tcPr>
            <w:tcW w:w="6673" w:type="dxa"/>
            <w:tcBorders>
              <w:top w:val="single" w:color="auto" w:sz="4" w:space="0"/>
              <w:left w:val="single" w:color="auto" w:sz="4" w:space="0"/>
              <w:right w:val="single" w:color="auto" w:sz="4" w:space="0"/>
            </w:tcBorders>
            <w:noWrap/>
            <w:vAlign w:val="center"/>
          </w:tcPr>
          <w:p w14:paraId="142598A2">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优（20 分）：完全响应本项目服务方案要求，完整包含管养范围、三级养护标准、乔木、灌木、地被、草坪、古树名木养护、补植、红火蚁 / 白蚁等病虫害防治、应急抢险、重大活动保障、绿化垃圾处置等全部内容；结合蒙山县项目实际，针对湄江河南北延长线、冷链物流周边新增绿地、6 株古树名木制定专项细化养护措施；作业频次（除草松土≥6 次、施肥≥2 次、喷药≥2 次、补植≥2 次）完全匹配招标文件要求，方案逻辑清晰、可落地。</w:t>
            </w:r>
          </w:p>
          <w:p w14:paraId="61F65806">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良（15 分）：响应项目全部服务内容，涵盖主要养护工作内容，有古树名木、病虫害防治专项措施；对本项目新增绿地有简单说明，但针对性措施不够细化；作业频次满足招标文件要求，整体方案完整，局部细节深度不足。</w:t>
            </w:r>
          </w:p>
          <w:p w14:paraId="56BF16D2">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中（10分）：养护方案基本覆盖主要工作，但缺少古树名木专项养护或者应急抢险专项内容；未结合蒙山县本项目绿地现状，照搬通用绿化养护模板；部分作业频次描述模糊。</w:t>
            </w:r>
          </w:p>
          <w:p w14:paraId="5693726B">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差（5分）养护方案缺项较多，关键养护内容（补植、病虫害防治、垃圾清运、应急处置）缺失；完全不匹配本项目 27.07 万㎡管护规模及项目实际情况，方案空洞。</w:t>
            </w:r>
          </w:p>
        </w:tc>
      </w:tr>
      <w:tr w14:paraId="1044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right w:val="single" w:color="auto" w:sz="4" w:space="0"/>
            </w:tcBorders>
            <w:noWrap/>
            <w:vAlign w:val="center"/>
          </w:tcPr>
          <w:p w14:paraId="2CD9E4AC">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646" w:type="dxa"/>
            <w:tcBorders>
              <w:top w:val="single" w:color="auto" w:sz="4" w:space="0"/>
              <w:left w:val="single" w:color="auto" w:sz="4" w:space="0"/>
              <w:right w:val="single" w:color="auto" w:sz="4" w:space="0"/>
            </w:tcBorders>
            <w:noWrap/>
            <w:vAlign w:val="center"/>
          </w:tcPr>
          <w:p w14:paraId="6BECDCB8">
            <w:pPr>
              <w:widowControl/>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Cs w:val="21"/>
                <w:highlight w:val="none"/>
                <w:lang w:val="en-US" w:eastAsia="zh-CN"/>
              </w:rPr>
              <w:t>人员配置方案合理性（满分15分）</w:t>
            </w:r>
          </w:p>
        </w:tc>
        <w:tc>
          <w:tcPr>
            <w:tcW w:w="6673" w:type="dxa"/>
            <w:tcBorders>
              <w:top w:val="single" w:color="auto" w:sz="4" w:space="0"/>
              <w:left w:val="single" w:color="auto" w:sz="4" w:space="0"/>
              <w:right w:val="single" w:color="auto" w:sz="4" w:space="0"/>
            </w:tcBorders>
            <w:noWrap/>
            <w:vAlign w:val="center"/>
          </w:tcPr>
          <w:p w14:paraId="66D9A7D8">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优（15 分）：人员配置完全满足招标文件要求：养护作业人员≥32 人，明确月度</w:t>
            </w:r>
            <w:r>
              <w:rPr>
                <w:rFonts w:hint="eastAsia" w:ascii="宋体" w:hAnsi="宋体" w:cs="宋体"/>
                <w:color w:val="auto"/>
                <w:kern w:val="0"/>
                <w:szCs w:val="21"/>
                <w:highlight w:val="none"/>
                <w:lang w:val="en-US" w:eastAsia="zh-CN"/>
              </w:rPr>
              <w:t>不少</w:t>
            </w:r>
            <w:r>
              <w:rPr>
                <w:rFonts w:hint="eastAsia" w:ascii="宋体" w:hAnsi="宋体" w:eastAsia="宋体" w:cs="宋体"/>
                <w:color w:val="auto"/>
                <w:kern w:val="0"/>
                <w:szCs w:val="21"/>
                <w:highlight w:val="none"/>
                <w:lang w:val="en-US" w:eastAsia="zh-CN"/>
              </w:rPr>
              <w:t>750</w:t>
            </w:r>
            <w:r>
              <w:rPr>
                <w:rFonts w:hint="eastAsia" w:ascii="宋体" w:hAnsi="宋体" w:cs="宋体"/>
                <w:color w:val="auto"/>
                <w:kern w:val="0"/>
                <w:szCs w:val="21"/>
                <w:highlight w:val="none"/>
                <w:lang w:val="en-US" w:eastAsia="zh-CN"/>
              </w:rPr>
              <w:t>人工</w:t>
            </w:r>
            <w:r>
              <w:rPr>
                <w:rFonts w:hint="eastAsia" w:ascii="宋体" w:hAnsi="宋体" w:eastAsia="宋体" w:cs="宋体"/>
                <w:color w:val="auto"/>
                <w:kern w:val="0"/>
                <w:szCs w:val="21"/>
                <w:highlight w:val="none"/>
                <w:lang w:val="en-US" w:eastAsia="zh-CN"/>
              </w:rPr>
              <w:t>、年度</w:t>
            </w:r>
            <w:r>
              <w:rPr>
                <w:rFonts w:hint="eastAsia" w:ascii="宋体" w:hAnsi="宋体" w:cs="宋体"/>
                <w:color w:val="auto"/>
                <w:kern w:val="0"/>
                <w:szCs w:val="21"/>
                <w:highlight w:val="none"/>
                <w:lang w:val="en-US" w:eastAsia="zh-CN"/>
              </w:rPr>
              <w:t>出勤不少于</w:t>
            </w:r>
            <w:r>
              <w:rPr>
                <w:rFonts w:hint="eastAsia" w:ascii="宋体" w:hAnsi="宋体" w:eastAsia="宋体" w:cs="宋体"/>
                <w:color w:val="auto"/>
                <w:kern w:val="0"/>
                <w:szCs w:val="21"/>
                <w:highlight w:val="none"/>
                <w:lang w:val="en-US" w:eastAsia="zh-CN"/>
              </w:rPr>
              <w:t>9000人工保障措施；项目经理、技术负责人、安全员、施工员、质量员、材料员 6 类管理人员配置齐全，提供人员岗位职责、社保、相关证书；明确人员培训、安全交底、工作服劳保防护配置方案；对年度人工不足的风险制定补救管控措施。</w:t>
            </w:r>
          </w:p>
          <w:p w14:paraId="436D3DA6">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良（12分）：人员数量满足招标文件配置数量，管理人员齐全；有岗位职责、人员培训方案；但缺少完整的风险管控措施，部分人员证明材料不完整。</w:t>
            </w:r>
          </w:p>
          <w:p w14:paraId="73F02535">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中（8分）：养护人员数量达标，</w:t>
            </w:r>
            <w:r>
              <w:rPr>
                <w:rFonts w:hint="eastAsia" w:ascii="宋体" w:hAnsi="宋体" w:cs="宋体"/>
                <w:color w:val="auto"/>
                <w:kern w:val="0"/>
                <w:szCs w:val="21"/>
                <w:highlight w:val="none"/>
                <w:lang w:val="en-US" w:eastAsia="zh-CN"/>
              </w:rPr>
              <w:t>且管理人员满足</w:t>
            </w:r>
            <w:r>
              <w:rPr>
                <w:rFonts w:hint="eastAsia" w:ascii="宋体" w:hAnsi="宋体" w:eastAsia="宋体" w:cs="宋体"/>
                <w:color w:val="auto"/>
                <w:kern w:val="0"/>
                <w:szCs w:val="21"/>
                <w:highlight w:val="none"/>
                <w:lang w:val="en-US" w:eastAsia="zh-CN"/>
              </w:rPr>
              <w:t>招标文件最低配置；人工工日保障方案简单，未针对人工考核要求做对应安排；劳保、安全防护方案内容简略。</w:t>
            </w:r>
          </w:p>
          <w:p w14:paraId="7BA45DFD">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差（2分）：养护人员或管理人员配置满足招标文件最低配置；无人员培训、劳保、保险相关方案；未响应本项目人工出勤考核要求。</w:t>
            </w:r>
          </w:p>
        </w:tc>
      </w:tr>
      <w:tr w14:paraId="5DF9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right w:val="single" w:color="auto" w:sz="4" w:space="0"/>
            </w:tcBorders>
            <w:noWrap/>
            <w:vAlign w:val="center"/>
          </w:tcPr>
          <w:p w14:paraId="41A73432">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1646" w:type="dxa"/>
            <w:tcBorders>
              <w:top w:val="single" w:color="auto" w:sz="4" w:space="0"/>
              <w:left w:val="single" w:color="auto" w:sz="4" w:space="0"/>
              <w:right w:val="single" w:color="auto" w:sz="4" w:space="0"/>
            </w:tcBorders>
            <w:noWrap/>
            <w:vAlign w:val="center"/>
          </w:tcPr>
          <w:p w14:paraId="54855565">
            <w:pPr>
              <w:widowControl/>
              <w:snapToGrid w:val="0"/>
              <w:spacing w:line="36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机械设备、工具耗材配置方案（满分</w:t>
            </w:r>
            <w:r>
              <w:rPr>
                <w:rFonts w:hint="eastAsia" w:ascii="宋体" w:hAnsi="宋体" w:cs="宋体"/>
                <w:color w:val="auto"/>
                <w:kern w:val="0"/>
                <w:szCs w:val="21"/>
                <w:highlight w:val="none"/>
                <w:lang w:val="en-US" w:eastAsia="zh-CN"/>
              </w:rPr>
              <w:t>20</w:t>
            </w:r>
            <w:r>
              <w:rPr>
                <w:rFonts w:hint="eastAsia" w:ascii="宋体" w:hAnsi="宋体" w:eastAsia="宋体" w:cs="宋体"/>
                <w:color w:val="auto"/>
                <w:kern w:val="0"/>
                <w:szCs w:val="21"/>
                <w:highlight w:val="none"/>
                <w:lang w:val="en-US" w:eastAsia="zh-CN"/>
              </w:rPr>
              <w:t>分）</w:t>
            </w:r>
          </w:p>
        </w:tc>
        <w:tc>
          <w:tcPr>
            <w:tcW w:w="6673" w:type="dxa"/>
            <w:tcBorders>
              <w:top w:val="single" w:color="auto" w:sz="4" w:space="0"/>
              <w:left w:val="single" w:color="auto" w:sz="4" w:space="0"/>
              <w:right w:val="single" w:color="auto" w:sz="4" w:space="0"/>
            </w:tcBorders>
            <w:noWrap/>
            <w:vAlign w:val="center"/>
          </w:tcPr>
          <w:p w14:paraId="7F2FCD6B">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优（</w:t>
            </w:r>
            <w:r>
              <w:rPr>
                <w:rFonts w:hint="eastAsia" w:ascii="宋体" w:hAnsi="宋体" w:cs="宋体"/>
                <w:color w:val="auto"/>
                <w:kern w:val="0"/>
                <w:szCs w:val="21"/>
                <w:highlight w:val="none"/>
                <w:lang w:val="en-US" w:eastAsia="zh-CN"/>
              </w:rPr>
              <w:t>20</w:t>
            </w:r>
            <w:r>
              <w:rPr>
                <w:rFonts w:hint="eastAsia" w:ascii="宋体" w:hAnsi="宋体" w:eastAsia="宋体" w:cs="宋体"/>
                <w:color w:val="auto"/>
                <w:kern w:val="0"/>
                <w:szCs w:val="21"/>
                <w:highlight w:val="none"/>
                <w:lang w:val="en-US" w:eastAsia="zh-CN"/>
              </w:rPr>
              <w:t>分）：完全满足招标文件最低设备清单，列明自有</w:t>
            </w:r>
            <w:r>
              <w:rPr>
                <w:rFonts w:hint="eastAsia" w:ascii="宋体" w:hAnsi="宋体" w:cs="宋体"/>
                <w:color w:val="auto"/>
                <w:kern w:val="0"/>
                <w:szCs w:val="21"/>
                <w:highlight w:val="none"/>
                <w:lang w:val="en-US" w:eastAsia="zh-CN"/>
              </w:rPr>
              <w:t>或</w:t>
            </w:r>
            <w:r>
              <w:rPr>
                <w:rFonts w:hint="eastAsia" w:ascii="宋体" w:hAnsi="宋体" w:eastAsia="宋体" w:cs="宋体"/>
                <w:color w:val="auto"/>
                <w:kern w:val="0"/>
                <w:szCs w:val="21"/>
                <w:highlight w:val="none"/>
                <w:lang w:val="en-US" w:eastAsia="zh-CN"/>
              </w:rPr>
              <w:t>租赁设备型号、数量；淋水车、喷药车、货车、管理车及各类园林机械、安全防护用具（工作服、安全锥、警示牌等）配置齐全；苗木、农药、化肥、抢险耗材有详细采购保障方案；租赁设备提供意向协议，保障设备及时到场，满足 27.07 万㎡绿地作业需求。</w:t>
            </w:r>
          </w:p>
          <w:p w14:paraId="3A102300">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良（</w:t>
            </w:r>
            <w:r>
              <w:rPr>
                <w:rFonts w:hint="eastAsia" w:ascii="宋体" w:hAnsi="宋体" w:cs="宋体"/>
                <w:color w:val="auto"/>
                <w:kern w:val="0"/>
                <w:szCs w:val="21"/>
                <w:highlight w:val="none"/>
                <w:lang w:val="en-US" w:eastAsia="zh-CN"/>
              </w:rPr>
              <w:t>15</w:t>
            </w:r>
            <w:r>
              <w:rPr>
                <w:rFonts w:hint="eastAsia" w:ascii="宋体" w:hAnsi="宋体" w:eastAsia="宋体" w:cs="宋体"/>
                <w:color w:val="auto"/>
                <w:kern w:val="0"/>
                <w:szCs w:val="21"/>
                <w:highlight w:val="none"/>
                <w:lang w:val="en-US" w:eastAsia="zh-CN"/>
              </w:rPr>
              <w:t>分）：设备清单满足最低配置，工具耗材配置齐全；但租赁设备只做文字说明，无意向协议；耗材保障方案内容简单。</w:t>
            </w:r>
          </w:p>
          <w:p w14:paraId="746FBECB">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w:t>
            </w: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分）：核心主要设备满足要求，次要工具、安全防护用具存在缺项；耗材方案简单笼统，未结合本</w:t>
            </w:r>
            <w:bookmarkStart w:id="260" w:name="_GoBack"/>
            <w:bookmarkEnd w:id="260"/>
            <w:r>
              <w:rPr>
                <w:rFonts w:hint="eastAsia" w:ascii="宋体" w:hAnsi="宋体" w:eastAsia="宋体" w:cs="宋体"/>
                <w:color w:val="auto"/>
                <w:kern w:val="0"/>
                <w:szCs w:val="21"/>
                <w:highlight w:val="none"/>
                <w:lang w:val="en-US" w:eastAsia="zh-CN"/>
              </w:rPr>
              <w:t>项目病虫害、施肥实际需求。</w:t>
            </w:r>
          </w:p>
          <w:p w14:paraId="119F096A">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差（</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分）：缺少安全防护用具、耗材保障方案。</w:t>
            </w:r>
          </w:p>
        </w:tc>
      </w:tr>
      <w:tr w14:paraId="33D1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jc w:val="center"/>
        </w:trPr>
        <w:tc>
          <w:tcPr>
            <w:tcW w:w="917" w:type="dxa"/>
            <w:tcBorders>
              <w:top w:val="single" w:color="auto" w:sz="4" w:space="0"/>
              <w:left w:val="single" w:color="auto" w:sz="4" w:space="0"/>
              <w:right w:val="single" w:color="auto" w:sz="4" w:space="0"/>
            </w:tcBorders>
            <w:noWrap/>
            <w:vAlign w:val="center"/>
          </w:tcPr>
          <w:p w14:paraId="302BD80E">
            <w:pPr>
              <w:widowControl/>
              <w:snapToGrid w:val="0"/>
              <w:spacing w:line="36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2.4</w:t>
            </w:r>
          </w:p>
        </w:tc>
        <w:tc>
          <w:tcPr>
            <w:tcW w:w="1646" w:type="dxa"/>
            <w:tcBorders>
              <w:top w:val="single" w:color="auto" w:sz="4" w:space="0"/>
              <w:left w:val="single" w:color="auto" w:sz="4" w:space="0"/>
              <w:right w:val="single" w:color="auto" w:sz="4" w:space="0"/>
            </w:tcBorders>
            <w:noWrap/>
            <w:vAlign w:val="center"/>
          </w:tcPr>
          <w:p w14:paraId="4E256A44">
            <w:pPr>
              <w:widowControl/>
              <w:snapToGrid w:val="0"/>
              <w:spacing w:line="36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质量考核、安全及文明作业保障方案</w:t>
            </w:r>
          </w:p>
          <w:p w14:paraId="18B04572">
            <w:pPr>
              <w:widowControl/>
              <w:snapToGrid w:val="0"/>
              <w:spacing w:line="36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（满分</w:t>
            </w:r>
            <w:r>
              <w:rPr>
                <w:rFonts w:hint="eastAsia" w:ascii="宋体" w:hAnsi="宋体" w:cs="宋体"/>
                <w:color w:val="auto"/>
                <w:kern w:val="0"/>
                <w:szCs w:val="21"/>
                <w:highlight w:val="none"/>
                <w:lang w:val="en-US" w:eastAsia="zh-CN"/>
              </w:rPr>
              <w:t>20</w:t>
            </w:r>
            <w:r>
              <w:rPr>
                <w:rFonts w:hint="eastAsia" w:ascii="宋体" w:hAnsi="宋体" w:eastAsia="宋体" w:cs="宋体"/>
                <w:color w:val="auto"/>
                <w:kern w:val="0"/>
                <w:szCs w:val="21"/>
                <w:highlight w:val="none"/>
                <w:lang w:val="en-US" w:eastAsia="zh-CN"/>
              </w:rPr>
              <w:t>分）</w:t>
            </w:r>
          </w:p>
        </w:tc>
        <w:tc>
          <w:tcPr>
            <w:tcW w:w="6673" w:type="dxa"/>
            <w:tcBorders>
              <w:top w:val="single" w:color="auto" w:sz="4" w:space="0"/>
              <w:left w:val="single" w:color="auto" w:sz="4" w:space="0"/>
              <w:right w:val="single" w:color="auto" w:sz="4" w:space="0"/>
            </w:tcBorders>
            <w:noWrap/>
            <w:vAlign w:val="center"/>
          </w:tcPr>
          <w:p w14:paraId="44888A01">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优（20 分）：完全响应本项目考核细则，建立内部自查、整改闭环机制，针对月度扣分、人工出勤考核、投诉通报罚则制定内部管控措施；完整落实安全作业规范，包含机械作业、农药喷施、高大树木修剪安全措施；明确绿化垃圾当日清运处置方案，严禁露天焚烧；承诺购买公众责任险、工伤</w:t>
            </w:r>
            <w:r>
              <w:rPr>
                <w:rFonts w:hint="eastAsia" w:ascii="宋体" w:hAnsi="宋体" w:cs="宋体"/>
                <w:color w:val="auto"/>
                <w:kern w:val="0"/>
                <w:szCs w:val="21"/>
                <w:highlight w:val="none"/>
                <w:lang w:val="en-US" w:eastAsia="zh-CN"/>
              </w:rPr>
              <w:t>或</w:t>
            </w:r>
            <w:r>
              <w:rPr>
                <w:rFonts w:hint="eastAsia" w:ascii="宋体" w:hAnsi="宋体" w:eastAsia="宋体" w:cs="宋体"/>
                <w:color w:val="auto"/>
                <w:kern w:val="0"/>
                <w:szCs w:val="21"/>
                <w:highlight w:val="none"/>
                <w:lang w:val="en-US" w:eastAsia="zh-CN"/>
              </w:rPr>
              <w:t>雇主责任险；承诺接到险情半小时到场处置，安全应急预案完整，责任划分清晰。</w:t>
            </w:r>
          </w:p>
          <w:p w14:paraId="556346CB">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良（15 分）：包含质量管控、安全生产、垃圾处置、应急处置主要内容；响应考核及安全要求，但内部管控措施、应急预案细节不够详实。</w:t>
            </w:r>
          </w:p>
          <w:p w14:paraId="228E30F5">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中（10 分）：质量、安全方案基本框架具备，但缺少针对本项目考核罚则的对应管控措施；应急预案简单，垃圾处置、保险内容描述简略。</w:t>
            </w:r>
          </w:p>
          <w:p w14:paraId="745AC9C8">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差（5 分）质量考核、安全生产、应急处置内容大量缺项；未响应垃圾清运、保险、险情到场等关键要求。</w:t>
            </w:r>
          </w:p>
        </w:tc>
      </w:tr>
      <w:tr w14:paraId="7BDF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236" w:type="dxa"/>
            <w:gridSpan w:val="3"/>
            <w:tcBorders>
              <w:top w:val="single" w:color="auto" w:sz="4" w:space="0"/>
              <w:left w:val="single" w:color="auto" w:sz="4" w:space="0"/>
              <w:right w:val="single" w:color="auto" w:sz="4" w:space="0"/>
            </w:tcBorders>
            <w:noWrap/>
            <w:vAlign w:val="center"/>
          </w:tcPr>
          <w:p w14:paraId="315E5153">
            <w:pPr>
              <w:keepNext w:val="0"/>
              <w:keepLines w:val="0"/>
              <w:pageBreakBefore w:val="0"/>
              <w:kinsoku/>
              <w:wordWrap/>
              <w:overflowPunct/>
              <w:topLinePunct w:val="0"/>
              <w:autoSpaceDE/>
              <w:autoSpaceDN/>
              <w:bidi w:val="0"/>
              <w:snapToGrid/>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3.商务分（满分</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tc>
      </w:tr>
      <w:tr w14:paraId="23DA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17" w:type="dxa"/>
            <w:tcBorders>
              <w:top w:val="single" w:color="auto" w:sz="4" w:space="0"/>
              <w:left w:val="single" w:color="auto" w:sz="4" w:space="0"/>
              <w:right w:val="single" w:color="auto" w:sz="4" w:space="0"/>
            </w:tcBorders>
            <w:noWrap/>
            <w:vAlign w:val="center"/>
          </w:tcPr>
          <w:p w14:paraId="213267A2">
            <w:pPr>
              <w:keepNext w:val="0"/>
              <w:keepLines w:val="0"/>
              <w:pageBreakBefore w:val="0"/>
              <w:tabs>
                <w:tab w:val="left" w:pos="8460"/>
              </w:tabs>
              <w:kinsoku/>
              <w:wordWrap/>
              <w:overflowPunct/>
              <w:topLinePunct w:val="0"/>
              <w:autoSpaceDE/>
              <w:autoSpaceDN/>
              <w:bidi w:val="0"/>
              <w:adjustRightInd w:val="0"/>
              <w:snapToGrid/>
              <w:spacing w:line="44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1646" w:type="dxa"/>
            <w:tcBorders>
              <w:top w:val="single" w:color="auto" w:sz="4" w:space="0"/>
              <w:left w:val="single" w:color="auto" w:sz="4" w:space="0"/>
              <w:right w:val="single" w:color="auto" w:sz="4" w:space="0"/>
            </w:tcBorders>
            <w:noWrap/>
            <w:vAlign w:val="center"/>
          </w:tcPr>
          <w:p w14:paraId="48161572">
            <w:pPr>
              <w:widowControl/>
              <w:spacing w:line="36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业绩（</w:t>
            </w:r>
            <w:r>
              <w:rPr>
                <w:rFonts w:hint="eastAsia" w:ascii="宋体" w:hAnsi="宋体" w:cs="宋体"/>
                <w:color w:val="auto"/>
                <w:kern w:val="0"/>
                <w:szCs w:val="21"/>
                <w:highlight w:val="none"/>
                <w:lang w:val="en-US" w:eastAsia="zh-CN"/>
              </w:rPr>
              <w:t>15</w:t>
            </w:r>
            <w:r>
              <w:rPr>
                <w:rFonts w:hint="eastAsia" w:ascii="宋体" w:hAnsi="宋体" w:eastAsia="宋体" w:cs="宋体"/>
                <w:color w:val="auto"/>
                <w:kern w:val="0"/>
                <w:szCs w:val="21"/>
                <w:highlight w:val="none"/>
                <w:lang w:val="en-US" w:eastAsia="zh-CN"/>
              </w:rPr>
              <w:t>分）</w:t>
            </w:r>
          </w:p>
        </w:tc>
        <w:tc>
          <w:tcPr>
            <w:tcW w:w="6673" w:type="dxa"/>
            <w:tcBorders>
              <w:top w:val="single" w:color="auto" w:sz="4" w:space="0"/>
              <w:left w:val="single" w:color="auto" w:sz="4" w:space="0"/>
              <w:right w:val="single" w:color="auto" w:sz="4" w:space="0"/>
            </w:tcBorders>
            <w:noWrap/>
            <w:vAlign w:val="top"/>
          </w:tcPr>
          <w:p w14:paraId="2AEFA81B">
            <w:pPr>
              <w:keepNext w:val="0"/>
              <w:keepLines w:val="0"/>
              <w:pageBreakBefore w:val="0"/>
              <w:kinsoku/>
              <w:wordWrap/>
              <w:overflowPunct/>
              <w:topLinePunct w:val="0"/>
              <w:bidi w:val="0"/>
              <w:snapToGrid/>
              <w:spacing w:line="440" w:lineRule="exact"/>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2023 年 1 月 1 日以来至投标文件递交截止日期止，投标人承接过</w:t>
            </w:r>
            <w:r>
              <w:rPr>
                <w:rFonts w:hint="eastAsia" w:ascii="宋体" w:hAnsi="宋体" w:cs="宋体"/>
                <w:color w:val="auto"/>
                <w:kern w:val="0"/>
                <w:szCs w:val="21"/>
                <w:highlight w:val="none"/>
                <w:lang w:val="en-US" w:eastAsia="zh-CN"/>
              </w:rPr>
              <w:t>绿地绿化养护或绿化工程</w:t>
            </w:r>
            <w:r>
              <w:rPr>
                <w:rFonts w:hint="eastAsia" w:ascii="宋体" w:hAnsi="宋体" w:eastAsia="宋体" w:cs="宋体"/>
                <w:color w:val="auto"/>
                <w:kern w:val="0"/>
                <w:szCs w:val="21"/>
                <w:highlight w:val="none"/>
                <w:lang w:val="en-US" w:eastAsia="zh-CN"/>
              </w:rPr>
              <w:t>相关项目业绩，每项得 5 分，满分</w:t>
            </w:r>
            <w:r>
              <w:rPr>
                <w:rFonts w:hint="eastAsia" w:ascii="宋体" w:hAnsi="宋体" w:cs="宋体"/>
                <w:color w:val="auto"/>
                <w:kern w:val="0"/>
                <w:szCs w:val="21"/>
                <w:highlight w:val="none"/>
                <w:lang w:val="en-US" w:eastAsia="zh-CN"/>
              </w:rPr>
              <w:t>15</w:t>
            </w:r>
            <w:r>
              <w:rPr>
                <w:rFonts w:hint="eastAsia" w:ascii="宋体" w:hAnsi="宋体" w:eastAsia="宋体" w:cs="宋体"/>
                <w:color w:val="auto"/>
                <w:kern w:val="0"/>
                <w:szCs w:val="21"/>
                <w:highlight w:val="none"/>
                <w:lang w:val="en-US" w:eastAsia="zh-CN"/>
              </w:rPr>
              <w:t>分。[以合同或者中标（成交）通知书复印件为准]。</w:t>
            </w:r>
          </w:p>
        </w:tc>
      </w:tr>
      <w:tr w14:paraId="363F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jc w:val="center"/>
        </w:trPr>
        <w:tc>
          <w:tcPr>
            <w:tcW w:w="9236" w:type="dxa"/>
            <w:gridSpan w:val="3"/>
            <w:tcBorders>
              <w:top w:val="single" w:color="auto" w:sz="4" w:space="0"/>
              <w:left w:val="single" w:color="auto" w:sz="4" w:space="0"/>
              <w:bottom w:val="single" w:color="auto" w:sz="4" w:space="0"/>
              <w:right w:val="single" w:color="auto" w:sz="4" w:space="0"/>
            </w:tcBorders>
            <w:noWrap/>
            <w:vAlign w:val="center"/>
          </w:tcPr>
          <w:p w14:paraId="122814CF">
            <w:pPr>
              <w:keepNext w:val="0"/>
              <w:keepLines w:val="0"/>
              <w:pageBreakBefore w:val="0"/>
              <w:tabs>
                <w:tab w:val="left" w:pos="8460"/>
              </w:tabs>
              <w:kinsoku/>
              <w:wordWrap/>
              <w:overflowPunct/>
              <w:topLinePunct w:val="0"/>
              <w:autoSpaceDE/>
              <w:autoSpaceDN/>
              <w:bidi w:val="0"/>
              <w:snapToGrid/>
              <w:spacing w:line="440" w:lineRule="exact"/>
              <w:ind w:right="24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总得分=1+2+3。</w:t>
            </w:r>
          </w:p>
          <w:p w14:paraId="0FA241E3">
            <w:pPr>
              <w:keepNext w:val="0"/>
              <w:keepLines w:val="0"/>
              <w:pageBreakBefore w:val="0"/>
              <w:tabs>
                <w:tab w:val="left" w:pos="8460"/>
              </w:tabs>
              <w:kinsoku/>
              <w:wordWrap/>
              <w:overflowPunct/>
              <w:topLinePunct w:val="0"/>
              <w:autoSpaceDE/>
              <w:autoSpaceDN/>
              <w:bidi w:val="0"/>
              <w:snapToGrid/>
              <w:spacing w:line="440" w:lineRule="exact"/>
              <w:ind w:right="24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备注：</w:t>
            </w:r>
            <w:r>
              <w:rPr>
                <w:rFonts w:hint="eastAsia" w:ascii="宋体" w:hAnsi="宋体" w:eastAsia="宋体" w:cs="宋体"/>
                <w:b/>
                <w:bCs/>
                <w:color w:val="auto"/>
                <w:sz w:val="21"/>
                <w:highlight w:val="none"/>
              </w:rPr>
              <w:t>本项目为服务类项目，不涉及节能环保政策考核。</w:t>
            </w:r>
          </w:p>
        </w:tc>
      </w:tr>
    </w:tbl>
    <w:p w14:paraId="15D5FC45">
      <w:pPr>
        <w:pStyle w:val="24"/>
        <w:spacing w:line="360" w:lineRule="auto"/>
        <w:ind w:firstLine="0" w:firstLineChars="0"/>
        <w:rPr>
          <w:rFonts w:hint="eastAsia" w:hAnsi="宋体" w:cs="宋体"/>
          <w:color w:val="auto"/>
          <w:sz w:val="21"/>
          <w:highlight w:val="none"/>
        </w:rPr>
      </w:pPr>
      <w:r>
        <w:rPr>
          <w:rFonts w:hint="eastAsia" w:hAnsi="宋体" w:cs="宋体"/>
          <w:bCs/>
          <w:color w:val="auto"/>
          <w:highlight w:val="none"/>
        </w:rPr>
        <w:br w:type="page"/>
      </w:r>
      <w:r>
        <w:rPr>
          <w:rFonts w:hint="eastAsia" w:hAnsi="宋体" w:cs="宋体"/>
          <w:b/>
          <w:bCs/>
          <w:color w:val="auto"/>
          <w:sz w:val="32"/>
          <w:szCs w:val="32"/>
          <w:highlight w:val="none"/>
        </w:rPr>
        <w:t>四、</w:t>
      </w:r>
      <w:bookmarkStart w:id="197" w:name="中标候选人推荐原则"/>
      <w:r>
        <w:rPr>
          <w:rFonts w:hint="eastAsia" w:hAnsi="宋体" w:cs="宋体"/>
          <w:b/>
          <w:bCs/>
          <w:color w:val="auto"/>
          <w:sz w:val="32"/>
          <w:szCs w:val="32"/>
          <w:highlight w:val="none"/>
        </w:rPr>
        <w:t>中标候选人推荐原则</w:t>
      </w:r>
    </w:p>
    <w:bookmarkEnd w:id="197"/>
    <w:p w14:paraId="0E1954D1">
      <w:pPr>
        <w:adjustRightInd w:val="0"/>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（1）评标委员会将根据得分由高到低排列次序【</w:t>
      </w:r>
      <w:r>
        <w:rPr>
          <w:rFonts w:hint="eastAsia" w:ascii="宋体" w:hAnsi="宋体" w:cs="宋体"/>
          <w:b/>
          <w:color w:val="auto"/>
          <w:szCs w:val="21"/>
          <w:highlight w:val="none"/>
        </w:rPr>
        <w:t>得分相同时，以投标报价由低到高顺序排列。得分且投标报价相同的并列。投标文件满足招标文件全部实质性要求，且按照评审因素的量化指标评审（评审因素的量化指标：技术分得分高的顺序）得分最高的投标人为排名第一的中标候选人</w:t>
      </w:r>
      <w:r>
        <w:rPr>
          <w:rFonts w:hint="eastAsia" w:ascii="宋体" w:hAnsi="宋体" w:cs="宋体"/>
          <w:color w:val="auto"/>
          <w:szCs w:val="21"/>
          <w:highlight w:val="none"/>
        </w:rPr>
        <w:t>】并推荐中标候选人3名，得分最高的中标候选人为中标人。采购人应当确定评审委员会推荐排名第一的中标候选人为中标人。</w:t>
      </w:r>
    </w:p>
    <w:p w14:paraId="270BD0CE">
      <w:pPr>
        <w:adjustRightInd w:val="0"/>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排名第一的中标候选人放弃中标、因不可抗力提出不能履行合同，或者招标文件规定应当提交履约保证金而在规定的期限内未能提交的，采购人可以确定排名第二的中标候选人为供应商。排名第二的中标候选人因前款规定的同样原因不能签订合同的，采购人可以确定排名第三的中标候选人为供应商，其余以此类推。</w:t>
      </w:r>
    </w:p>
    <w:p w14:paraId="6F9275D1">
      <w:pPr>
        <w:autoSpaceDE w:val="0"/>
        <w:autoSpaceDN w:val="0"/>
        <w:adjustRightInd w:val="0"/>
        <w:snapToGrid w:val="0"/>
        <w:spacing w:line="500" w:lineRule="exact"/>
        <w:ind w:firstLine="315" w:firstLineChars="150"/>
        <w:jc w:val="left"/>
        <w:rPr>
          <w:rFonts w:hint="eastAsia" w:ascii="宋体" w:hAnsi="宋体" w:cs="宋体"/>
          <w:bCs/>
          <w:color w:val="auto"/>
          <w:szCs w:val="21"/>
          <w:highlight w:val="none"/>
        </w:rPr>
      </w:pPr>
      <w:r>
        <w:rPr>
          <w:rFonts w:hint="eastAsia" w:ascii="宋体" w:hAnsi="宋体" w:cs="宋体"/>
          <w:bCs/>
          <w:color w:val="auto"/>
          <w:szCs w:val="21"/>
          <w:highlight w:val="none"/>
        </w:rPr>
        <w:t>（2）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w:t>
      </w:r>
      <w:r>
        <w:rPr>
          <w:rFonts w:hint="eastAsia" w:ascii="宋体" w:hAnsi="宋体" w:cs="宋体"/>
          <w:bCs/>
          <w:color w:val="auto"/>
          <w:szCs w:val="21"/>
          <w:highlight w:val="none"/>
          <w:lang w:eastAsia="zh-CN"/>
        </w:rPr>
        <w:t>做为</w:t>
      </w:r>
      <w:r>
        <w:rPr>
          <w:rFonts w:hint="eastAsia" w:ascii="宋体" w:hAnsi="宋体" w:cs="宋体"/>
          <w:bCs/>
          <w:color w:val="auto"/>
          <w:szCs w:val="21"/>
          <w:highlight w:val="none"/>
        </w:rPr>
        <w:t>无效投标处理。</w:t>
      </w:r>
    </w:p>
    <w:p w14:paraId="6C1E9E93">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highlight w:val="none"/>
        </w:rPr>
        <w:br w:type="page"/>
      </w:r>
      <w:bookmarkStart w:id="198" w:name="_Toc26388"/>
      <w:bookmarkStart w:id="199" w:name="_Toc10044"/>
      <w:bookmarkStart w:id="200" w:name="_Toc30923"/>
      <w:bookmarkStart w:id="201" w:name="_Toc22771"/>
      <w:bookmarkStart w:id="202" w:name="_Toc12283"/>
      <w:bookmarkStart w:id="203" w:name="_Toc13051"/>
      <w:bookmarkStart w:id="204" w:name="_Toc15247"/>
      <w:bookmarkStart w:id="205" w:name="_Toc24368"/>
      <w:r>
        <w:rPr>
          <w:rFonts w:hint="eastAsia" w:ascii="宋体" w:hAnsi="宋体" w:cs="宋体"/>
          <w:color w:val="auto"/>
          <w:highlight w:val="none"/>
        </w:rPr>
        <w:t>第五章  拟签订的合同文本</w:t>
      </w:r>
      <w:bookmarkEnd w:id="198"/>
    </w:p>
    <w:p w14:paraId="4B4C8608">
      <w:pPr>
        <w:spacing w:line="360" w:lineRule="auto"/>
        <w:jc w:val="center"/>
        <w:rPr>
          <w:rFonts w:hint="eastAsia" w:ascii="宋体" w:hAnsi="宋体" w:cs="宋体"/>
          <w:color w:val="auto"/>
          <w:highlight w:val="none"/>
        </w:rPr>
      </w:pPr>
    </w:p>
    <w:p w14:paraId="55D8FB9B">
      <w:pPr>
        <w:tabs>
          <w:tab w:val="left" w:pos="425"/>
        </w:tabs>
        <w:ind w:firstLine="0" w:firstLineChars="0"/>
        <w:jc w:val="center"/>
        <w:outlineLvl w:val="9"/>
        <w:rPr>
          <w:rFonts w:ascii="宋体" w:hAnsi="宋体" w:cs="宋体"/>
          <w:color w:val="auto"/>
          <w:sz w:val="84"/>
          <w:szCs w:val="84"/>
          <w:highlight w:val="none"/>
        </w:rPr>
      </w:pPr>
      <w:r>
        <w:rPr>
          <w:rFonts w:hint="eastAsia" w:ascii="宋体" w:hAnsi="宋体" w:cs="宋体"/>
          <w:color w:val="auto"/>
          <w:sz w:val="84"/>
          <w:szCs w:val="84"/>
          <w:highlight w:val="none"/>
        </w:rPr>
        <w:t>政 府 采 购 合 同</w:t>
      </w:r>
    </w:p>
    <w:p w14:paraId="3079BFF8">
      <w:pPr>
        <w:spacing w:line="400" w:lineRule="exact"/>
        <w:jc w:val="center"/>
        <w:outlineLvl w:val="9"/>
        <w:rPr>
          <w:rFonts w:ascii="宋体" w:hAnsi="宋体" w:cs="宋体"/>
          <w:color w:val="auto"/>
          <w:highlight w:val="none"/>
        </w:rPr>
      </w:pPr>
    </w:p>
    <w:p w14:paraId="071D7C1D">
      <w:pPr>
        <w:spacing w:line="400" w:lineRule="exact"/>
        <w:jc w:val="center"/>
        <w:outlineLvl w:val="9"/>
        <w:rPr>
          <w:rFonts w:ascii="宋体" w:hAnsi="宋体" w:cs="宋体"/>
          <w:color w:val="auto"/>
          <w:highlight w:val="none"/>
        </w:rPr>
      </w:pPr>
    </w:p>
    <w:p w14:paraId="21BD4D71">
      <w:pPr>
        <w:pStyle w:val="178"/>
        <w:outlineLvl w:val="9"/>
        <w:rPr>
          <w:rFonts w:cs="宋体"/>
          <w:color w:val="auto"/>
          <w:highlight w:val="none"/>
        </w:rPr>
      </w:pPr>
    </w:p>
    <w:p w14:paraId="51D1B9D0">
      <w:pPr>
        <w:outlineLvl w:val="9"/>
        <w:rPr>
          <w:rFonts w:ascii="宋体" w:hAnsi="宋体" w:cs="宋体"/>
          <w:color w:val="auto"/>
          <w:highlight w:val="none"/>
        </w:rPr>
      </w:pPr>
    </w:p>
    <w:p w14:paraId="35AA1884">
      <w:pPr>
        <w:spacing w:line="400" w:lineRule="exact"/>
        <w:jc w:val="center"/>
        <w:outlineLvl w:val="9"/>
        <w:rPr>
          <w:rFonts w:ascii="宋体" w:hAnsi="宋体" w:cs="宋体"/>
          <w:color w:val="auto"/>
          <w:sz w:val="72"/>
          <w:szCs w:val="72"/>
          <w:highlight w:val="none"/>
        </w:rPr>
      </w:pPr>
    </w:p>
    <w:p w14:paraId="49F96292">
      <w:pPr>
        <w:pStyle w:val="178"/>
        <w:outlineLvl w:val="9"/>
        <w:rPr>
          <w:color w:val="auto"/>
          <w:highlight w:val="none"/>
        </w:rPr>
      </w:pPr>
    </w:p>
    <w:p w14:paraId="77EEC96C">
      <w:pPr>
        <w:spacing w:line="500" w:lineRule="exact"/>
        <w:outlineLvl w:val="9"/>
        <w:rPr>
          <w:rFonts w:ascii="宋体" w:hAnsi="宋体" w:cs="宋体"/>
          <w:b/>
          <w:bCs/>
          <w:color w:val="auto"/>
          <w:sz w:val="40"/>
          <w:szCs w:val="40"/>
          <w:highlight w:val="none"/>
        </w:rPr>
      </w:pPr>
    </w:p>
    <w:p w14:paraId="5AC8553F">
      <w:pPr>
        <w:spacing w:line="500" w:lineRule="exact"/>
        <w:outlineLvl w:val="9"/>
        <w:rPr>
          <w:rFonts w:ascii="宋体" w:hAnsi="宋体" w:cs="宋体"/>
          <w:b/>
          <w:bCs/>
          <w:color w:val="auto"/>
          <w:sz w:val="36"/>
          <w:szCs w:val="36"/>
          <w:highlight w:val="none"/>
        </w:rPr>
      </w:pPr>
    </w:p>
    <w:p w14:paraId="0596A356">
      <w:pPr>
        <w:spacing w:line="500" w:lineRule="exact"/>
        <w:ind w:left="1807" w:hanging="1807" w:hangingChars="500"/>
        <w:outlineLvl w:val="9"/>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rPr>
        <w:t>项目名称：</w:t>
      </w:r>
      <w:r>
        <w:rPr>
          <w:rFonts w:hint="eastAsia" w:ascii="宋体" w:hAnsi="宋体" w:eastAsia="宋体" w:cs="宋体"/>
          <w:b/>
          <w:bCs/>
          <w:color w:val="auto"/>
          <w:sz w:val="36"/>
          <w:szCs w:val="36"/>
          <w:highlight w:val="none"/>
          <w:lang w:val="en-US" w:eastAsia="zh-CN"/>
        </w:rPr>
        <w:t xml:space="preserve"> </w:t>
      </w:r>
      <w:r>
        <w:rPr>
          <w:rFonts w:hint="eastAsia" w:ascii="宋体" w:hAnsi="宋体" w:cs="宋体"/>
          <w:b/>
          <w:bCs/>
          <w:color w:val="auto"/>
          <w:sz w:val="36"/>
          <w:szCs w:val="36"/>
          <w:highlight w:val="none"/>
          <w:lang w:eastAsia="zh-CN"/>
        </w:rPr>
        <w:t>蒙山县2026年公共绿地绿化日常养护服务项目</w:t>
      </w:r>
    </w:p>
    <w:p w14:paraId="687BE658">
      <w:pPr>
        <w:spacing w:line="500" w:lineRule="exact"/>
        <w:outlineLvl w:val="9"/>
        <w:rPr>
          <w:rFonts w:ascii="宋体" w:hAnsi="宋体" w:cs="宋体"/>
          <w:b/>
          <w:bCs/>
          <w:color w:val="auto"/>
          <w:sz w:val="36"/>
          <w:szCs w:val="36"/>
          <w:highlight w:val="none"/>
        </w:rPr>
      </w:pPr>
    </w:p>
    <w:p w14:paraId="65599161">
      <w:pPr>
        <w:spacing w:line="500" w:lineRule="exact"/>
        <w:jc w:val="left"/>
        <w:outlineLvl w:val="9"/>
        <w:rPr>
          <w:rFonts w:hint="eastAsia" w:ascii="宋体" w:hAnsi="宋体" w:eastAsia="宋体" w:cs="宋体"/>
          <w:b/>
          <w:bCs/>
          <w:color w:val="auto"/>
          <w:kern w:val="44"/>
          <w:sz w:val="32"/>
          <w:szCs w:val="32"/>
          <w:highlight w:val="none"/>
          <w:lang w:eastAsia="zh-CN"/>
        </w:rPr>
      </w:pPr>
      <w:r>
        <w:rPr>
          <w:rFonts w:hint="eastAsia" w:ascii="宋体" w:hAnsi="宋体" w:cs="宋体"/>
          <w:b/>
          <w:bCs/>
          <w:color w:val="auto"/>
          <w:sz w:val="36"/>
          <w:szCs w:val="36"/>
          <w:highlight w:val="none"/>
        </w:rPr>
        <w:t>项目编号：</w:t>
      </w:r>
      <w:r>
        <w:rPr>
          <w:rFonts w:hint="eastAsia" w:ascii="宋体" w:hAnsi="宋体" w:cs="宋体"/>
          <w:b/>
          <w:bCs/>
          <w:color w:val="auto"/>
          <w:sz w:val="36"/>
          <w:szCs w:val="36"/>
          <w:highlight w:val="none"/>
          <w:lang w:val="en-US" w:eastAsia="zh-CN"/>
        </w:rPr>
        <w:t xml:space="preserve"> </w:t>
      </w:r>
    </w:p>
    <w:p w14:paraId="61088F85">
      <w:pPr>
        <w:pStyle w:val="178"/>
        <w:jc w:val="left"/>
        <w:outlineLvl w:val="9"/>
        <w:rPr>
          <w:rFonts w:cs="宋体"/>
          <w:b/>
          <w:bCs/>
          <w:color w:val="auto"/>
          <w:kern w:val="44"/>
          <w:sz w:val="32"/>
          <w:szCs w:val="32"/>
          <w:highlight w:val="none"/>
        </w:rPr>
      </w:pPr>
    </w:p>
    <w:p w14:paraId="3190F7B3">
      <w:pPr>
        <w:jc w:val="left"/>
        <w:outlineLvl w:val="9"/>
        <w:rPr>
          <w:rFonts w:ascii="宋体" w:hAnsi="宋体" w:cs="宋体"/>
          <w:b/>
          <w:bCs/>
          <w:color w:val="auto"/>
          <w:kern w:val="44"/>
          <w:sz w:val="32"/>
          <w:szCs w:val="32"/>
          <w:highlight w:val="none"/>
        </w:rPr>
      </w:pPr>
    </w:p>
    <w:p w14:paraId="29E94DA8">
      <w:pPr>
        <w:pStyle w:val="178"/>
        <w:outlineLvl w:val="9"/>
        <w:rPr>
          <w:rFonts w:cs="宋体"/>
          <w:b/>
          <w:bCs/>
          <w:color w:val="auto"/>
          <w:kern w:val="44"/>
          <w:sz w:val="32"/>
          <w:szCs w:val="32"/>
          <w:highlight w:val="none"/>
        </w:rPr>
      </w:pPr>
    </w:p>
    <w:p w14:paraId="1DD7D437">
      <w:pPr>
        <w:pStyle w:val="178"/>
        <w:ind w:firstLine="0"/>
        <w:outlineLvl w:val="9"/>
        <w:rPr>
          <w:color w:val="auto"/>
          <w:highlight w:val="none"/>
        </w:rPr>
      </w:pPr>
    </w:p>
    <w:p w14:paraId="4CDA13E1">
      <w:pPr>
        <w:jc w:val="left"/>
        <w:outlineLvl w:val="9"/>
        <w:rPr>
          <w:rFonts w:ascii="宋体" w:hAnsi="宋体" w:cs="宋体"/>
          <w:b/>
          <w:bCs/>
          <w:color w:val="auto"/>
          <w:kern w:val="44"/>
          <w:sz w:val="32"/>
          <w:szCs w:val="32"/>
          <w:highlight w:val="none"/>
        </w:rPr>
      </w:pPr>
    </w:p>
    <w:p w14:paraId="32C11EF0">
      <w:pPr>
        <w:pStyle w:val="178"/>
        <w:ind w:firstLine="0"/>
        <w:jc w:val="left"/>
        <w:outlineLvl w:val="9"/>
        <w:rPr>
          <w:rFonts w:cs="宋体"/>
          <w:b/>
          <w:bCs/>
          <w:color w:val="auto"/>
          <w:kern w:val="2"/>
          <w:sz w:val="32"/>
          <w:szCs w:val="32"/>
          <w:highlight w:val="none"/>
        </w:rPr>
      </w:pPr>
    </w:p>
    <w:p w14:paraId="0B9763E3">
      <w:pPr>
        <w:pStyle w:val="177"/>
        <w:outlineLvl w:val="9"/>
        <w:rPr>
          <w:color w:val="auto"/>
          <w:highlight w:val="none"/>
        </w:rPr>
      </w:pPr>
    </w:p>
    <w:p w14:paraId="0CAA4521">
      <w:pPr>
        <w:pStyle w:val="178"/>
        <w:ind w:firstLine="0"/>
        <w:outlineLvl w:val="9"/>
        <w:rPr>
          <w:rFonts w:hint="eastAsia" w:eastAsia="宋体" w:cs="宋体"/>
          <w:b/>
          <w:bCs/>
          <w:color w:val="auto"/>
          <w:kern w:val="2"/>
          <w:sz w:val="36"/>
          <w:szCs w:val="36"/>
          <w:highlight w:val="none"/>
          <w:lang w:eastAsia="zh-CN"/>
        </w:rPr>
      </w:pPr>
      <w:r>
        <w:rPr>
          <w:rFonts w:hint="eastAsia" w:cs="宋体"/>
          <w:b/>
          <w:bCs/>
          <w:color w:val="auto"/>
          <w:kern w:val="2"/>
          <w:sz w:val="36"/>
          <w:szCs w:val="36"/>
          <w:highlight w:val="none"/>
        </w:rPr>
        <w:t>采购单位：</w:t>
      </w:r>
      <w:r>
        <w:rPr>
          <w:rFonts w:hint="eastAsia" w:cs="宋体"/>
          <w:b/>
          <w:bCs/>
          <w:color w:val="auto"/>
          <w:kern w:val="2"/>
          <w:sz w:val="36"/>
          <w:szCs w:val="36"/>
          <w:highlight w:val="none"/>
          <w:lang w:val="en-US" w:eastAsia="zh-CN"/>
        </w:rPr>
        <w:t xml:space="preserve"> </w:t>
      </w:r>
    </w:p>
    <w:p w14:paraId="186F9E71">
      <w:pPr>
        <w:pStyle w:val="178"/>
        <w:ind w:left="2168" w:hanging="2168" w:hangingChars="600"/>
        <w:outlineLvl w:val="9"/>
        <w:rPr>
          <w:rFonts w:cs="宋体"/>
          <w:b/>
          <w:bCs/>
          <w:color w:val="auto"/>
          <w:kern w:val="2"/>
          <w:sz w:val="40"/>
          <w:szCs w:val="40"/>
          <w:highlight w:val="none"/>
        </w:rPr>
        <w:sectPr>
          <w:pgSz w:w="11906" w:h="16838"/>
          <w:pgMar w:top="1440" w:right="1066" w:bottom="1440" w:left="1800" w:header="851" w:footer="992" w:gutter="0"/>
          <w:pgNumType w:fmt="decimal"/>
          <w:cols w:space="720" w:num="1"/>
          <w:docGrid w:type="lines" w:linePitch="312" w:charSpace="0"/>
        </w:sectPr>
      </w:pPr>
      <w:r>
        <w:rPr>
          <w:rFonts w:hint="eastAsia" w:cs="宋体"/>
          <w:b/>
          <w:bCs/>
          <w:color w:val="auto"/>
          <w:kern w:val="2"/>
          <w:sz w:val="36"/>
          <w:szCs w:val="36"/>
          <w:highlight w:val="none"/>
        </w:rPr>
        <w:t>成交供应商：</w:t>
      </w:r>
    </w:p>
    <w:p w14:paraId="7B600AE7">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28"/>
        <w:textAlignment w:val="baseline"/>
        <w:outlineLvl w:val="9"/>
        <w:rPr>
          <w:rFonts w:hint="eastAsia" w:asciiTheme="minorEastAsia" w:hAnsiTheme="minorEastAsia" w:eastAsiaTheme="minorEastAsia" w:cstheme="minorEastAsia"/>
          <w:color w:val="auto"/>
          <w:spacing w:val="6"/>
          <w:sz w:val="24"/>
          <w:szCs w:val="24"/>
          <w:lang w:val="en-US" w:eastAsia="zh-CN"/>
        </w:rPr>
      </w:pPr>
      <w:r>
        <w:rPr>
          <w:rFonts w:hint="eastAsia" w:asciiTheme="minorEastAsia" w:hAnsiTheme="minorEastAsia" w:eastAsiaTheme="minorEastAsia" w:cstheme="minorEastAsia"/>
          <w:color w:val="auto"/>
          <w:spacing w:val="6"/>
          <w:sz w:val="24"/>
          <w:szCs w:val="24"/>
        </w:rPr>
        <w:t>项目名称：</w:t>
      </w:r>
      <w:r>
        <w:rPr>
          <w:rFonts w:hint="eastAsia" w:asciiTheme="minorEastAsia" w:hAnsiTheme="minorEastAsia" w:eastAsiaTheme="minorEastAsia" w:cstheme="minorEastAsia"/>
          <w:color w:val="auto"/>
          <w:spacing w:val="6"/>
          <w:sz w:val="24"/>
          <w:szCs w:val="24"/>
          <w:lang w:val="en-US" w:eastAsia="zh-CN"/>
        </w:rPr>
        <w:t xml:space="preserve"> </w:t>
      </w:r>
    </w:p>
    <w:p w14:paraId="7978A020">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28"/>
        <w:textAlignment w:val="baseline"/>
        <w:outlineLvl w:val="9"/>
        <w:rPr>
          <w:rFonts w:hint="eastAsia" w:asciiTheme="minorEastAsia" w:hAnsiTheme="minorEastAsia" w:eastAsiaTheme="minorEastAsia" w:cstheme="minorEastAsia"/>
          <w:color w:val="auto"/>
          <w:spacing w:val="6"/>
          <w:sz w:val="24"/>
          <w:szCs w:val="24"/>
          <w:lang w:eastAsia="zh-CN"/>
        </w:rPr>
      </w:pPr>
      <w:r>
        <w:rPr>
          <w:rFonts w:hint="eastAsia" w:asciiTheme="minorEastAsia" w:hAnsiTheme="minorEastAsia" w:eastAsiaTheme="minorEastAsia" w:cstheme="minorEastAsia"/>
          <w:color w:val="auto"/>
          <w:spacing w:val="6"/>
          <w:sz w:val="24"/>
          <w:szCs w:val="24"/>
        </w:rPr>
        <w:t>项目编号：</w:t>
      </w:r>
      <w:r>
        <w:rPr>
          <w:rFonts w:hint="eastAsia" w:asciiTheme="minorEastAsia" w:hAnsiTheme="minorEastAsia" w:eastAsiaTheme="minorEastAsia" w:cstheme="minorEastAsia"/>
          <w:color w:val="auto"/>
          <w:spacing w:val="6"/>
          <w:sz w:val="24"/>
          <w:szCs w:val="24"/>
          <w:lang w:val="en-US" w:eastAsia="zh-CN"/>
        </w:rPr>
        <w:t xml:space="preserve"> </w:t>
      </w:r>
    </w:p>
    <w:p w14:paraId="7FADEF7D">
      <w:pPr>
        <w:pStyle w:val="2"/>
        <w:spacing w:before="34" w:line="360" w:lineRule="auto"/>
        <w:ind w:left="26"/>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甲方</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u w:val="single"/>
          <w:lang w:val="en-US" w:eastAsia="zh-CN"/>
        </w:rPr>
        <w:t xml:space="preserve">                       </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6"/>
          <w:sz w:val="24"/>
          <w:szCs w:val="24"/>
        </w:rPr>
        <w:t>采购人）</w:t>
      </w:r>
    </w:p>
    <w:p w14:paraId="2C6FD54C">
      <w:pPr>
        <w:pStyle w:val="2"/>
        <w:spacing w:before="154" w:line="360" w:lineRule="auto"/>
        <w:ind w:left="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乙方</w:t>
      </w:r>
      <w:r>
        <w:rPr>
          <w:rFonts w:hint="eastAsia" w:asciiTheme="minorEastAsia" w:hAnsiTheme="minorEastAsia" w:eastAsiaTheme="minorEastAsia" w:cstheme="minorEastAsia"/>
          <w:color w:val="auto"/>
          <w:spacing w:val="-3"/>
          <w:sz w:val="24"/>
          <w:szCs w:val="24"/>
        </w:rPr>
        <w:t>：</w:t>
      </w:r>
      <w:r>
        <w:rPr>
          <w:rFonts w:hint="eastAsia" w:asciiTheme="minorEastAsia" w:hAnsiTheme="minorEastAsia" w:eastAsiaTheme="minorEastAsia" w:cstheme="minorEastAsia"/>
          <w:color w:val="auto"/>
          <w:spacing w:val="-3"/>
          <w:sz w:val="24"/>
          <w:szCs w:val="24"/>
          <w:u w:val="single"/>
          <w:lang w:val="en-US" w:eastAsia="zh-CN"/>
        </w:rPr>
        <w:t xml:space="preserve">                       </w:t>
      </w:r>
      <w:r>
        <w:rPr>
          <w:rFonts w:hint="eastAsia" w:asciiTheme="minorEastAsia" w:hAnsiTheme="minorEastAsia" w:eastAsiaTheme="minorEastAsia" w:cstheme="minorEastAsia"/>
          <w:color w:val="auto"/>
          <w:spacing w:val="-3"/>
          <w:sz w:val="24"/>
          <w:szCs w:val="24"/>
        </w:rPr>
        <w:t>（</w:t>
      </w:r>
      <w:r>
        <w:rPr>
          <w:rFonts w:hint="eastAsia" w:asciiTheme="minorEastAsia" w:hAnsiTheme="minorEastAsia" w:eastAsiaTheme="minorEastAsia" w:cstheme="minorEastAsia"/>
          <w:color w:val="auto"/>
          <w:spacing w:val="8"/>
          <w:sz w:val="24"/>
          <w:szCs w:val="24"/>
        </w:rPr>
        <w:t>中标供应商）</w:t>
      </w:r>
    </w:p>
    <w:p w14:paraId="2C02C112">
      <w:pPr>
        <w:pStyle w:val="2"/>
        <w:spacing w:before="138" w:line="360" w:lineRule="auto"/>
        <w:ind w:left="20" w:right="84" w:firstLine="399"/>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根据《中华人民共和国政府采购法》、《中华人民共和国政府采购法实施条例》、《中华人民共和国</w:t>
      </w:r>
      <w:r>
        <w:rPr>
          <w:rFonts w:hint="eastAsia" w:asciiTheme="minorEastAsia" w:hAnsiTheme="minorEastAsia" w:eastAsiaTheme="minorEastAsia" w:cstheme="minorEastAsia"/>
          <w:color w:val="auto"/>
          <w:spacing w:val="8"/>
          <w:sz w:val="24"/>
          <w:szCs w:val="24"/>
        </w:rPr>
        <w:t>民法典》等法律、法规规定，按照招、投标文件规定条款和中标供应</w:t>
      </w:r>
      <w:r>
        <w:rPr>
          <w:rFonts w:hint="eastAsia" w:asciiTheme="minorEastAsia" w:hAnsiTheme="minorEastAsia" w:eastAsiaTheme="minorEastAsia" w:cstheme="minorEastAsia"/>
          <w:color w:val="auto"/>
          <w:spacing w:val="7"/>
          <w:sz w:val="24"/>
          <w:szCs w:val="24"/>
        </w:rPr>
        <w:t>商承诺、甲乙双方签订本采购合同。</w:t>
      </w:r>
    </w:p>
    <w:p w14:paraId="77CC36F6">
      <w:pPr>
        <w:pStyle w:val="2"/>
        <w:numPr>
          <w:ilvl w:val="0"/>
          <w:numId w:val="11"/>
        </w:numPr>
        <w:kinsoku w:val="0"/>
        <w:overflowPunct w:val="0"/>
        <w:spacing w:line="360" w:lineRule="auto"/>
        <w:ind w:firstLine="422"/>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合同标的及合同金额</w:t>
      </w:r>
    </w:p>
    <w:p w14:paraId="6AD28330">
      <w:pPr>
        <w:widowControl/>
        <w:spacing w:line="360" w:lineRule="auto"/>
        <w:ind w:firstLine="480" w:firstLineChars="200"/>
        <w:jc w:val="left"/>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根据《中标通知书》的中标内容，合同的总金额为：人民币（大写）      （¥        ），合同金额包括：需包含服务人员的工资和按规定提取的福利费、社会保险费、服装费、社会节假日奖金及加班费用及苗木养护费用；必要的保险费用【其中至少包括：公众责任保险、工伤保险或雇主责任险、车辆相关保险等】、各项税金；按相关要求所需的个人日常工具、劳保用品、机具、作业车辆；按相关技术要求所需质量和数量的绿植、肥料、农药，植物防寒材料，植物支撑材料等；养护所需水费、电费。项目实施过程中产生的其他费用。</w:t>
      </w:r>
    </w:p>
    <w:p w14:paraId="465F07EA">
      <w:pPr>
        <w:spacing w:line="360" w:lineRule="auto"/>
        <w:ind w:firstLine="482" w:firstLineChars="200"/>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第二条 质量保证</w:t>
      </w:r>
    </w:p>
    <w:p w14:paraId="579DE74E">
      <w:pPr>
        <w:widowControl/>
        <w:spacing w:line="360" w:lineRule="auto"/>
        <w:ind w:firstLine="480" w:firstLineChars="200"/>
        <w:jc w:val="left"/>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乙方应按招标文件、投标文件和承诺规定的服务内容向甲方提供相应服务。</w:t>
      </w:r>
    </w:p>
    <w:p w14:paraId="1C08204B">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养护过程中，承包方必须采取周密的安全措施，以避免对人身和财产的损害。如因承包方操作不当、养护不当（如虫蛀害虫未及时防治引起枝条砸落）或管理不善而造成人身伤害或财产损失的，由承包方自行承担</w:t>
      </w:r>
      <w:r>
        <w:rPr>
          <w:rFonts w:hint="eastAsia" w:asciiTheme="minorEastAsia" w:hAnsiTheme="minorEastAsia" w:eastAsiaTheme="minorEastAsia" w:cstheme="minorEastAsia"/>
          <w:color w:val="auto"/>
          <w:sz w:val="24"/>
          <w:szCs w:val="24"/>
          <w:lang w:eastAsia="zh-CN"/>
        </w:rPr>
        <w:t>。</w:t>
      </w:r>
    </w:p>
    <w:p w14:paraId="28CD851F">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第三条  服务期限、地点与交付</w:t>
      </w:r>
    </w:p>
    <w:p w14:paraId="1799D591">
      <w:pPr>
        <w:spacing w:line="360" w:lineRule="auto"/>
        <w:ind w:firstLine="405"/>
        <w:outlineLvl w:val="9"/>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服务时间：本项目委托服务期限为3年，自合同签订之日起计算【或以甲方书面通知</w:t>
      </w:r>
      <w:r>
        <w:rPr>
          <w:rFonts w:hint="eastAsia" w:asciiTheme="minorEastAsia" w:hAnsiTheme="minorEastAsia" w:eastAsiaTheme="minorEastAsia" w:cstheme="minorEastAsia"/>
          <w:color w:val="auto"/>
          <w:kern w:val="2"/>
          <w:sz w:val="24"/>
          <w:szCs w:val="24"/>
          <w:lang w:val="en-US" w:eastAsia="zh-CN" w:bidi="ar-SA"/>
        </w:rPr>
        <w:t>的进场作业之日起计算，二者取较早者】，至合同期满并完成最终验收之日止。</w:t>
      </w:r>
    </w:p>
    <w:p w14:paraId="4F5DC6E8">
      <w:pPr>
        <w:spacing w:line="360" w:lineRule="auto"/>
        <w:ind w:firstLine="405"/>
        <w:outlineLvl w:val="9"/>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2.服务地点：采购人指定地点采购人指定地点（详见本合同附件1：蒙山县县城建成区公共绿地管护范围图）</w:t>
      </w:r>
    </w:p>
    <w:p w14:paraId="65A7636D">
      <w:pPr>
        <w:spacing w:line="360" w:lineRule="auto"/>
        <w:ind w:firstLine="405"/>
        <w:outlineLvl w:val="9"/>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交付与验收：乙方应按本合同约定的服务标准和要求提供服务。甲方有权依据本合同及附件约定的考核办法对乙方服务进行验收。乙方提供的服务不符合招投标文件及本合同规定的，甲方有权拒绝接受，并要求乙方在指定期限内整改至合格。</w:t>
      </w:r>
    </w:p>
    <w:p w14:paraId="62A6F272">
      <w:pPr>
        <w:spacing w:line="360" w:lineRule="auto"/>
        <w:ind w:firstLine="405"/>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lang w:val="en-US" w:eastAsia="zh-CN" w:bidi="ar-SA"/>
        </w:rPr>
        <w:t>4.本合同服务期满后，如因重新采购尚未完成导致无法确定新供应商的，乙方应甲方书面要求，继续按本合同标准提供过渡期养护服务。过渡期费用按月均费用标准折算支付，过渡期服务费用总额不得超过本合同总金额的10% ，达到该上限时过渡期自动终止。过渡期内乙方应配合完成与新供应商的工作交接。</w:t>
      </w:r>
    </w:p>
    <w:p w14:paraId="1689C137">
      <w:pPr>
        <w:numPr>
          <w:ilvl w:val="0"/>
          <w:numId w:val="0"/>
        </w:numPr>
        <w:spacing w:line="360" w:lineRule="auto"/>
        <w:ind w:firstLine="405" w:firstLineChars="0"/>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2"/>
          <w:sz w:val="24"/>
          <w:szCs w:val="24"/>
          <w:lang w:val="en-US" w:eastAsia="zh-CN" w:bidi="ar-SA"/>
        </w:rPr>
        <w:t>第四条</w:t>
      </w:r>
      <w:r>
        <w:rPr>
          <w:rFonts w:hint="eastAsia" w:asciiTheme="minorEastAsia" w:hAnsiTheme="minorEastAsia" w:eastAsiaTheme="minorEastAsia" w:cstheme="minorEastAsia"/>
          <w:b/>
          <w:color w:val="auto"/>
          <w:sz w:val="24"/>
          <w:szCs w:val="24"/>
        </w:rPr>
        <w:t xml:space="preserve"> </w:t>
      </w:r>
      <w:r>
        <w:rPr>
          <w:rFonts w:hint="eastAsia" w:asciiTheme="minorEastAsia" w:hAnsiTheme="minorEastAsia" w:eastAsiaTheme="minorEastAsia" w:cstheme="minorEastAsia"/>
          <w:b/>
          <w:color w:val="auto"/>
          <w:sz w:val="24"/>
          <w:szCs w:val="24"/>
          <w:lang w:val="en-US" w:eastAsia="zh-CN"/>
        </w:rPr>
        <w:t>管养范围及</w:t>
      </w:r>
      <w:r>
        <w:rPr>
          <w:rFonts w:hint="eastAsia" w:asciiTheme="minorEastAsia" w:hAnsiTheme="minorEastAsia" w:eastAsiaTheme="minorEastAsia" w:cstheme="minorEastAsia"/>
          <w:b/>
          <w:color w:val="auto"/>
          <w:sz w:val="24"/>
          <w:szCs w:val="24"/>
        </w:rPr>
        <w:t>管理要求</w:t>
      </w:r>
    </w:p>
    <w:p w14:paraId="11EF8212">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b/>
          <w:color w:val="auto"/>
          <w:kern w:val="2"/>
          <w:sz w:val="24"/>
          <w:szCs w:val="24"/>
          <w:lang w:val="en-US" w:eastAsia="zh-CN" w:bidi="ar-SA"/>
        </w:rPr>
        <w:t>一）</w:t>
      </w:r>
      <w:r>
        <w:rPr>
          <w:rFonts w:hint="eastAsia" w:asciiTheme="minorEastAsia" w:hAnsiTheme="minorEastAsia" w:eastAsiaTheme="minorEastAsia" w:cstheme="minorEastAsia"/>
          <w:color w:val="auto"/>
          <w:sz w:val="24"/>
          <w:szCs w:val="24"/>
          <w:lang w:val="zh-CN"/>
        </w:rPr>
        <w:t>管养范围</w:t>
      </w:r>
    </w:p>
    <w:p w14:paraId="6608D2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蒙山县县城建成区公共绿地的养护管理工作以及时花更换、绿化补植、修剪和改造等绿化景观提升工作。县城建成区公共绿地总面积270707㎡。（详见附件1）</w:t>
      </w:r>
    </w:p>
    <w:p w14:paraId="743FD4BC">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b/>
          <w:color w:val="auto"/>
          <w:kern w:val="2"/>
          <w:sz w:val="24"/>
          <w:szCs w:val="24"/>
          <w:lang w:val="en-US" w:eastAsia="zh-CN" w:bidi="ar-SA"/>
        </w:rPr>
        <w:t>二</w:t>
      </w: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color w:val="auto"/>
          <w:sz w:val="24"/>
          <w:szCs w:val="24"/>
          <w:lang w:val="zh-CN" w:eastAsia="zh-CN"/>
        </w:rPr>
        <w:t>管理内容</w:t>
      </w:r>
    </w:p>
    <w:p w14:paraId="739066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对所承包绿化带、行道树进行养护、管护；对绿化植物进行除草、松土、修剪（含气生根修剪）、病虫害防治、施肥、淋水、防冻、涂白、勾干枯枝、清理枯死树、补植、除杂等。绿化设施的养护和维护管理。对管护范围内绿地、水面等进行清扫、保洁。</w:t>
      </w:r>
    </w:p>
    <w:p w14:paraId="5368E6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2.对管护范围内枯死、空缺的绿化绿地进行补植，一年不少于2次。补植规格、数量等由双方现场确认，乙方制定补植方案提交甲方审核后按方案实施。</w:t>
      </w:r>
    </w:p>
    <w:p w14:paraId="5489BF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3.按时完成各项养护工作，全年除草、松土不低于6次，施肥不低于2次，防虫喷药不低于2次，修剪情况，绿化带保持平整，淋水情况，绿化带保持湿润且叶片无积尘。</w:t>
      </w:r>
    </w:p>
    <w:p w14:paraId="11575FF4">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按照古树名木养护标准做好管护范围内的古树名木养护工作：保护其生长环境条件，不得在古树周围违建建筑、开挖以及距离树干方圆3米硬化地面；每年生长季节喷施1-2次叶面肥，秋冬季在距离树干5米内开辐射状沟施放复合肥、有机肥；定期对白蚁等虫害进行清理防治；距离树干3-5米内设置栅栏或者种植地被植物，防止行人进入践踏，每年松土2-3次，有条件可换土；修剪复壮，适当修剪干枯枝、病虫枝、下垂枝；对生长延伸较长的树枝必须架设支柱进行支撑保护，防止风折。</w:t>
      </w:r>
    </w:p>
    <w:p w14:paraId="614469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5.自行妥善解决绿化养护管理产生的垃圾、杂物等废弃物处置工作。（范围内全部绿化垃圾）</w:t>
      </w:r>
    </w:p>
    <w:p w14:paraId="7E3F2C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应急抢险或突发事件处理、重大活动保障、上级检查等一系列涉及绿化养护管理的工作。（若因重大自然灾害引起绿化苗木损毁而修复或补种的，则由双方另行协商方案及费用，重大自然灾害以具有权威性的文件认定为准）</w:t>
      </w:r>
    </w:p>
    <w:p w14:paraId="154A5A73">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7.根据工作需要，凡涉及住建部门管辖职责范畴，须无条件接受并完成住建部门指派的各项临时工作任务。</w:t>
      </w:r>
    </w:p>
    <w:p w14:paraId="1127D45D">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b/>
          <w:color w:val="auto"/>
          <w:kern w:val="2"/>
          <w:sz w:val="24"/>
          <w:szCs w:val="24"/>
          <w:lang w:val="en-US" w:eastAsia="zh-CN" w:bidi="ar-SA"/>
        </w:rPr>
        <w:t>三</w:t>
      </w: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color w:val="auto"/>
          <w:sz w:val="24"/>
          <w:szCs w:val="24"/>
          <w:lang w:val="zh-CN"/>
        </w:rPr>
        <w:t>绿地养护管理</w:t>
      </w:r>
      <w:r>
        <w:rPr>
          <w:rFonts w:hint="eastAsia" w:asciiTheme="minorEastAsia" w:hAnsiTheme="minorEastAsia" w:eastAsiaTheme="minorEastAsia" w:cstheme="minorEastAsia"/>
          <w:color w:val="auto"/>
          <w:sz w:val="24"/>
          <w:szCs w:val="24"/>
          <w:lang w:val="zh-CN" w:eastAsia="zh-CN"/>
        </w:rPr>
        <w:t>标准及</w:t>
      </w:r>
      <w:r>
        <w:rPr>
          <w:rFonts w:hint="eastAsia" w:asciiTheme="minorEastAsia" w:hAnsiTheme="minorEastAsia" w:eastAsiaTheme="minorEastAsia" w:cstheme="minorEastAsia"/>
          <w:color w:val="auto"/>
          <w:sz w:val="24"/>
          <w:szCs w:val="24"/>
          <w:lang w:val="zh-CN"/>
        </w:rPr>
        <w:t>要求</w:t>
      </w:r>
    </w:p>
    <w:p w14:paraId="375F1025">
      <w:pPr>
        <w:widowControl/>
        <w:spacing w:line="360" w:lineRule="auto"/>
        <w:ind w:firstLine="480" w:firstLineChars="200"/>
        <w:jc w:val="left"/>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按照广西城市绿化养护规范及验收要求三级养护标准（详见附件2）、蒙山县县城园林绿化管护权招标承包检查考核实施细则（详见附件4）进行养护管理。</w:t>
      </w:r>
    </w:p>
    <w:p w14:paraId="2B42FBE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rPr>
        <w:t>绿化养护基本要求：</w:t>
      </w:r>
    </w:p>
    <w:p w14:paraId="61A736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养护过程中，承包方必须采取周密的安全措施，以避免对人身和财产的损害。承包方全体员工应依法参加社会保险，承包方应购买管辖范围的绿化树木公众责任保险、车辆购置相关保险。在履行公共绿地养护管理购买服务合同期间，造成人身伤害或财产损失、出现安全生产事故等情况，责任全部由承包方自行承担。</w:t>
      </w:r>
    </w:p>
    <w:p w14:paraId="2F1C27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承包方招聘园林工作人员必须符合相关规定，与员工签订劳动合同/劳务协议，并为园林工人购买有关工伤险或雇主责任险等，并按规定缴纳社会保险费用，如果出险，除保险公司应承担的责任外，其他的责任全部由承包方负责；承包方应对园林工人进行职业技能和安全知识培训后方能上岗。</w:t>
      </w:r>
    </w:p>
    <w:p w14:paraId="6B6761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3.因不可抗拒因素（如由于台风、暴雨等自然灾害引起树木突然倒塌，碰线、碰屋、非养护原因造成的树枝伤人、伤物），承包方在接到发包方通知后应迅速组织力量，半小时内到达现场并及时处理。</w:t>
      </w:r>
    </w:p>
    <w:p w14:paraId="692B6F32">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对于承包方养护期间由于养护工作不能及时完成，且造成较大影响的，发包方有权安排第三方进行养护，所发生的费用从承包方的年度养护费中扣除；县园林绿化管理所有权终止合同，并收取合同中标价5%作为违约金。</w:t>
      </w:r>
    </w:p>
    <w:p w14:paraId="7538E006">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承包方应按照相关法律法规，自行妥善解决绿化养护管理产生的垃圾、杂物等废弃物处置工作，产生的垃圾、杂物等废弃物应在当日清运，不能在公共绿地内堆放及处理，垃圾、杂物等废弃物的堆放场地由承包方自行解决。不得在建成区的禁止焚烧区域内露天焚烧绿化养护管理产生的垃圾、杂物等废弃物。因绿化养护管理产生的垃圾、杂物等废弃物处置所造成的事故、纠纷，责任由承包方承担。</w:t>
      </w:r>
    </w:p>
    <w:p w14:paraId="6E72FC30">
      <w:pPr>
        <w:spacing w:line="360" w:lineRule="auto"/>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6.建成区公共绿地进行养护管理过程中产生的用水、用电等费用，由承包方负责。</w:t>
      </w:r>
    </w:p>
    <w:p w14:paraId="2D3A24DF">
      <w:pPr>
        <w:pStyle w:val="181"/>
        <w:numPr>
          <w:ilvl w:val="0"/>
          <w:numId w:val="0"/>
        </w:numPr>
        <w:bidi w:val="0"/>
        <w:spacing w:line="360" w:lineRule="auto"/>
        <w:ind w:left="0" w:leftChars="0" w:firstLine="482" w:firstLineChars="20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b/>
          <w:color w:val="auto"/>
          <w:kern w:val="2"/>
          <w:sz w:val="24"/>
          <w:szCs w:val="24"/>
          <w:lang w:val="en-US" w:eastAsia="zh-CN" w:bidi="ar-SA"/>
        </w:rPr>
        <w:t>四</w:t>
      </w:r>
      <w:r>
        <w:rPr>
          <w:rFonts w:hint="eastAsia" w:asciiTheme="minorEastAsia" w:hAnsiTheme="minorEastAsia" w:eastAsiaTheme="minorEastAsia" w:cstheme="minorEastAsia"/>
          <w:b/>
          <w:color w:val="auto"/>
          <w:kern w:val="2"/>
          <w:sz w:val="24"/>
          <w:szCs w:val="24"/>
          <w:lang w:val="zh-CN" w:eastAsia="zh-CN" w:bidi="ar-SA"/>
        </w:rPr>
        <w:t>）</w:t>
      </w:r>
      <w:r>
        <w:rPr>
          <w:rFonts w:hint="eastAsia" w:asciiTheme="minorEastAsia" w:hAnsiTheme="minorEastAsia" w:eastAsiaTheme="minorEastAsia" w:cstheme="minorEastAsia"/>
          <w:color w:val="auto"/>
          <w:sz w:val="24"/>
          <w:szCs w:val="24"/>
          <w:lang w:val="zh-CN"/>
        </w:rPr>
        <w:t>配置要求</w:t>
      </w:r>
    </w:p>
    <w:p w14:paraId="77D0E6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人员配置：配置绿化养护人员人数不少于32人，平均每月出勤人数不少于750人工，每年出勤人数不少于750*12=9000个人工。项目经理1人，技术负责人1人，安全生产管理人员1人、施工员1人、质量员1人、材料员1人（以上人员不包含在养护人员数量中）。并指定1名管理人员与园林所随时保持联系，接受园林所的检查及指导，及时整理完善相关台账材料，完成现场整改。从业人员须统一着安全服，</w:t>
      </w:r>
      <w:r>
        <w:rPr>
          <w:rFonts w:hint="eastAsia" w:asciiTheme="minorEastAsia" w:hAnsiTheme="minorEastAsia" w:eastAsiaTheme="minorEastAsia" w:cstheme="minorEastAsia"/>
          <w:color w:val="auto"/>
          <w:kern w:val="0"/>
          <w:sz w:val="24"/>
          <w:szCs w:val="24"/>
          <w:lang w:val="en-US" w:eastAsia="zh-CN" w:bidi="ar"/>
        </w:rPr>
        <w:t>工作人员在法定年龄内</w:t>
      </w:r>
      <w:r>
        <w:rPr>
          <w:rFonts w:hint="eastAsia" w:asciiTheme="minorEastAsia" w:hAnsiTheme="minorEastAsia" w:eastAsiaTheme="minorEastAsia" w:cstheme="minorEastAsia"/>
          <w:color w:val="auto"/>
          <w:sz w:val="24"/>
          <w:szCs w:val="24"/>
          <w:lang w:val="en-US" w:eastAsia="zh-CN"/>
        </w:rPr>
        <w:t>。</w:t>
      </w:r>
    </w:p>
    <w:p w14:paraId="76656D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2、园林机械设备配置：日常养护生产所需的园林机械设备最低如下配置，含淋水车1台，喷药车1台，货车1台，管理车1台，油锯3台，打草机2台，割灌机3台，草坪机2台，绿篱机5台，抽水机2台，高枝锯5把，能够满足养护工作需求。重、大型机械和车辆允许以租赁形式达到配置要求，但养护管理工作需要使用重、大型机械和车辆时，必须及时到场。                                                                                                                                                                                                                                                                                                                                                                                                                                                                                                                                                                                                                                                                                                                                                                                     </w:t>
      </w:r>
    </w:p>
    <w:p w14:paraId="3806B4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生产工具、用具配置：主要指日常养护所需的生产工具、个人劳保用品及安全防护用具，如铲、锄、手锯、冬青剪、喷桶、淋水胶管、手套、口罩、草帽、雨衣、安全服、安全锥、安全警示牌、打草防护网等。其中，安全防护用具不得低于以下标准配备：工作服1套/人、安全防护服1套/人、安全锥1个/人、安全警示牌每5人1个。</w:t>
      </w:r>
    </w:p>
    <w:p w14:paraId="3C7D24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4、耗材配置：按相关技术要求所需质量、数量的苗木、农药、化肥、植物防寒及台风抢险等所需材料。</w:t>
      </w:r>
    </w:p>
    <w:p w14:paraId="26C804BB">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rPr>
        <w:t>第</w:t>
      </w:r>
      <w:r>
        <w:rPr>
          <w:rFonts w:hint="eastAsia" w:asciiTheme="minorEastAsia" w:hAnsiTheme="minorEastAsia" w:eastAsiaTheme="minorEastAsia" w:cstheme="minorEastAsia"/>
          <w:b/>
          <w:bCs/>
          <w:color w:val="auto"/>
          <w:sz w:val="24"/>
          <w:szCs w:val="24"/>
          <w:lang w:val="en-US" w:eastAsia="zh-CN"/>
        </w:rPr>
        <w:t>五</w:t>
      </w:r>
      <w:r>
        <w:rPr>
          <w:rFonts w:hint="eastAsia" w:asciiTheme="minorEastAsia" w:hAnsiTheme="minorEastAsia" w:eastAsiaTheme="minorEastAsia" w:cstheme="minorEastAsia"/>
          <w:b/>
          <w:bCs/>
          <w:color w:val="auto"/>
          <w:sz w:val="24"/>
          <w:szCs w:val="24"/>
        </w:rPr>
        <w:t>条  确认与声明</w:t>
      </w:r>
    </w:p>
    <w:p w14:paraId="51637C47">
      <w:pPr>
        <w:pStyle w:val="2"/>
        <w:keepNext w:val="0"/>
        <w:keepLines w:val="0"/>
        <w:pageBreakBefore w:val="0"/>
        <w:widowControl/>
        <w:kinsoku w:val="0"/>
        <w:wordWrap/>
        <w:overflowPunct/>
        <w:topLinePunct w:val="0"/>
        <w:autoSpaceDE w:val="0"/>
        <w:autoSpaceDN w:val="0"/>
        <w:bidi w:val="0"/>
        <w:adjustRightInd w:val="0"/>
        <w:snapToGrid w:val="0"/>
        <w:spacing w:before="129" w:line="360" w:lineRule="auto"/>
        <w:ind w:left="21" w:leftChars="10" w:right="57" w:firstLine="516" w:firstLineChars="200"/>
        <w:jc w:val="both"/>
        <w:textAlignment w:val="baseline"/>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1 ．乙方应自行与其提供服务人员签订</w:t>
      </w:r>
      <w:r>
        <w:rPr>
          <w:rFonts w:hint="eastAsia" w:asciiTheme="minorEastAsia" w:hAnsiTheme="minorEastAsia" w:eastAsiaTheme="minorEastAsia" w:cstheme="minorEastAsia"/>
          <w:color w:val="auto"/>
          <w:sz w:val="24"/>
          <w:szCs w:val="24"/>
          <w:lang w:val="en-US" w:eastAsia="zh-CN"/>
        </w:rPr>
        <w:t>劳动合同/劳务协议</w:t>
      </w:r>
      <w:r>
        <w:rPr>
          <w:rFonts w:hint="eastAsia" w:asciiTheme="minorEastAsia" w:hAnsiTheme="minorEastAsia" w:eastAsiaTheme="minorEastAsia" w:cstheme="minorEastAsia"/>
          <w:color w:val="auto"/>
          <w:spacing w:val="9"/>
          <w:sz w:val="24"/>
          <w:szCs w:val="24"/>
          <w:lang w:val="en-US" w:eastAsia="zh-CN"/>
        </w:rPr>
        <w:t>，支付劳动/劳务报酬，按国家规定缴纳社保；甲方与乙方及乙方提供服务的人员之间不建立劳动关系，也不建立劳务派遣关系，不对乙方人员进行管理。</w:t>
      </w:r>
    </w:p>
    <w:p w14:paraId="3C26D2CD">
      <w:pPr>
        <w:pStyle w:val="2"/>
        <w:keepNext w:val="0"/>
        <w:keepLines w:val="0"/>
        <w:pageBreakBefore w:val="0"/>
        <w:widowControl/>
        <w:kinsoku w:val="0"/>
        <w:wordWrap/>
        <w:overflowPunct/>
        <w:topLinePunct w:val="0"/>
        <w:autoSpaceDE w:val="0"/>
        <w:autoSpaceDN w:val="0"/>
        <w:bidi w:val="0"/>
        <w:adjustRightInd w:val="0"/>
        <w:snapToGrid w:val="0"/>
        <w:spacing w:before="129" w:line="360" w:lineRule="auto"/>
        <w:ind w:left="21" w:leftChars="10" w:right="57" w:firstLine="516" w:firstLineChars="200"/>
        <w:jc w:val="both"/>
        <w:textAlignment w:val="baseline"/>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2 ．甲方不对乙方工作进行具体指示，乙方应自行组织其员工按约定提供服务，自行对员工进行组织、管理、培训、安全教育，自行要求员工以符合安全规范和技术规范的方式施工；在服务过程中，乙方人员应自行保管其工具或其它财物。</w:t>
      </w:r>
    </w:p>
    <w:p w14:paraId="2FB59671">
      <w:pPr>
        <w:pStyle w:val="2"/>
        <w:keepNext w:val="0"/>
        <w:keepLines w:val="0"/>
        <w:pageBreakBefore w:val="0"/>
        <w:widowControl/>
        <w:kinsoku w:val="0"/>
        <w:wordWrap/>
        <w:overflowPunct/>
        <w:topLinePunct w:val="0"/>
        <w:autoSpaceDE w:val="0"/>
        <w:autoSpaceDN w:val="0"/>
        <w:bidi w:val="0"/>
        <w:adjustRightInd w:val="0"/>
        <w:snapToGrid w:val="0"/>
        <w:spacing w:before="129" w:line="360" w:lineRule="auto"/>
        <w:ind w:left="21" w:leftChars="10" w:right="57" w:firstLine="516" w:firstLineChars="200"/>
        <w:jc w:val="both"/>
        <w:textAlignment w:val="baseline"/>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3 ．乙方及乙方工作人员在服务过程中受到人身损害或财产损失的，由乙方或乙方工作人员自行负责，甲方对此不承担任何责任。</w:t>
      </w:r>
    </w:p>
    <w:p w14:paraId="75443476">
      <w:pPr>
        <w:pStyle w:val="2"/>
        <w:keepNext w:val="0"/>
        <w:keepLines w:val="0"/>
        <w:pageBreakBefore w:val="0"/>
        <w:widowControl/>
        <w:kinsoku w:val="0"/>
        <w:wordWrap/>
        <w:overflowPunct/>
        <w:topLinePunct w:val="0"/>
        <w:autoSpaceDE w:val="0"/>
        <w:autoSpaceDN w:val="0"/>
        <w:bidi w:val="0"/>
        <w:adjustRightInd w:val="0"/>
        <w:snapToGrid w:val="0"/>
        <w:spacing w:before="129" w:line="360" w:lineRule="auto"/>
        <w:ind w:left="21" w:leftChars="10" w:right="57" w:firstLine="516" w:firstLineChars="200"/>
        <w:jc w:val="both"/>
        <w:textAlignment w:val="baseline"/>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4 ．乙方及乙方工作人员在服务过程中造成甲方或他人人身损害或财产损害的，应承担赔偿责任。</w:t>
      </w:r>
    </w:p>
    <w:p w14:paraId="18CDAA71">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sz w:val="24"/>
          <w:szCs w:val="24"/>
          <w:lang w:val="en-US" w:eastAsia="zh-CN"/>
        </w:rPr>
        <w:t xml:space="preserve">第六条  </w:t>
      </w:r>
      <w:r>
        <w:rPr>
          <w:rFonts w:hint="eastAsia" w:asciiTheme="minorEastAsia" w:hAnsiTheme="minorEastAsia" w:eastAsiaTheme="minorEastAsia" w:cstheme="minorEastAsia"/>
          <w:b/>
          <w:bCs/>
          <w:color w:val="auto"/>
          <w:sz w:val="24"/>
          <w:szCs w:val="24"/>
        </w:rPr>
        <w:t>突发事故应急处理</w:t>
      </w:r>
    </w:p>
    <w:p w14:paraId="12B3AD3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做好事故前期的应急处理，及时上报并快速反应，及时、果断、妥善处置。</w:t>
      </w:r>
    </w:p>
    <w:p w14:paraId="2DB0E3A4">
      <w:pPr>
        <w:spacing w:line="360" w:lineRule="auto"/>
        <w:ind w:firstLine="472" w:firstLineChars="196"/>
        <w:outlineLvl w:val="9"/>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第七条  履约保证金</w:t>
      </w:r>
    </w:p>
    <w:p w14:paraId="65F48B2A">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本项目不要求缴纳履约保证金。</w:t>
      </w:r>
    </w:p>
    <w:p w14:paraId="63879EC1">
      <w:pPr>
        <w:numPr>
          <w:ilvl w:val="0"/>
          <w:numId w:val="0"/>
        </w:numPr>
        <w:spacing w:line="360" w:lineRule="auto"/>
        <w:ind w:left="405" w:leftChars="0"/>
        <w:outlineLvl w:val="9"/>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第八条  税费</w:t>
      </w:r>
    </w:p>
    <w:p w14:paraId="616C5544">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本合同执行中相关的一切税费均由乙方负担，合同另有约定的除外。</w:t>
      </w:r>
    </w:p>
    <w:p w14:paraId="389A9B08">
      <w:pPr>
        <w:numPr>
          <w:ilvl w:val="0"/>
          <w:numId w:val="0"/>
        </w:numPr>
        <w:spacing w:line="360" w:lineRule="auto"/>
        <w:ind w:left="405" w:leftChars="0"/>
        <w:outlineLvl w:val="9"/>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第九条  售后服务及培训</w:t>
      </w:r>
    </w:p>
    <w:p w14:paraId="750CC103">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1．乙方应按照国家有关法律法规和本合同所附的《售后服务承诺》要求为甲方提供相应的售后服务。</w:t>
      </w:r>
    </w:p>
    <w:p w14:paraId="15F8F255">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 ．乙方负责甲方有关人员的培训。培训时间、地点由乙方自定。</w:t>
      </w:r>
    </w:p>
    <w:p w14:paraId="7826C7B8">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w:t>
      </w:r>
      <w:r>
        <w:rPr>
          <w:rFonts w:hint="eastAsia" w:asciiTheme="minorEastAsia" w:hAnsiTheme="minorEastAsia" w:eastAsiaTheme="minorEastAsia" w:cstheme="minorEastAsia"/>
          <w:b/>
          <w:color w:val="auto"/>
          <w:sz w:val="24"/>
          <w:szCs w:val="24"/>
          <w:lang w:val="en-US" w:eastAsia="zh-CN"/>
        </w:rPr>
        <w:t>十</w:t>
      </w:r>
      <w:r>
        <w:rPr>
          <w:rFonts w:hint="eastAsia" w:asciiTheme="minorEastAsia" w:hAnsiTheme="minorEastAsia" w:eastAsiaTheme="minorEastAsia" w:cstheme="minorEastAsia"/>
          <w:b/>
          <w:color w:val="auto"/>
          <w:sz w:val="24"/>
          <w:szCs w:val="24"/>
        </w:rPr>
        <w:t>条  付款方式</w:t>
      </w:r>
    </w:p>
    <w:p w14:paraId="657E17E6">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分期支付：采用先管护后支付的方式，原则上按月度支付（每月绿化养护费用为中标价/36个月），供应商按月所提交的服务经采购人书面验收合格后，每月根据月度考核情况支付合同款。但因甲方不可控因素，具体付款时间以甲方所在县财政拨款到账时间为准。乙方在合同履行期间因考核扣分、人员出勤不足、未按计划开展工作等情形所应扣减的费用，甲方有权在当期应付养护经费中直接扣除；当期经费不足以抵扣的，顺延至后续各期继续扣除，直至扣清为止。本合同终止或解除的，乙方应在【5个工作日】内将应扣款项退还甲方，逾期退还的，甲方有权通过法律途径追偿。</w:t>
      </w:r>
    </w:p>
    <w:p w14:paraId="46BE1DC2">
      <w:pPr>
        <w:spacing w:line="360" w:lineRule="auto"/>
        <w:ind w:firstLine="482" w:firstLineChars="200"/>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w:t>
      </w:r>
      <w:r>
        <w:rPr>
          <w:rFonts w:hint="eastAsia" w:asciiTheme="minorEastAsia" w:hAnsiTheme="minorEastAsia" w:eastAsiaTheme="minorEastAsia" w:cstheme="minorEastAsia"/>
          <w:b/>
          <w:color w:val="auto"/>
          <w:sz w:val="24"/>
          <w:szCs w:val="24"/>
          <w:lang w:val="en-US" w:eastAsia="zh-CN"/>
        </w:rPr>
        <w:t>十一</w:t>
      </w:r>
      <w:r>
        <w:rPr>
          <w:rFonts w:hint="eastAsia" w:asciiTheme="minorEastAsia" w:hAnsiTheme="minorEastAsia" w:eastAsiaTheme="minorEastAsia" w:cstheme="minorEastAsia"/>
          <w:b/>
          <w:color w:val="auto"/>
          <w:sz w:val="24"/>
          <w:szCs w:val="24"/>
        </w:rPr>
        <w:t>条  违约责任</w:t>
      </w:r>
    </w:p>
    <w:p w14:paraId="3AB7E5EE">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1.在需完成重大活动保障、应急抢险或上级检查等突击性任务时，乙方无正当理由拒绝执行或未按甲方指令时限到场开展的，视为严重违约，甲方有权按 合同总金额的1%/次 向乙方主张违约金，且甲方有权直接委托第三方实施，费用由乙方承担。</w:t>
      </w:r>
    </w:p>
    <w:p w14:paraId="3EA2AE37">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2.除上述情形外，乙方未按合同约定的日常养护频次（如除草、施肥、修剪等时间节点）提供服务的，每延误一天，甲方有权按合同总金额的0.3‰扣除违约金，该按日计算的违约金累计不超过合同总金额的5%。</w:t>
      </w:r>
    </w:p>
    <w:p w14:paraId="52431837">
      <w:pPr>
        <w:numPr>
          <w:ilvl w:val="0"/>
          <w:numId w:val="0"/>
        </w:numPr>
        <w:spacing w:line="360" w:lineRule="auto"/>
        <w:ind w:firstLine="470" w:firstLineChars="196"/>
        <w:outlineLvl w:val="9"/>
        <w:rPr>
          <w:rFonts w:hint="default" w:asciiTheme="minorEastAsia" w:hAnsiTheme="minorEastAsia" w:eastAsiaTheme="minorEastAsia" w:cstheme="minorEastAsia"/>
          <w:color w:val="0000FF"/>
          <w:kern w:val="2"/>
          <w:sz w:val="24"/>
          <w:szCs w:val="24"/>
          <w:lang w:val="en-US" w:eastAsia="zh-CN" w:bidi="ar-SA"/>
        </w:rPr>
      </w:pPr>
      <w:r>
        <w:rPr>
          <w:rFonts w:hint="eastAsia" w:asciiTheme="minorEastAsia" w:hAnsiTheme="minorEastAsia" w:eastAsiaTheme="minorEastAsia" w:cstheme="minorEastAsia"/>
          <w:strike w:val="0"/>
          <w:dstrike w:val="0"/>
          <w:color w:val="auto"/>
          <w:kern w:val="2"/>
          <w:sz w:val="24"/>
          <w:szCs w:val="24"/>
          <w:lang w:val="en-US" w:eastAsia="zh-CN" w:bidi="ar-SA"/>
        </w:rPr>
        <w:t>3．</w:t>
      </w:r>
      <w:r>
        <w:rPr>
          <w:rFonts w:hint="eastAsia" w:asciiTheme="minorEastAsia" w:hAnsiTheme="minorEastAsia" w:eastAsiaTheme="minorEastAsia" w:cstheme="minorEastAsia"/>
          <w:strike w:val="0"/>
          <w:dstrike w:val="0"/>
          <w:color w:val="auto"/>
          <w:sz w:val="24"/>
          <w:szCs w:val="24"/>
        </w:rPr>
        <w:t>乙方提供的服务如侵犯了第三方合法权益而引发的任何纠纷或者诉讼，均由乙方负责交涉及处理并承担全部责任与费用。</w:t>
      </w:r>
    </w:p>
    <w:p w14:paraId="73EE6AB9">
      <w:pPr>
        <w:spacing w:line="360" w:lineRule="auto"/>
        <w:ind w:firstLine="470" w:firstLineChars="196"/>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．若乙方未按照合同规定的时间提供服务，按园林考核验收、连续两个月累计被扣罚达3000元以上（含3000元）的，则甲方有权取消乙方的承包资格，解除本合同，并按上述第1款追究乙方的违约责任。</w:t>
      </w:r>
    </w:p>
    <w:p w14:paraId="5E99308E">
      <w:pPr>
        <w:spacing w:line="360" w:lineRule="auto"/>
        <w:ind w:firstLine="470" w:firstLineChars="196"/>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5.乙方拒不配合甲方日常巡查、月度考核、验收及结算审计等工作的，每发生一次，甲方有权在当月养护经费中扣除【3000元】。</w:t>
      </w:r>
    </w:p>
    <w:p w14:paraId="1F90841C">
      <w:pPr>
        <w:spacing w:line="360" w:lineRule="auto"/>
        <w:ind w:firstLine="470" w:firstLineChars="196"/>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6.乙方存在本合同附件约定的扣罚情形的，甲方有权按照附件约定的标准和方式从应付养护经费中扣除相应款项。</w:t>
      </w:r>
    </w:p>
    <w:p w14:paraId="65125A5C">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二</w:t>
      </w:r>
      <w:r>
        <w:rPr>
          <w:rFonts w:hint="eastAsia" w:asciiTheme="minorEastAsia" w:hAnsiTheme="minorEastAsia" w:eastAsiaTheme="minorEastAsia" w:cstheme="minorEastAsia"/>
          <w:b/>
          <w:color w:val="auto"/>
          <w:sz w:val="24"/>
          <w:szCs w:val="24"/>
        </w:rPr>
        <w:t>条  不可抗力事件处理</w:t>
      </w:r>
    </w:p>
    <w:p w14:paraId="0B5DB338">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1.在合同有效期内，乙方因不可抗力事件导致不能履行合同，则合同履行期可延长，其延长期与不可抗力影响期相同。</w:t>
      </w:r>
    </w:p>
    <w:p w14:paraId="61773B22">
      <w:pPr>
        <w:spacing w:line="360" w:lineRule="auto"/>
        <w:ind w:left="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2.不可抗力事件发生后，应立即通知对方，并寄送有关权威机构出具的证明。</w:t>
      </w:r>
    </w:p>
    <w:p w14:paraId="6C9A52DD">
      <w:pPr>
        <w:spacing w:line="360" w:lineRule="auto"/>
        <w:ind w:left="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3.不可抗力事件延续一百二十天以上，双方应通过友好协商，确定是否继续履行合同。</w:t>
      </w:r>
    </w:p>
    <w:p w14:paraId="48F717B1">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三</w:t>
      </w:r>
      <w:r>
        <w:rPr>
          <w:rFonts w:hint="eastAsia" w:asciiTheme="minorEastAsia" w:hAnsiTheme="minorEastAsia" w:eastAsiaTheme="minorEastAsia" w:cstheme="minorEastAsia"/>
          <w:b/>
          <w:color w:val="auto"/>
          <w:sz w:val="24"/>
          <w:szCs w:val="24"/>
        </w:rPr>
        <w:t>条  合同争议解决</w:t>
      </w:r>
    </w:p>
    <w:p w14:paraId="16274818">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1.因服务问题发生争议的，应邀请国家认可的相关机构进行鉴定。服务符合要求的，鉴定费由甲方承担；服务不符合要求的，鉴定费由乙方承担。</w:t>
      </w:r>
    </w:p>
    <w:p w14:paraId="74FDC555">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2.因履行本合同引起的或与本合同有关的争议，甲乙双方应首先通过友好协商解决，如果协商不能解决，可向</w:t>
      </w:r>
      <w:r>
        <w:rPr>
          <w:rFonts w:hint="eastAsia" w:asciiTheme="minorEastAsia" w:hAnsiTheme="minorEastAsia" w:eastAsiaTheme="minorEastAsia" w:cstheme="minorEastAsia"/>
          <w:color w:val="auto"/>
          <w:sz w:val="24"/>
          <w:szCs w:val="24"/>
          <w:lang w:eastAsia="zh-CN"/>
        </w:rPr>
        <w:t>甲方所在地有管辖权</w:t>
      </w:r>
      <w:r>
        <w:rPr>
          <w:rFonts w:hint="eastAsia" w:asciiTheme="minorEastAsia" w:hAnsiTheme="minorEastAsia" w:eastAsiaTheme="minorEastAsia" w:cstheme="minorEastAsia"/>
          <w:color w:val="auto"/>
          <w:sz w:val="24"/>
          <w:szCs w:val="24"/>
        </w:rPr>
        <w:t>人民法院提起诉讼。</w:t>
      </w:r>
    </w:p>
    <w:p w14:paraId="354768F7">
      <w:pPr>
        <w:spacing w:line="360" w:lineRule="auto"/>
        <w:ind w:left="435"/>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3.诉讼期间，本合同继续履行。</w:t>
      </w:r>
    </w:p>
    <w:p w14:paraId="0211A38E">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四</w:t>
      </w:r>
      <w:r>
        <w:rPr>
          <w:rFonts w:hint="eastAsia" w:asciiTheme="minorEastAsia" w:hAnsiTheme="minorEastAsia" w:eastAsiaTheme="minorEastAsia" w:cstheme="minorEastAsia"/>
          <w:b/>
          <w:color w:val="auto"/>
          <w:sz w:val="24"/>
          <w:szCs w:val="24"/>
        </w:rPr>
        <w:t>条  合同生效及其它</w:t>
      </w:r>
    </w:p>
    <w:p w14:paraId="40DCBA7B">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1.合同经甲乙双方法定代表人或授权代表签字并加盖单位公章后生效</w:t>
      </w:r>
      <w:r>
        <w:rPr>
          <w:rFonts w:hint="eastAsia" w:asciiTheme="minorEastAsia" w:hAnsiTheme="minorEastAsia" w:eastAsiaTheme="minorEastAsia" w:cstheme="minorEastAsia"/>
          <w:color w:val="auto"/>
          <w:sz w:val="24"/>
          <w:szCs w:val="24"/>
          <w:lang w:eastAsia="zh-CN"/>
        </w:rPr>
        <w:t>（委托代理人签字的需后附法定代表人授权委托书，格式自拟）</w:t>
      </w:r>
      <w:r>
        <w:rPr>
          <w:rFonts w:hint="eastAsia" w:asciiTheme="minorEastAsia" w:hAnsiTheme="minorEastAsia" w:eastAsiaTheme="minorEastAsia" w:cstheme="minorEastAsia"/>
          <w:color w:val="auto"/>
          <w:sz w:val="24"/>
          <w:szCs w:val="24"/>
        </w:rPr>
        <w:t>。</w:t>
      </w:r>
    </w:p>
    <w:p w14:paraId="5B9093EA">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2.合同执行中涉及采购资金和采购内容修改或补充的，需财政部门审批，并签订书面补充协议报人民政府采购管理办公室备案，方可作为主合同不可分割的一部分。</w:t>
      </w:r>
    </w:p>
    <w:p w14:paraId="4C18AB33">
      <w:pPr>
        <w:spacing w:line="360" w:lineRule="auto"/>
        <w:ind w:left="435"/>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3.本合同未尽事宜，遵照《中华人民共和国民法典》有关条文执行。</w:t>
      </w:r>
    </w:p>
    <w:p w14:paraId="4F840B37">
      <w:pPr>
        <w:spacing w:line="360" w:lineRule="auto"/>
        <w:ind w:firstLine="472" w:firstLineChars="196"/>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五</w:t>
      </w:r>
      <w:r>
        <w:rPr>
          <w:rFonts w:hint="eastAsia" w:asciiTheme="minorEastAsia" w:hAnsiTheme="minorEastAsia" w:eastAsiaTheme="minorEastAsia" w:cstheme="minorEastAsia"/>
          <w:b/>
          <w:color w:val="auto"/>
          <w:sz w:val="24"/>
          <w:szCs w:val="24"/>
        </w:rPr>
        <w:t>条  合同的变更、终止与转让</w:t>
      </w:r>
    </w:p>
    <w:p w14:paraId="0A6399F8">
      <w:pPr>
        <w:spacing w:line="360" w:lineRule="auto"/>
        <w:ind w:firstLine="480" w:firstLineChars="200"/>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eastAsia="zh-CN"/>
        </w:rPr>
        <w:t>对本合同的修改、变更、补充、必须经甲乙双方在共同协商的基础上签署书面补充合同，补充合同与本合同具有同等效力。</w:t>
      </w:r>
    </w:p>
    <w:p w14:paraId="5F80CE8C">
      <w:pPr>
        <w:spacing w:line="360" w:lineRule="auto"/>
        <w:ind w:firstLine="480" w:firstLineChars="20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除《中华人民共和国政府采购法》第五十条规定的情形外，本合同一经签订，甲乙双方不得擅自变更，中止或终止。</w:t>
      </w:r>
    </w:p>
    <w:p w14:paraId="5BB59576">
      <w:pPr>
        <w:spacing w:line="360" w:lineRule="auto"/>
        <w:ind w:left="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.乙方不得擅自转让其应履行的合同义务。</w:t>
      </w:r>
    </w:p>
    <w:p w14:paraId="695CE454">
      <w:pPr>
        <w:pStyle w:val="2"/>
        <w:kinsoku w:val="0"/>
        <w:overflowPunct w:val="0"/>
        <w:spacing w:line="360" w:lineRule="auto"/>
        <w:ind w:firstLine="422"/>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第十</w:t>
      </w:r>
      <w:r>
        <w:rPr>
          <w:rFonts w:hint="eastAsia" w:asciiTheme="minorEastAsia" w:hAnsiTheme="minorEastAsia" w:eastAsiaTheme="minorEastAsia" w:cstheme="minorEastAsia"/>
          <w:b/>
          <w:bCs/>
          <w:color w:val="auto"/>
          <w:sz w:val="24"/>
          <w:szCs w:val="24"/>
          <w:lang w:val="en-US" w:eastAsia="zh-CN"/>
        </w:rPr>
        <w:t>六</w:t>
      </w:r>
      <w:r>
        <w:rPr>
          <w:rFonts w:hint="eastAsia" w:asciiTheme="minorEastAsia" w:hAnsiTheme="minorEastAsia" w:eastAsiaTheme="minorEastAsia" w:cstheme="minorEastAsia"/>
          <w:b/>
          <w:bCs/>
          <w:color w:val="auto"/>
          <w:sz w:val="24"/>
          <w:szCs w:val="24"/>
        </w:rPr>
        <w:t>条  签订本合同依据</w:t>
      </w:r>
    </w:p>
    <w:p w14:paraId="6CBD2E45">
      <w:pPr>
        <w:pStyle w:val="2"/>
        <w:kinsoku w:val="0"/>
        <w:overflowPunct w:val="0"/>
        <w:spacing w:line="360" w:lineRule="auto"/>
        <w:ind w:firstLine="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1.招标文件；</w:t>
      </w:r>
    </w:p>
    <w:p w14:paraId="15B6774E">
      <w:pPr>
        <w:pStyle w:val="2"/>
        <w:kinsoku w:val="0"/>
        <w:overflowPunct w:val="0"/>
        <w:spacing w:line="360" w:lineRule="auto"/>
        <w:ind w:firstLine="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2.乙方提供的投标（或应答）文件；</w:t>
      </w:r>
    </w:p>
    <w:p w14:paraId="403E40CD">
      <w:pPr>
        <w:pStyle w:val="2"/>
        <w:kinsoku w:val="0"/>
        <w:overflowPunct w:val="0"/>
        <w:spacing w:line="360" w:lineRule="auto"/>
        <w:ind w:firstLine="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3.服务承诺书；</w:t>
      </w:r>
    </w:p>
    <w:p w14:paraId="174981EF">
      <w:pPr>
        <w:pStyle w:val="2"/>
        <w:kinsoku w:val="0"/>
        <w:overflowPunct w:val="0"/>
        <w:spacing w:line="360" w:lineRule="auto"/>
        <w:ind w:firstLine="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4.中标通知书。</w:t>
      </w:r>
    </w:p>
    <w:p w14:paraId="6B33C174">
      <w:pPr>
        <w:pStyle w:val="2"/>
        <w:kinsoku w:val="0"/>
        <w:overflowPunct w:val="0"/>
        <w:spacing w:line="360" w:lineRule="auto"/>
        <w:ind w:firstLine="420"/>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合同甲乙双方签字盖章后生效，一式陆份，具有同等法律效力，甲方贰份、乙方贰份、采购代理机构贰份。政府采购合同双方自签订之日起1个工作日内将合同原件两份交采购代理机构。采购代理机构将政府采购合同在省级以上人民政府财政部门指定媒体上公告，一份由采购代理机构存档。</w:t>
      </w:r>
    </w:p>
    <w:p w14:paraId="07621175">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（以下无正文）</w:t>
      </w:r>
    </w:p>
    <w:p w14:paraId="553FD45A">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lang w:val="en-US" w:eastAsia="zh-CN"/>
        </w:rPr>
        <w:t>此合同版本仅供参考，以双方最终签订的合同为准，具体工程量在合同中明确</w:t>
      </w:r>
      <w:r>
        <w:rPr>
          <w:rFonts w:hint="eastAsia" w:asciiTheme="minorEastAsia" w:hAnsiTheme="minorEastAsia" w:eastAsiaTheme="minorEastAsia" w:cstheme="minorEastAsia"/>
          <w:color w:val="auto"/>
          <w:sz w:val="24"/>
          <w:szCs w:val="24"/>
          <w:highlight w:val="none"/>
          <w:lang w:val="en-US" w:eastAsia="zh-CN"/>
        </w:rPr>
        <w:t>。</w:t>
      </w:r>
    </w:p>
    <w:p w14:paraId="7F744C5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br w:type="page"/>
      </w:r>
    </w:p>
    <w:tbl>
      <w:tblPr>
        <w:tblStyle w:val="47"/>
        <w:tblW w:w="49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3"/>
        <w:gridCol w:w="4733"/>
      </w:tblGrid>
      <w:tr w14:paraId="07BF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06F66B5C">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甲方（公章）</w:t>
            </w:r>
          </w:p>
          <w:p w14:paraId="0A2F63C4">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B473A37">
            <w:pPr>
              <w:snapToGrid w:val="0"/>
              <w:spacing w:line="500" w:lineRule="exact"/>
              <w:ind w:firstLine="1080" w:firstLineChars="45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FA900CD">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乙方（公章）              </w:t>
            </w:r>
          </w:p>
          <w:p w14:paraId="21149B9A">
            <w:pPr>
              <w:snapToGrid w:val="0"/>
              <w:spacing w:line="500" w:lineRule="exact"/>
              <w:rPr>
                <w:rFonts w:hint="eastAsia" w:ascii="宋体" w:hAnsi="宋体" w:cs="宋体"/>
                <w:color w:val="auto"/>
                <w:sz w:val="24"/>
                <w:szCs w:val="24"/>
                <w:highlight w:val="none"/>
              </w:rPr>
            </w:pPr>
          </w:p>
          <w:p w14:paraId="54758641">
            <w:pPr>
              <w:snapToGrid w:val="0"/>
              <w:spacing w:line="500"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tc>
      </w:tr>
      <w:tr w14:paraId="6333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EC50412">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单位地址：</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A27CAFC">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单位地址：</w:t>
            </w:r>
          </w:p>
        </w:tc>
      </w:tr>
      <w:tr w14:paraId="0BC5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ECEE721">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F37D1D3">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p>
        </w:tc>
      </w:tr>
      <w:tr w14:paraId="2703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5B2AC665">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B81C901">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委托代理人：</w:t>
            </w:r>
          </w:p>
        </w:tc>
      </w:tr>
      <w:tr w14:paraId="7C82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5F5CBFB">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电话：</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2DC5B0D">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电话：</w:t>
            </w:r>
          </w:p>
        </w:tc>
      </w:tr>
      <w:tr w14:paraId="252A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3D04595F">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电子邮箱：</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4512E30">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电子邮箱：</w:t>
            </w:r>
          </w:p>
        </w:tc>
      </w:tr>
      <w:tr w14:paraId="08F1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07298278">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D909C4A">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开户银行：</w:t>
            </w:r>
          </w:p>
        </w:tc>
      </w:tr>
      <w:tr w14:paraId="668E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5EAFAA51">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42F8508">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账号：</w:t>
            </w:r>
          </w:p>
        </w:tc>
      </w:tr>
      <w:tr w14:paraId="4A06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6D8B085C">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纳税人识别号或统一社会信用代码：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5E88C8A">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纳税人识别号或统一社会信用代码：</w:t>
            </w:r>
          </w:p>
        </w:tc>
      </w:tr>
      <w:tr w14:paraId="07C9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07290992">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B6FBEFC">
            <w:pPr>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邮政编码：</w:t>
            </w:r>
          </w:p>
        </w:tc>
      </w:tr>
    </w:tbl>
    <w:p w14:paraId="45A5A179">
      <w:pPr>
        <w:spacing w:line="360" w:lineRule="auto"/>
        <w:jc w:val="both"/>
        <w:rPr>
          <w:rFonts w:hint="eastAsia"/>
          <w:color w:val="auto"/>
          <w:szCs w:val="21"/>
          <w:highlight w:val="none"/>
        </w:rPr>
        <w:sectPr>
          <w:footerReference r:id="rId25" w:type="default"/>
          <w:pgSz w:w="11906" w:h="16838"/>
          <w:pgMar w:top="1247" w:right="1247" w:bottom="1247" w:left="1247" w:header="851" w:footer="992" w:gutter="0"/>
          <w:pgNumType w:fmt="decimal"/>
          <w:cols w:space="720" w:num="1"/>
          <w:titlePg/>
          <w:docGrid w:linePitch="312" w:charSpace="0"/>
        </w:sectPr>
      </w:pPr>
      <w:bookmarkStart w:id="206" w:name="_Toc2857"/>
      <w:r>
        <w:rPr>
          <w:rFonts w:hint="eastAsia"/>
          <w:color w:val="auto"/>
          <w:szCs w:val="21"/>
          <w:highlight w:val="none"/>
        </w:rPr>
        <w:br w:type="page"/>
      </w:r>
      <w:bookmarkEnd w:id="206"/>
    </w:p>
    <w:p w14:paraId="6470536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附件内容：</w:t>
      </w:r>
    </w:p>
    <w:p w14:paraId="6EDC1C6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附件1：2026年蒙山县县县城建成区公共绿地管护范围图</w:t>
      </w:r>
    </w:p>
    <w:p w14:paraId="476B551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附件2：2026年蒙山县县县城建成区公共绿地管护范围表</w:t>
      </w:r>
    </w:p>
    <w:p w14:paraId="415CBA5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附件3：广西城市绿化养护规范及验收要求</w:t>
      </w:r>
    </w:p>
    <w:p w14:paraId="3CC9364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附录A（规范性附录）</w:t>
      </w:r>
    </w:p>
    <w:p w14:paraId="4E6426E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附件4：蒙山县县城园林绿化养护、绿地管理内容、标准及考核办法</w:t>
      </w:r>
    </w:p>
    <w:p w14:paraId="4F55E66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附件5：蒙山县县城园林绿化管护权招标承包检查考核实施细则</w:t>
      </w:r>
    </w:p>
    <w:p w14:paraId="41201D0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附件6：蒙山县县城园林绿化养护月度检查考核评分表</w:t>
      </w:r>
    </w:p>
    <w:p w14:paraId="204DC53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附件7：蒙山县园林绿化管理所绿化作业安全管理办法</w:t>
      </w:r>
    </w:p>
    <w:p w14:paraId="548EEDCC">
      <w:pPr>
        <w:pStyle w:val="2"/>
        <w:sectPr>
          <w:pgSz w:w="11906" w:h="16838"/>
          <w:pgMar w:top="1247" w:right="1247" w:bottom="1247" w:left="1247" w:header="851" w:footer="992" w:gutter="0"/>
          <w:pgNumType w:fmt="decimal"/>
          <w:cols w:space="720" w:num="1"/>
          <w:titlePg/>
          <w:docGrid w:linePitch="312" w:charSpace="0"/>
        </w:sectPr>
      </w:pPr>
    </w:p>
    <w:p w14:paraId="24568371">
      <w:pPr>
        <w:keepNext w:val="0"/>
        <w:keepLines w:val="0"/>
        <w:pageBreakBefore w:val="0"/>
        <w:tabs>
          <w:tab w:val="left" w:pos="180"/>
          <w:tab w:val="left" w:pos="162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附件1：</w:t>
      </w:r>
    </w:p>
    <w:p w14:paraId="53D07F91">
      <w:pPr>
        <w:jc w:val="center"/>
        <w:rPr>
          <w:rFonts w:hint="eastAsia" w:asciiTheme="minorEastAsia" w:hAnsiTheme="minorEastAsia" w:eastAsiaTheme="minorEastAsia" w:cstheme="minorEastAsia"/>
          <w:color w:val="auto"/>
          <w:sz w:val="24"/>
          <w:szCs w:val="24"/>
          <w:lang w:val="en-US" w:eastAsia="zh-CN"/>
        </w:rPr>
        <w:sectPr>
          <w:pgSz w:w="11906" w:h="16838"/>
          <w:pgMar w:top="1134" w:right="1134" w:bottom="1134" w:left="1304" w:header="680" w:footer="510" w:gutter="0"/>
          <w:pgNumType w:fmt="decimal"/>
          <w:cols w:space="720" w:num="1"/>
          <w:docGrid w:type="lines" w:linePitch="312" w:charSpace="0"/>
        </w:sectPr>
      </w:pPr>
      <w:r>
        <w:rPr>
          <w:rFonts w:hint="eastAsia" w:asciiTheme="minorEastAsia" w:hAnsiTheme="minorEastAsia" w:eastAsiaTheme="minorEastAsia" w:cstheme="minorEastAsia"/>
          <w:color w:val="auto"/>
          <w:sz w:val="24"/>
          <w:szCs w:val="24"/>
        </w:rPr>
        <w:drawing>
          <wp:anchor distT="0" distB="0" distL="114300" distR="114300" simplePos="0" relativeHeight="251671552" behindDoc="0" locked="0" layoutInCell="1" allowOverlap="1">
            <wp:simplePos x="0" y="0"/>
            <wp:positionH relativeFrom="column">
              <wp:posOffset>-38100</wp:posOffset>
            </wp:positionH>
            <wp:positionV relativeFrom="page">
              <wp:posOffset>1652270</wp:posOffset>
            </wp:positionV>
            <wp:extent cx="5881370" cy="8100060"/>
            <wp:effectExtent l="0" t="0" r="5080" b="15240"/>
            <wp:wrapTopAndBottom/>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36"/>
                    <a:srcRect l="1900" t="5250" r="1915" b="1113"/>
                    <a:stretch>
                      <a:fillRect/>
                    </a:stretch>
                  </pic:blipFill>
                  <pic:spPr>
                    <a:xfrm>
                      <a:off x="0" y="0"/>
                      <a:ext cx="5881370" cy="8100060"/>
                    </a:xfrm>
                    <a:prstGeom prst="rect">
                      <a:avLst/>
                    </a:prstGeom>
                    <a:noFill/>
                    <a:ln>
                      <a:noFill/>
                    </a:ln>
                  </pic:spPr>
                </pic:pic>
              </a:graphicData>
            </a:graphic>
          </wp:anchor>
        </w:drawing>
      </w:r>
      <w:r>
        <w:rPr>
          <w:rFonts w:hint="eastAsia" w:asciiTheme="minorEastAsia" w:hAnsiTheme="minorEastAsia" w:eastAsiaTheme="minorEastAsia" w:cstheme="minorEastAsia"/>
          <w:b/>
          <w:bCs/>
          <w:i w:val="0"/>
          <w:iCs w:val="0"/>
          <w:color w:val="auto"/>
          <w:kern w:val="0"/>
          <w:sz w:val="24"/>
          <w:szCs w:val="24"/>
          <w:u w:val="none"/>
          <w:lang w:val="en-US" w:eastAsia="zh-CN" w:bidi="ar"/>
        </w:rPr>
        <w:t>2026年蒙山县县县城建成区公共绿地管护范围图</w:t>
      </w:r>
    </w:p>
    <w:p w14:paraId="3765EDA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附件2：</w:t>
      </w:r>
    </w:p>
    <w:p w14:paraId="4F4748E1">
      <w:pPr>
        <w:bidi w:val="0"/>
        <w:spacing w:line="360" w:lineRule="auto"/>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广西城市绿化养护规范及验收要求</w:t>
      </w:r>
    </w:p>
    <w:p w14:paraId="4442B86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（DB45/T 449—2007）</w:t>
      </w:r>
    </w:p>
    <w:p w14:paraId="1EE82A2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 范围</w:t>
      </w:r>
    </w:p>
    <w:p w14:paraId="49C71B3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标准规定了广西壮族自治区城市绿化养护术语、养护验收、养护质量要求，并规定了水分管理、土肥管理、修剪、松土除杂、病虫害控制、植物防护、清理工作、补种、古树名木养护、环境卫生等城市绿化养护操作。</w:t>
      </w:r>
    </w:p>
    <w:p w14:paraId="376747D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本标准适用于广西壮族自治区城市公园绿地、防护绿地、附属绿地、其他绿地等绿化养护。</w:t>
      </w:r>
    </w:p>
    <w:p w14:paraId="69AFD07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各类绿地的养护，除应按本规范执行外，还应遵守国家、行业、地方有关标准的规定。</w:t>
      </w:r>
    </w:p>
    <w:p w14:paraId="2C55680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术语</w:t>
      </w:r>
    </w:p>
    <w:p w14:paraId="040D980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下列术语和定义适用于本标准。</w:t>
      </w:r>
    </w:p>
    <w:p w14:paraId="3306028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树盘</w:t>
      </w:r>
    </w:p>
    <w:p w14:paraId="3B146A8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种植乔灌木位置并与周围有明显界线的一定地面范围。</w:t>
      </w:r>
    </w:p>
    <w:p w14:paraId="0D2D3F9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有地被树盘</w:t>
      </w:r>
    </w:p>
    <w:p w14:paraId="01A90FB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在树干基部周围地面，种植有地被植物的树盘。</w:t>
      </w:r>
    </w:p>
    <w:p w14:paraId="493EF93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 无地被树盘</w:t>
      </w:r>
    </w:p>
    <w:p w14:paraId="0580872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在树干基部周围地面，没有种植地被的树盘。</w:t>
      </w:r>
    </w:p>
    <w:p w14:paraId="129F859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 孤植灌木</w:t>
      </w:r>
    </w:p>
    <w:p w14:paraId="78E4D93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单株或数株灌木种植在一个树穴内，树穴之间有明显距离，外观上可直观到一株或一丛，此类以孤植方式种植的灌木称为孤植灌木。</w:t>
      </w:r>
    </w:p>
    <w:p w14:paraId="7C2E857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 整形灌木</w:t>
      </w:r>
    </w:p>
    <w:p w14:paraId="75ADCB59">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按设计要求和观赏要求将灌木修剪成各种特定的形状，主要以植物造型为观赏目的的灌木称为整形灌木。</w:t>
      </w:r>
    </w:p>
    <w:p w14:paraId="2FC11E3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2.6 色块</w:t>
      </w:r>
    </w:p>
    <w:p w14:paraId="40EF111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指成片种植的灌木或草本植物，外观上没有明显的株行距。色块一般分为灌木色块和草本色块（也称草本地被）。</w:t>
      </w:r>
    </w:p>
    <w:p w14:paraId="69D8453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2.7 古树名木</w:t>
      </w:r>
    </w:p>
    <w:p w14:paraId="6195AE8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指树龄在一百年以上或稀有珍贵树木，或具有历史价值或重要纪念意义的树木。</w:t>
      </w:r>
    </w:p>
    <w:p w14:paraId="62A5179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2.8 疏枝</w:t>
      </w:r>
    </w:p>
    <w:p w14:paraId="1C7D5C0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将枝条从其着生部位剪去。</w:t>
      </w:r>
    </w:p>
    <w:p w14:paraId="129F30F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2.9 短截</w:t>
      </w:r>
    </w:p>
    <w:p w14:paraId="3B5F4CA9">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将枝条先端一部或大部剪去，保留基部枝段。</w:t>
      </w:r>
    </w:p>
    <w:p w14:paraId="3ABA29C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2.10 行道树</w:t>
      </w:r>
    </w:p>
    <w:p w14:paraId="703B7DA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指沿车行道或人行道边种植的乔木。</w:t>
      </w:r>
    </w:p>
    <w:p w14:paraId="6804327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2.11 分车绿带</w:t>
      </w:r>
    </w:p>
    <w:p w14:paraId="7A35BFB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车行道之间可以绿化的分隔带,其位于上下行机动车道之间的为中间分车绿带；位于机动车道与非机动车道之间或同方向机动车道之间的为两侧分车绿带。</w:t>
      </w:r>
    </w:p>
    <w:p w14:paraId="27442A7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2.12 定干高度</w:t>
      </w:r>
    </w:p>
    <w:p w14:paraId="4ED3085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乔木主干第一个分叉点离地面高度。</w:t>
      </w:r>
    </w:p>
    <w:p w14:paraId="68563153">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 水分管理</w:t>
      </w:r>
    </w:p>
    <w:p w14:paraId="3607183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水质</w:t>
      </w:r>
    </w:p>
    <w:p w14:paraId="25BA648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灌溉用水应使用自来水或经水质化验适用于灌溉的水源。</w:t>
      </w:r>
    </w:p>
    <w:p w14:paraId="48DAF88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淋水时间</w:t>
      </w:r>
    </w:p>
    <w:p w14:paraId="6F74E15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阴天全天均可淋水，遇高温、太阳辐射强应在上午11时前或下午4时后淋水。</w:t>
      </w:r>
    </w:p>
    <w:p w14:paraId="6055CCF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淋水量</w:t>
      </w:r>
    </w:p>
    <w:p w14:paraId="4303782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水分供给以能保证植物正常生长、发育需要为宜。淋、灌水量应符合以下规定：</w:t>
      </w:r>
    </w:p>
    <w:p w14:paraId="7CA44462">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新种植的乔灌木第一次定根水必须及时，并且淋足淋透，在植株未恢复正常生长之前经常性保持土壤湿润。幼龄树（种植5年内），干旱天气，每周灌、淋1次～2次； 不耐旱的成年乔木，干旱季节，每月应灌、淋1次～3次。灌木、草坪、遮荫的地被植物，淋水应湿透表层10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cm以上；干旱天气，每周应喷淋2次～4次。无遮荫的地被及盆栽草花应每天淋水1次～2次（干旱天气）。</w:t>
      </w:r>
    </w:p>
    <w:p w14:paraId="795A24D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3.4 淋水方法</w:t>
      </w:r>
    </w:p>
    <w:p w14:paraId="69117D0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可采取滴灌、喷灌、喷淋、灌淋。养护要求精细、需水量多的时花类在条件的应采用滴灌或喷灌，以节约用水，提高淋水效果。采用喷淋方法淋水，必须掌握好出水量及喷淋方向，不得冲倒、冲歪植株及冲翻树根。对于乔灌木淋水应先给树体洗尘。</w:t>
      </w:r>
    </w:p>
    <w:p w14:paraId="0A80BE3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 排水</w:t>
      </w:r>
    </w:p>
    <w:p w14:paraId="2D87DA2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乔灌木树盘、色块、地被、草坪必要时设排水盲沟，以保证雨季雨水能从地面顺畅排走，绿地不得有积水现象。</w:t>
      </w:r>
    </w:p>
    <w:p w14:paraId="4294D7C0">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 土肥管理</w:t>
      </w:r>
    </w:p>
    <w:p w14:paraId="4214149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 土壤的疏松通透</w:t>
      </w:r>
    </w:p>
    <w:p w14:paraId="589D6F7D">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灌木色块及分车绿带土壤必须保持疏松通透，绿地种植5年内的乔木及整形灌木、孤植灌木应做树盘，即在树木周围距离树干留直径0.8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m～1.2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m的土壤裸露，定期松土保持土壤疏松。</w:t>
      </w:r>
    </w:p>
    <w:p w14:paraId="76E9CC7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 各类植物种植土壤理化性状</w:t>
      </w:r>
    </w:p>
    <w:p w14:paraId="34AADA8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各类植物的种植土必须达到以下要求(见表1)。</w:t>
      </w:r>
    </w:p>
    <w:p w14:paraId="64C4EF1A">
      <w:pPr>
        <w:widowControl/>
        <w:spacing w:line="360" w:lineRule="auto"/>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4EA81DAC">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表1 各类植物种植土壤理化性状要求</w:t>
      </w:r>
    </w:p>
    <w:tbl>
      <w:tblPr>
        <w:tblStyle w:val="47"/>
        <w:tblW w:w="0" w:type="auto"/>
        <w:jc w:val="center"/>
        <w:tblLayout w:type="fixed"/>
        <w:tblCellMar>
          <w:top w:w="0" w:type="dxa"/>
          <w:left w:w="108" w:type="dxa"/>
          <w:bottom w:w="0" w:type="dxa"/>
          <w:right w:w="108" w:type="dxa"/>
        </w:tblCellMar>
      </w:tblPr>
      <w:tblGrid>
        <w:gridCol w:w="1702"/>
        <w:gridCol w:w="1417"/>
        <w:gridCol w:w="1308"/>
        <w:gridCol w:w="1376"/>
        <w:gridCol w:w="1376"/>
        <w:gridCol w:w="1377"/>
      </w:tblGrid>
      <w:tr w14:paraId="3DB5F62E">
        <w:tblPrEx>
          <w:tblCellMar>
            <w:top w:w="0" w:type="dxa"/>
            <w:left w:w="108" w:type="dxa"/>
            <w:bottom w:w="0" w:type="dxa"/>
            <w:right w:w="108" w:type="dxa"/>
          </w:tblCellMar>
        </w:tblPrEx>
        <w:trPr>
          <w:trHeight w:val="418" w:hRule="atLeast"/>
          <w:jc w:val="center"/>
        </w:trPr>
        <w:tc>
          <w:tcPr>
            <w:tcW w:w="1702" w:type="dxa"/>
            <w:tcBorders>
              <w:top w:val="single" w:color="000000" w:sz="12" w:space="0"/>
              <w:left w:val="single" w:color="000000" w:sz="12" w:space="0"/>
              <w:bottom w:val="single" w:color="000000" w:sz="12" w:space="0"/>
              <w:right w:val="single" w:color="000000" w:sz="4" w:space="0"/>
            </w:tcBorders>
            <w:noWrap w:val="0"/>
            <w:vAlign w:val="center"/>
          </w:tcPr>
          <w:p w14:paraId="5B849B29">
            <w:pPr>
              <w:widowControl/>
              <w:spacing w:line="360" w:lineRule="auto"/>
              <w:ind w:right="265"/>
              <w:jc w:val="center"/>
              <w:rPr>
                <w:rFonts w:hint="eastAsia" w:asciiTheme="minorEastAsia" w:hAnsiTheme="minorEastAsia" w:eastAsiaTheme="minorEastAsia" w:cstheme="minorEastAsia"/>
                <w:color w:val="auto"/>
                <w:sz w:val="24"/>
                <w:szCs w:val="24"/>
              </w:rPr>
            </w:pPr>
          </w:p>
        </w:tc>
        <w:tc>
          <w:tcPr>
            <w:tcW w:w="1417" w:type="dxa"/>
            <w:tcBorders>
              <w:top w:val="single" w:color="000000" w:sz="12" w:space="0"/>
              <w:left w:val="nil"/>
              <w:bottom w:val="single" w:color="000000" w:sz="12" w:space="0"/>
              <w:right w:val="single" w:color="000000" w:sz="4" w:space="0"/>
            </w:tcBorders>
            <w:noWrap w:val="0"/>
            <w:vAlign w:val="center"/>
          </w:tcPr>
          <w:p w14:paraId="411D3135">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w:t>
            </w:r>
          </w:p>
        </w:tc>
        <w:tc>
          <w:tcPr>
            <w:tcW w:w="1308" w:type="dxa"/>
            <w:tcBorders>
              <w:top w:val="single" w:color="000000" w:sz="12" w:space="0"/>
              <w:left w:val="nil"/>
              <w:bottom w:val="single" w:color="000000" w:sz="12" w:space="0"/>
              <w:right w:val="single" w:color="000000" w:sz="4" w:space="0"/>
            </w:tcBorders>
            <w:noWrap w:val="0"/>
            <w:vAlign w:val="center"/>
          </w:tcPr>
          <w:p w14:paraId="0B7D7DF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灌木</w:t>
            </w:r>
          </w:p>
        </w:tc>
        <w:tc>
          <w:tcPr>
            <w:tcW w:w="1376" w:type="dxa"/>
            <w:tcBorders>
              <w:top w:val="single" w:color="000000" w:sz="12" w:space="0"/>
              <w:left w:val="nil"/>
              <w:bottom w:val="single" w:color="000000" w:sz="12" w:space="0"/>
              <w:right w:val="single" w:color="000000" w:sz="4" w:space="0"/>
            </w:tcBorders>
            <w:noWrap w:val="0"/>
            <w:vAlign w:val="center"/>
          </w:tcPr>
          <w:p w14:paraId="3904ACAF">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地被</w:t>
            </w:r>
          </w:p>
        </w:tc>
        <w:tc>
          <w:tcPr>
            <w:tcW w:w="1376" w:type="dxa"/>
            <w:tcBorders>
              <w:top w:val="single" w:color="000000" w:sz="12" w:space="0"/>
              <w:left w:val="nil"/>
              <w:bottom w:val="single" w:color="000000" w:sz="12" w:space="0"/>
              <w:right w:val="single" w:color="000000" w:sz="4" w:space="0"/>
            </w:tcBorders>
            <w:noWrap w:val="0"/>
            <w:vAlign w:val="center"/>
          </w:tcPr>
          <w:p w14:paraId="292D61EF">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1377" w:type="dxa"/>
            <w:tcBorders>
              <w:top w:val="single" w:color="000000" w:sz="12" w:space="0"/>
              <w:left w:val="nil"/>
              <w:bottom w:val="single" w:color="000000" w:sz="12" w:space="0"/>
              <w:right w:val="single" w:color="000000" w:sz="12" w:space="0"/>
            </w:tcBorders>
            <w:noWrap w:val="0"/>
            <w:vAlign w:val="center"/>
          </w:tcPr>
          <w:p w14:paraId="3778AD46">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w:t>
            </w:r>
          </w:p>
        </w:tc>
      </w:tr>
      <w:tr w14:paraId="39DADA5A">
        <w:tblPrEx>
          <w:tblCellMar>
            <w:top w:w="0" w:type="dxa"/>
            <w:left w:w="108" w:type="dxa"/>
            <w:bottom w:w="0" w:type="dxa"/>
            <w:right w:w="108" w:type="dxa"/>
          </w:tblCellMar>
        </w:tblPrEx>
        <w:trPr>
          <w:trHeight w:val="390" w:hRule="atLeast"/>
          <w:jc w:val="center"/>
        </w:trPr>
        <w:tc>
          <w:tcPr>
            <w:tcW w:w="1702" w:type="dxa"/>
            <w:tcBorders>
              <w:top w:val="single" w:color="000000" w:sz="12" w:space="0"/>
              <w:left w:val="single" w:color="000000" w:sz="12" w:space="0"/>
              <w:bottom w:val="single" w:color="000000" w:sz="4" w:space="0"/>
              <w:right w:val="single" w:color="000000" w:sz="4" w:space="0"/>
            </w:tcBorders>
            <w:noWrap w:val="0"/>
            <w:vAlign w:val="center"/>
          </w:tcPr>
          <w:p w14:paraId="2DF97E4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PH值</w:t>
            </w:r>
          </w:p>
        </w:tc>
        <w:tc>
          <w:tcPr>
            <w:tcW w:w="1417" w:type="dxa"/>
            <w:tcBorders>
              <w:top w:val="single" w:color="000000" w:sz="12" w:space="0"/>
              <w:left w:val="nil"/>
              <w:bottom w:val="single" w:color="000000" w:sz="4" w:space="0"/>
              <w:right w:val="single" w:color="000000" w:sz="4" w:space="0"/>
            </w:tcBorders>
            <w:noWrap w:val="0"/>
            <w:vAlign w:val="center"/>
          </w:tcPr>
          <w:p w14:paraId="30011949">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08" w:type="dxa"/>
            <w:tcBorders>
              <w:top w:val="single" w:color="000000" w:sz="12" w:space="0"/>
              <w:left w:val="nil"/>
              <w:bottom w:val="single" w:color="000000" w:sz="4" w:space="0"/>
              <w:right w:val="single" w:color="000000" w:sz="4" w:space="0"/>
            </w:tcBorders>
            <w:noWrap w:val="0"/>
            <w:vAlign w:val="center"/>
          </w:tcPr>
          <w:p w14:paraId="3048DAA1">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5.5～8.0</w:t>
            </w:r>
          </w:p>
        </w:tc>
        <w:tc>
          <w:tcPr>
            <w:tcW w:w="1376" w:type="dxa"/>
            <w:tcBorders>
              <w:top w:val="single" w:color="000000" w:sz="12" w:space="0"/>
              <w:left w:val="nil"/>
              <w:bottom w:val="single" w:color="000000" w:sz="4" w:space="0"/>
              <w:right w:val="single" w:color="000000" w:sz="4" w:space="0"/>
            </w:tcBorders>
            <w:noWrap w:val="0"/>
            <w:vAlign w:val="center"/>
          </w:tcPr>
          <w:p w14:paraId="7A21BADC">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76" w:type="dxa"/>
            <w:tcBorders>
              <w:top w:val="single" w:color="000000" w:sz="12" w:space="0"/>
              <w:left w:val="nil"/>
              <w:bottom w:val="single" w:color="000000" w:sz="4" w:space="0"/>
              <w:right w:val="single" w:color="000000" w:sz="4" w:space="0"/>
            </w:tcBorders>
            <w:noWrap w:val="0"/>
            <w:vAlign w:val="center"/>
          </w:tcPr>
          <w:p w14:paraId="2D77B2C7">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5.0～8.0</w:t>
            </w:r>
          </w:p>
        </w:tc>
        <w:tc>
          <w:tcPr>
            <w:tcW w:w="1377" w:type="dxa"/>
            <w:tcBorders>
              <w:top w:val="single" w:color="000000" w:sz="12" w:space="0"/>
              <w:left w:val="nil"/>
              <w:bottom w:val="single" w:color="000000" w:sz="4" w:space="0"/>
              <w:right w:val="single" w:color="000000" w:sz="12" w:space="0"/>
            </w:tcBorders>
            <w:noWrap w:val="0"/>
            <w:vAlign w:val="center"/>
          </w:tcPr>
          <w:p w14:paraId="7C2FAB96">
            <w:pPr>
              <w:widowControl/>
              <w:spacing w:line="360" w:lineRule="auto"/>
              <w:ind w:firstLine="2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5.5～7.5</w:t>
            </w:r>
          </w:p>
        </w:tc>
      </w:tr>
      <w:tr w14:paraId="2B534B25">
        <w:tblPrEx>
          <w:tblCellMar>
            <w:top w:w="0" w:type="dxa"/>
            <w:left w:w="108" w:type="dxa"/>
            <w:bottom w:w="0" w:type="dxa"/>
            <w:right w:w="108" w:type="dxa"/>
          </w:tblCellMar>
        </w:tblPrEx>
        <w:trPr>
          <w:trHeight w:val="418" w:hRule="atLeast"/>
          <w:jc w:val="center"/>
        </w:trPr>
        <w:tc>
          <w:tcPr>
            <w:tcW w:w="1702" w:type="dxa"/>
            <w:tcBorders>
              <w:top w:val="single" w:color="000000" w:sz="4" w:space="0"/>
              <w:left w:val="single" w:color="000000" w:sz="12" w:space="0"/>
              <w:bottom w:val="single" w:color="000000" w:sz="4" w:space="0"/>
              <w:right w:val="single" w:color="000000" w:sz="4" w:space="0"/>
            </w:tcBorders>
            <w:noWrap w:val="0"/>
            <w:vAlign w:val="center"/>
          </w:tcPr>
          <w:p w14:paraId="5D08FB5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有机质(g/㎏)</w:t>
            </w:r>
          </w:p>
        </w:tc>
        <w:tc>
          <w:tcPr>
            <w:tcW w:w="1417" w:type="dxa"/>
            <w:tcBorders>
              <w:top w:val="single" w:color="000000" w:sz="4" w:space="0"/>
              <w:left w:val="nil"/>
              <w:bottom w:val="single" w:color="000000" w:sz="4" w:space="0"/>
              <w:right w:val="single" w:color="000000" w:sz="4" w:space="0"/>
            </w:tcBorders>
            <w:noWrap w:val="0"/>
            <w:vAlign w:val="center"/>
          </w:tcPr>
          <w:p w14:paraId="38A1AAF3">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08" w:type="dxa"/>
            <w:tcBorders>
              <w:top w:val="single" w:color="000000" w:sz="4" w:space="0"/>
              <w:left w:val="nil"/>
              <w:bottom w:val="single" w:color="000000" w:sz="4" w:space="0"/>
              <w:right w:val="single" w:color="000000" w:sz="4" w:space="0"/>
            </w:tcBorders>
            <w:noWrap w:val="0"/>
            <w:vAlign w:val="center"/>
          </w:tcPr>
          <w:p w14:paraId="56E89EDC">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6" w:type="dxa"/>
            <w:tcBorders>
              <w:top w:val="single" w:color="000000" w:sz="4" w:space="0"/>
              <w:left w:val="nil"/>
              <w:bottom w:val="single" w:color="000000" w:sz="4" w:space="0"/>
              <w:right w:val="single" w:color="000000" w:sz="4" w:space="0"/>
            </w:tcBorders>
            <w:noWrap w:val="0"/>
            <w:vAlign w:val="center"/>
          </w:tcPr>
          <w:p w14:paraId="7FA5D227">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6" w:type="dxa"/>
            <w:tcBorders>
              <w:top w:val="single" w:color="000000" w:sz="4" w:space="0"/>
              <w:left w:val="nil"/>
              <w:bottom w:val="single" w:color="000000" w:sz="4" w:space="0"/>
              <w:right w:val="single" w:color="000000" w:sz="4" w:space="0"/>
            </w:tcBorders>
            <w:noWrap w:val="0"/>
            <w:vAlign w:val="center"/>
          </w:tcPr>
          <w:p w14:paraId="73FEE7C1">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377" w:type="dxa"/>
            <w:tcBorders>
              <w:top w:val="single" w:color="000000" w:sz="4" w:space="0"/>
              <w:left w:val="nil"/>
              <w:bottom w:val="single" w:color="000000" w:sz="4" w:space="0"/>
              <w:right w:val="single" w:color="000000" w:sz="12" w:space="0"/>
            </w:tcBorders>
            <w:noWrap w:val="0"/>
            <w:vAlign w:val="center"/>
          </w:tcPr>
          <w:p w14:paraId="31270FFB">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w:t>
            </w:r>
          </w:p>
        </w:tc>
      </w:tr>
      <w:tr w14:paraId="3CC68E3D">
        <w:tblPrEx>
          <w:tblCellMar>
            <w:top w:w="0" w:type="dxa"/>
            <w:left w:w="108" w:type="dxa"/>
            <w:bottom w:w="0" w:type="dxa"/>
            <w:right w:w="108" w:type="dxa"/>
          </w:tblCellMar>
        </w:tblPrEx>
        <w:trPr>
          <w:trHeight w:val="404" w:hRule="atLeast"/>
          <w:jc w:val="center"/>
        </w:trPr>
        <w:tc>
          <w:tcPr>
            <w:tcW w:w="1702" w:type="dxa"/>
            <w:tcBorders>
              <w:top w:val="single" w:color="000000" w:sz="4" w:space="0"/>
              <w:left w:val="single" w:color="000000" w:sz="12" w:space="0"/>
              <w:bottom w:val="single" w:color="000000" w:sz="4" w:space="0"/>
              <w:right w:val="single" w:color="000000" w:sz="4" w:space="0"/>
            </w:tcBorders>
            <w:noWrap w:val="0"/>
            <w:vAlign w:val="center"/>
          </w:tcPr>
          <w:p w14:paraId="4F8512B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通气空隙度(%)</w:t>
            </w:r>
          </w:p>
        </w:tc>
        <w:tc>
          <w:tcPr>
            <w:tcW w:w="1417" w:type="dxa"/>
            <w:tcBorders>
              <w:top w:val="single" w:color="000000" w:sz="4" w:space="0"/>
              <w:left w:val="nil"/>
              <w:bottom w:val="single" w:color="000000" w:sz="4" w:space="0"/>
              <w:right w:val="single" w:color="000000" w:sz="4" w:space="0"/>
            </w:tcBorders>
            <w:noWrap w:val="0"/>
            <w:vAlign w:val="center"/>
          </w:tcPr>
          <w:p w14:paraId="36CD5FE8">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08" w:type="dxa"/>
            <w:tcBorders>
              <w:top w:val="single" w:color="000000" w:sz="4" w:space="0"/>
              <w:left w:val="nil"/>
              <w:bottom w:val="single" w:color="000000" w:sz="4" w:space="0"/>
              <w:right w:val="single" w:color="000000" w:sz="4" w:space="0"/>
            </w:tcBorders>
            <w:noWrap w:val="0"/>
            <w:vAlign w:val="center"/>
          </w:tcPr>
          <w:p w14:paraId="771F3F50">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c>
          <w:tcPr>
            <w:tcW w:w="1376" w:type="dxa"/>
            <w:tcBorders>
              <w:top w:val="single" w:color="000000" w:sz="4" w:space="0"/>
              <w:left w:val="nil"/>
              <w:bottom w:val="single" w:color="000000" w:sz="4" w:space="0"/>
              <w:right w:val="single" w:color="000000" w:sz="4" w:space="0"/>
            </w:tcBorders>
            <w:noWrap w:val="0"/>
            <w:vAlign w:val="center"/>
          </w:tcPr>
          <w:p w14:paraId="195DF92D">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76" w:type="dxa"/>
            <w:tcBorders>
              <w:top w:val="single" w:color="000000" w:sz="4" w:space="0"/>
              <w:left w:val="nil"/>
              <w:bottom w:val="single" w:color="000000" w:sz="4" w:space="0"/>
              <w:right w:val="single" w:color="000000" w:sz="4" w:space="0"/>
            </w:tcBorders>
            <w:noWrap w:val="0"/>
            <w:vAlign w:val="center"/>
          </w:tcPr>
          <w:p w14:paraId="47AA0C44">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w:t>
            </w:r>
          </w:p>
        </w:tc>
        <w:tc>
          <w:tcPr>
            <w:tcW w:w="1377" w:type="dxa"/>
            <w:tcBorders>
              <w:top w:val="single" w:color="000000" w:sz="4" w:space="0"/>
              <w:left w:val="nil"/>
              <w:bottom w:val="single" w:color="000000" w:sz="4" w:space="0"/>
              <w:right w:val="single" w:color="000000" w:sz="12" w:space="0"/>
            </w:tcBorders>
            <w:noWrap w:val="0"/>
            <w:vAlign w:val="center"/>
          </w:tcPr>
          <w:p w14:paraId="07CF1F7D">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r>
      <w:tr w14:paraId="02FA0326">
        <w:tblPrEx>
          <w:tblCellMar>
            <w:top w:w="0" w:type="dxa"/>
            <w:left w:w="108" w:type="dxa"/>
            <w:bottom w:w="0" w:type="dxa"/>
            <w:right w:w="108" w:type="dxa"/>
          </w:tblCellMar>
        </w:tblPrEx>
        <w:trPr>
          <w:trHeight w:val="459" w:hRule="atLeast"/>
          <w:jc w:val="center"/>
        </w:trPr>
        <w:tc>
          <w:tcPr>
            <w:tcW w:w="1702" w:type="dxa"/>
            <w:tcBorders>
              <w:top w:val="single" w:color="000000" w:sz="4" w:space="0"/>
              <w:left w:val="single" w:color="000000" w:sz="12" w:space="0"/>
              <w:bottom w:val="single" w:color="000000" w:sz="12" w:space="0"/>
              <w:right w:val="single" w:color="000000" w:sz="4" w:space="0"/>
            </w:tcBorders>
            <w:noWrap w:val="0"/>
            <w:vAlign w:val="center"/>
          </w:tcPr>
          <w:p w14:paraId="72A96299">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有效土层(㎝)</w:t>
            </w:r>
          </w:p>
        </w:tc>
        <w:tc>
          <w:tcPr>
            <w:tcW w:w="1417" w:type="dxa"/>
            <w:tcBorders>
              <w:top w:val="single" w:color="000000" w:sz="4" w:space="0"/>
              <w:left w:val="nil"/>
              <w:bottom w:val="single" w:color="000000" w:sz="12" w:space="0"/>
              <w:right w:val="single" w:color="000000" w:sz="4" w:space="0"/>
            </w:tcBorders>
            <w:noWrap w:val="0"/>
            <w:vAlign w:val="center"/>
          </w:tcPr>
          <w:p w14:paraId="3185A3C1">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w:t>
            </w:r>
          </w:p>
        </w:tc>
        <w:tc>
          <w:tcPr>
            <w:tcW w:w="1308" w:type="dxa"/>
            <w:tcBorders>
              <w:top w:val="single" w:color="000000" w:sz="4" w:space="0"/>
              <w:left w:val="nil"/>
              <w:bottom w:val="single" w:color="000000" w:sz="12" w:space="0"/>
              <w:right w:val="single" w:color="000000" w:sz="4" w:space="0"/>
            </w:tcBorders>
            <w:noWrap w:val="0"/>
            <w:vAlign w:val="center"/>
          </w:tcPr>
          <w:p w14:paraId="6C572261">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≥60</w:t>
            </w:r>
          </w:p>
        </w:tc>
        <w:tc>
          <w:tcPr>
            <w:tcW w:w="1376" w:type="dxa"/>
            <w:tcBorders>
              <w:top w:val="single" w:color="000000" w:sz="4" w:space="0"/>
              <w:left w:val="nil"/>
              <w:bottom w:val="single" w:color="000000" w:sz="12" w:space="0"/>
              <w:right w:val="single" w:color="000000" w:sz="4" w:space="0"/>
            </w:tcBorders>
            <w:noWrap w:val="0"/>
            <w:vAlign w:val="center"/>
          </w:tcPr>
          <w:p w14:paraId="7E83F2C2">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w:t>
            </w:r>
          </w:p>
        </w:tc>
        <w:tc>
          <w:tcPr>
            <w:tcW w:w="1376" w:type="dxa"/>
            <w:tcBorders>
              <w:top w:val="single" w:color="000000" w:sz="4" w:space="0"/>
              <w:left w:val="nil"/>
              <w:bottom w:val="single" w:color="000000" w:sz="12" w:space="0"/>
              <w:right w:val="single" w:color="000000" w:sz="4" w:space="0"/>
            </w:tcBorders>
            <w:noWrap w:val="0"/>
            <w:vAlign w:val="center"/>
          </w:tcPr>
          <w:p w14:paraId="190AE4C1">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w:t>
            </w:r>
          </w:p>
        </w:tc>
        <w:tc>
          <w:tcPr>
            <w:tcW w:w="1377" w:type="dxa"/>
            <w:tcBorders>
              <w:top w:val="single" w:color="000000" w:sz="4" w:space="0"/>
              <w:left w:val="nil"/>
              <w:bottom w:val="single" w:color="000000" w:sz="12" w:space="0"/>
              <w:right w:val="single" w:color="000000" w:sz="12" w:space="0"/>
            </w:tcBorders>
            <w:noWrap w:val="0"/>
            <w:vAlign w:val="center"/>
          </w:tcPr>
          <w:p w14:paraId="00E70DFE">
            <w:pPr>
              <w:widowControl/>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≥40</w:t>
            </w:r>
          </w:p>
        </w:tc>
      </w:tr>
    </w:tbl>
    <w:p w14:paraId="30E918B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0936FE9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 施肥</w:t>
      </w:r>
    </w:p>
    <w:p w14:paraId="24D6376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4.3.1 定植五年内的乔木，全年施肥1次～3次，春季以氮肥为主，秋季、冬季施复合肥或磷钾肥或有机肥，每株每次施尿素0.05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kg～0.15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kg或复合肥0.1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kg～0.4</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w:t>
      </w:r>
    </w:p>
    <w:p w14:paraId="6B8CFD0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4.3.2 定植5年后的乔木，视长势定全年施1次～2次根外肥，肥料可用0.1</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尿素、磷酸二氢钾等；古树、衰老树冬季应深耕根施迟效性肥料一次，以骨粉、堆肥、垃圾肥等有机肥为主，平均每株施10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kg有机物或施复合肥0.3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kg，观花、观果类乔木还应在花后、果后追施一次复合肥或尿素。</w:t>
      </w:r>
    </w:p>
    <w:p w14:paraId="685F2A1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4.3.3 灌木全年施3次～8次（视植物长势而定），生长期以施氮肥为主，开花期、冬季以磷钾肥为主；片植灌木，每次每平方米施化肥0.025 kg～0.100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kg；孤植灌木，每株每次施化肥0.05 kg～0.15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w:t>
      </w:r>
    </w:p>
    <w:p w14:paraId="7A0B6ED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4.3.4 草坪、草本地被植物。全年施2次～4次，生长期施尿素或复合肥1次～3次，每平方米施0.01 kg～0.05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kg；入冬前施1次复合肥，观花地被花前施1次复合肥。</w:t>
      </w:r>
    </w:p>
    <w:p w14:paraId="261029C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4.3.5 花坛种植后应施一次以上干肥（复合肥）或每隔10天施一次水肥（复合肥）。</w:t>
      </w:r>
    </w:p>
    <w:p w14:paraId="1BA2B96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4.3.6 应多施有机肥，尽量利用落叶及修剪出来的枝叶埋入土中或堆沤后施用，以改良土壤，增加土壤肥力。</w:t>
      </w:r>
    </w:p>
    <w:p w14:paraId="261CC1F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4.3.7 乔木与孤植灌木可采用沟施、穴施或叶面喷施；沟施或穴施位置有地被的，先将地被植物带根移开，挖沟或穴深施，施肥盖土后再复植原位。片植地被、草坪、花坛可采用撤施或叶面喷施或淋水肥；撒施时，肥料不能粘在叶面上。</w:t>
      </w:r>
    </w:p>
    <w:p w14:paraId="1FC3B31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4.3.8 使用化肥进行根施或撤施时,施肥后应及时淋水。</w:t>
      </w:r>
    </w:p>
    <w:p w14:paraId="494D1B9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 修剪</w:t>
      </w:r>
    </w:p>
    <w:p w14:paraId="49E3824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 绿地乔木修剪</w:t>
      </w:r>
    </w:p>
    <w:p w14:paraId="4C028EC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 自然修剪</w:t>
      </w:r>
    </w:p>
    <w:p w14:paraId="1088886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5.1.1.1 幼龄树修剪，以培养树形为主，全年修剪2次，冬、夏各进行1次，剪去过密枝、下垂枝、交叉枝、病虫枝，剪口要求平滑，直径5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cm以上的剪口应涂上防腐剂。</w:t>
      </w:r>
    </w:p>
    <w:p w14:paraId="07F23D6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5.1.1.2 成年树修剪，以维持本身树形特征为主，全年修剪数次，平时1个～2个月钩干枯枝1次；冬季和夏季台风到来之前进行适度修剪，把病虫枝、下垂枝、过密枝、交叉枝剪去，剪口要求平整，不留桩头，大枝的剪口应涂上防腐剂。</w:t>
      </w:r>
    </w:p>
    <w:p w14:paraId="6F0AEDE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5.1.1.3 对影响主要树种树体定向生长的其它次要树应进行避让修剪，以保证主体树有足够的生长定向空间。</w:t>
      </w:r>
    </w:p>
    <w:p w14:paraId="51327D7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5.1.2 造型修剪</w:t>
      </w:r>
    </w:p>
    <w:p w14:paraId="18747DC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根据设计和景观要求,把乔木剪成并维持特定的形状.修剪次数与强度以能维持其形状为宜,修剪时必须注意剪去过密的内膛枝、交叉枝，以利病虫害的防治。</w:t>
      </w:r>
    </w:p>
    <w:p w14:paraId="06C9F4F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293491D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 行道树修剪</w:t>
      </w:r>
    </w:p>
    <w:p w14:paraId="26EEBC3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5.1.3.1 枝下高：胸径5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cm的小乔木，不低于2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cm～19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cm的中等乔木，不低于2.5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cm～30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cm的大乔木，不低于3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m；胸径35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cm以上特大乔木，不低于3.5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p>
    <w:p w14:paraId="19B169C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5.1.3.2 同路段同树种的树形、高度应基本一致，且不得影响车辆和行人的安全，树冠不应遮挡交通指示灯。</w:t>
      </w:r>
    </w:p>
    <w:p w14:paraId="5681A5F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5.1.3.3 中、小行道树，修剪应以培养树形或树种特征为主，每年冬季重剪1次，夏季适当轻剪。树体不应有钉挂物、缠绕物等。</w:t>
      </w:r>
    </w:p>
    <w:p w14:paraId="317ACFF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5.1.3.4 大、特大乔木，修剪应以维持树种特征为主，经常检查并钩除干枯枝，拆除钉挂物、缠绕物。冬季修剪1次，剪去病虫枝、交叉枝、过密枝、下垂枝。</w:t>
      </w:r>
    </w:p>
    <w:p w14:paraId="62D44C9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5.1.3.5 行道树为棕榈科乔木的，中小乔木每月应钩干黄叶2次，高大的大王椰类应每周钩干黄叶两次。</w:t>
      </w:r>
    </w:p>
    <w:p w14:paraId="1DA3E93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5.1.3.6 及时处理危树，伐去死树。</w:t>
      </w:r>
    </w:p>
    <w:p w14:paraId="404066D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5.1.3.7 行道树上方有架空线的，必须定期修剪，树冠与电话线的垂直距离应保持1.5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m以上,与高压线的垂直距离视其电压的高低及电线的类型，应保持1.5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m～4.0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1663050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 灌木修剪</w:t>
      </w:r>
    </w:p>
    <w:p w14:paraId="2F3C537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 孤植灌木修剪</w:t>
      </w:r>
    </w:p>
    <w:p w14:paraId="692C914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5.2.1.1 观叶、观茎的棕榈科灌木和其它慢生性观叶灌木，主要适当控制灌木的形状，根据树种特性进行疏枝、剪除枯枝黄叶。</w:t>
      </w:r>
    </w:p>
    <w:p w14:paraId="163DD85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5.2.1.2 萌发力强，生长快的观花、观叶灌木，春季或花期过后进行重剪，以控制植株徒长，维持一定的高度与形状。</w:t>
      </w:r>
    </w:p>
    <w:p w14:paraId="3E0D4EA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5.2.1.3 疏枝，剪口必须贴近干枝，平滑、不撕裂，不伤及干枝，不留桩头。</w:t>
      </w:r>
    </w:p>
    <w:p w14:paraId="3394358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5.2.1.4 短剪，剪口平滑稍斜，剪口芽方向合理，距离剪口芽约0.5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cm左右。</w:t>
      </w:r>
    </w:p>
    <w:p w14:paraId="2BAD6D5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 整形灌木修剪</w:t>
      </w:r>
    </w:p>
    <w:p w14:paraId="3461AF1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5.2.2.1 必须按设计要求或观赏要求，逐步修剪养成一定的形状，并且要求成形美观、曲线变化明显，与周围环境相协调；规则式的同一品种植物造型，其形状、大小应基本一致。</w:t>
      </w:r>
    </w:p>
    <w:p w14:paraId="50C9AF4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5.2.2.2 整形灌木成形后应保持原来的形状，随着植物的生长，其形体大于设计观赏要求或因频繁修剪造成长势趋弱，应于春季进行回缩修剪。</w:t>
      </w:r>
    </w:p>
    <w:p w14:paraId="3B93B02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 片植灌木</w:t>
      </w:r>
    </w:p>
    <w:p w14:paraId="21D475D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5.2.3.1 按设计或观赏要求修剪，并剪去干枯枝、寄生与缠绕物，要求图形清晰，线条明显，整体美观。</w:t>
      </w:r>
    </w:p>
    <w:p w14:paraId="2355C61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5.2.3.2 萌芽力强、生长快的观叶片植灌木，应于春季进行回缩修剪，以控制整体高度和保持良好的长势。</w:t>
      </w:r>
    </w:p>
    <w:p w14:paraId="70B31A8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5.2.3.3 观花片植灌木应于花后适度修剪或重剪。</w:t>
      </w:r>
    </w:p>
    <w:p w14:paraId="2D8370E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 地被修剪</w:t>
      </w:r>
    </w:p>
    <w:p w14:paraId="4FA2125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5.3.1 球根地被及不耐修剪的地被，如麦冬、罗裙带，要求保持整洁，及时清除黄叶、杂物；过密的应适当疏株、移植；过高的应间高留矮，促萌新株，逐步更新。</w:t>
      </w:r>
    </w:p>
    <w:p w14:paraId="62343DC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5.3.2 蔓生性较强的地被，应适当修剪，保持整体整齐或有规律变化。</w:t>
      </w:r>
    </w:p>
    <w:p w14:paraId="6E03969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5.3.3 树盘地被应定时修剪，形状、大小应规范、整齐；地被植物不能缠绕乔灌木。</w:t>
      </w:r>
    </w:p>
    <w:p w14:paraId="085EAB2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 花坛修剪</w:t>
      </w:r>
    </w:p>
    <w:p w14:paraId="4680431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及时剪除残花、枯枝、黄叶，并短截或疏去过高的枝叶，保持花坛中同一色块顶面高度基本一致。</w:t>
      </w:r>
    </w:p>
    <w:p w14:paraId="26ABEDE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 草坪修剪</w:t>
      </w:r>
    </w:p>
    <w:p w14:paraId="1190268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视草坪生长情况全年修剪6次～12次，秋、冬季1月～2月剪1次，春季、夏季每月剪1次。草坪高度应控制在8cm以下。</w:t>
      </w:r>
    </w:p>
    <w:p w14:paraId="751837C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738B09B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 藤本植物修剪</w:t>
      </w:r>
    </w:p>
    <w:p w14:paraId="302EBAE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5.6.1 桥上、栏杆上藤本植物，主要剪去过密枝、衰老枝，控制枝条下垂的长度基本一致，而又不影响交通、视线。花期过后应适当更新重剪。</w:t>
      </w:r>
    </w:p>
    <w:p w14:paraId="490FFC8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5.6.2 攀援藤本，种植后进行重剪，每株促发几条健壮主蔓；爬满墙、棚后，主要适当修剪交叉蔓藤，病弱衰老蔓枝；有光脚或中空现象时，采用局部重剪、曲枝蔓诱引措施来弥补空缺。</w:t>
      </w:r>
    </w:p>
    <w:p w14:paraId="4F50E95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 松土除杂</w:t>
      </w:r>
    </w:p>
    <w:p w14:paraId="7D9FF5A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 无地被树盘,片植灌木必须定期松土除杂，对小乔木的树盘可用中耕的方法连根锄掉，埋入土中，以改良土壤。</w:t>
      </w:r>
    </w:p>
    <w:p w14:paraId="6F574EA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 应经常对草坪进行人工除杂，对生长快、侵延力强的杂草应除早、除小、除了。亦可采用除草剂除杂，结合剪草机定期剪草，控制杂草的开花及蔓延，草坪纯度应保持在85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以上，无大型、异型杂草。</w:t>
      </w:r>
    </w:p>
    <w:p w14:paraId="4C68FF8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6.3 每年春季或冬季用草坪疏草机或草坪打孔机，对草坪进行疏草或打孔，以防草过密起团，增加草坪土壤通透性。</w:t>
      </w:r>
    </w:p>
    <w:p w14:paraId="4A2AA59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 病虫害控制</w:t>
      </w:r>
    </w:p>
    <w:p w14:paraId="56A9F07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 经常检查，随时掌握病虫的生长繁殖及危害情况，做好预测预防工作。</w:t>
      </w:r>
    </w:p>
    <w:p w14:paraId="6C427E2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 掌握在幼虫期和病虫害大发生前进行防治，根据病虫害种类，天气情况、农药性质，合理使用农药。</w:t>
      </w:r>
    </w:p>
    <w:p w14:paraId="773F623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喷药应选择在无风无雨时进行，喷药必须到位、均匀，文明操作，药水不能喷到行人身上，对于人为活动多或人流量大的地段，应提前告示；根部埋药，应挖沟、坑，把药放在细根集中部位，并覆土。</w:t>
      </w:r>
    </w:p>
    <w:p w14:paraId="6B9596A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 药水随用随配，药水配用浓度应按使用说明，需要加大浓度或两种以上农药混用必须先小面积试用安全或经专业技术人员确认后才能大面积使用。</w:t>
      </w:r>
    </w:p>
    <w:p w14:paraId="19BFB0B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 应该选择使用低毒、低残留农药或生物制剂，尽量保护天敌，采用化学防治、生物防治相结合进行综合治理。</w:t>
      </w:r>
    </w:p>
    <w:p w14:paraId="72741E5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7.6 交替使用农药，不能长期使用单一种农药防治同一病虫害，以防病菌和害虫产生抗药性。用药后应检查用药效果，做到对症下药，及时纠正。</w:t>
      </w:r>
    </w:p>
    <w:p w14:paraId="07858737">
      <w:pPr>
        <w:widowControl/>
        <w:spacing w:line="360" w:lineRule="auto"/>
        <w:ind w:firstLine="120" w:firstLineChars="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7.7 及时剪除销毁病虫害引起的树枝败叶，并结合修枝，把徒长枝、过密枝剪去，创造透风透光环境，杜绝病虫害滋生蔓延。</w:t>
      </w:r>
    </w:p>
    <w:p w14:paraId="30716A9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7.8 修剪时，对大枝的剪口应涂药以防病虫害的侵入。</w:t>
      </w:r>
    </w:p>
    <w:p w14:paraId="2D7D2A0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7.9 及时清除植株上的寄生物。</w:t>
      </w:r>
    </w:p>
    <w:p w14:paraId="10FBD31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7.10 严禁使用带检疫对象病虫的苗木进行补种，外地苗木必须经过检疫，本地苗木必须经检查及处理后没有病虫为害的苗木才能使用。</w:t>
      </w:r>
    </w:p>
    <w:p w14:paraId="3935A81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7.11 病虫害控制必须在不影响景观效果程度之内。</w:t>
      </w:r>
    </w:p>
    <w:p w14:paraId="5DE3AE0F">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 植物防护</w:t>
      </w:r>
    </w:p>
    <w:p w14:paraId="394EE0D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 防寒、防冻(对不耐寒的植物品种)</w:t>
      </w:r>
    </w:p>
    <w:p w14:paraId="3899AF3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8.1.1 浇封冻水和返青水</w:t>
      </w:r>
    </w:p>
    <w:p w14:paraId="28F3AFE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应在土壤封冻前浇一次透水，并在早春浇返青水。原因是土壤中含有水分较多，严冬时能减缓表层地温的下降，开春表层地浊升温也缓慢，避免春寒为害植物根系。</w:t>
      </w:r>
    </w:p>
    <w:p w14:paraId="00EC961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8.1.2 洗霜</w:t>
      </w:r>
    </w:p>
    <w:p w14:paraId="39F26E8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在有霜日，太阳未出来前，给植株洗霜，即用水喷洒叶面或枝干。</w:t>
      </w:r>
    </w:p>
    <w:p w14:paraId="3C1C470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8.1.3 加强水肥管理，增强抗寒能力</w:t>
      </w:r>
    </w:p>
    <w:p w14:paraId="6413DF7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合理浇灌，科学施肥，如秋冬季应停止单纯施放尿素等氮肥，宜施用有机物或以磷、钾为主的化肥，或采用叶面喷施磷酸二氢钾、叶面宝等措施，控制植株徒长，促进植株生长健壮，增强其抗寒能力。</w:t>
      </w:r>
    </w:p>
    <w:p w14:paraId="4C03736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8.1.4 覆盖</w:t>
      </w:r>
    </w:p>
    <w:p w14:paraId="1281F73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对不耐寒树木，在霜冻和大雪来临前，根据树高用竹子搭一个方形棚架，外围用遮荫布或塑料布；对一些不耐寒的小形植物、露地花卉、地被等可直接加盖草帘或遮荫布或塑料布。</w:t>
      </w:r>
    </w:p>
    <w:p w14:paraId="0EF636B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8.1.5 树干防护</w:t>
      </w:r>
    </w:p>
    <w:p w14:paraId="1447599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常见的为树干包裹或涂白。树干包裹应在入冬前进行，将不耐寒的树木主干用草绳或麻袋片等缠绕或包裹起来，涂白高度在1.5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m。树干涂白宜在秋季进行, 用石灰加石硫合剂对枝干涂白。</w:t>
      </w:r>
    </w:p>
    <w:p w14:paraId="4E6C9B4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8.1.6 防冻除雪</w:t>
      </w:r>
    </w:p>
    <w:p w14:paraId="6FD7CB88">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在下大雪期间或之后,应把树枝上的积雪及时打掉,以免雪压过重,使树枝弯垂,难以恢复原状,甚至折断。</w:t>
      </w:r>
    </w:p>
    <w:p w14:paraId="2E49ADB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 防风(对高大乔木)</w:t>
      </w:r>
    </w:p>
    <w:p w14:paraId="1FB17ED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8.2.1 对高大乔木尤其是行道树、衰老树，台风季节到来前必须进行适当修剪，剪除病虫枝、过密枝、干枯枝、下垂枝、回缩偏冠树枝。</w:t>
      </w:r>
    </w:p>
    <w:p w14:paraId="43C2AE4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8.2.2 风雨过后应及时巡查行道树，及时处理风折、风倒、雷击树枝。</w:t>
      </w:r>
    </w:p>
    <w:p w14:paraId="2887FB9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8.2.3 严重偏冠树或危树必须架设护桩，确保行人、车辆安全。</w:t>
      </w:r>
    </w:p>
    <w:p w14:paraId="61F297F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8.2.4 移植和管道施工应避免断粗2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cm以上的主根、侧根。</w:t>
      </w:r>
    </w:p>
    <w:p w14:paraId="45672B8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 设备设施</w:t>
      </w:r>
    </w:p>
    <w:p w14:paraId="61821E8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定期维修游园、绿地的设备、设施、护桩，保持设备设施完好、整洁，护桩整齐、美观。</w:t>
      </w:r>
    </w:p>
    <w:p w14:paraId="15AE9F3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 清理工作</w:t>
      </w:r>
    </w:p>
    <w:p w14:paraId="3F0E5B3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 修剪后的枝叶必须当天清理。</w:t>
      </w:r>
    </w:p>
    <w:p w14:paraId="343002D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9.2 因车祸、风雨造成的树木伤残枝、倒树应当天及时处理。</w:t>
      </w:r>
    </w:p>
    <w:p w14:paraId="476478E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9.3 及时伐去死树，挖去树木桩头。</w:t>
      </w:r>
    </w:p>
    <w:p w14:paraId="3ED67BF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9.4 挖埋管线或建筑施工时，泥、砖不能堆放在树盘及绿化带上；树盘、绿化带上有余泥、砖碎等杂物应督促施工单位及时清走。</w:t>
      </w:r>
    </w:p>
    <w:p w14:paraId="4767818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 补种</w:t>
      </w:r>
    </w:p>
    <w:p w14:paraId="2065F5A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10.1 行道树不应缺株，补植的行道树必须是原来品种，树干正直，定干高度应2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7BF1ECE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10.2 主干道的行道树为幼龄树，补植乔木的规格、大小必须与同路段同品种乔木基本一致；主干道的行道树为成龄树，补植的阔叶树胸径必须8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cm以上，棕榈科乔木地径必须25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w:t>
      </w:r>
    </w:p>
    <w:p w14:paraId="201FBB9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 次干道行道树补种，阔叶树胸径必须5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cm以上，高度2.5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m以上；棕榈科乔木胸径必须20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cm以上，自然高度3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m以上。</w:t>
      </w:r>
    </w:p>
    <w:p w14:paraId="70FCCAB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10.4 绿地缺株或黄土裸露的，应在一个月内完成补种；因车祸或其它原因造成缺株或黄土裸露的，应在一周内完成补种。补种的品种应与原品种一致。</w:t>
      </w:r>
    </w:p>
    <w:p w14:paraId="3456286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10.5 补种的苗木必须健壮，无病虫害。草坪纯度必须达95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w:t>
      </w:r>
    </w:p>
    <w:p w14:paraId="0E0140B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10.6 草坪及灌木已老化的,应在衰老期到来初期更新改造。</w:t>
      </w:r>
    </w:p>
    <w:p w14:paraId="39AEB74E">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古树名木的养护</w:t>
      </w:r>
    </w:p>
    <w:p w14:paraId="7DC3AE6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 不要随意改变生长环境条件，不宜在其周围建高大建筑、挖方、填方；距树干3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m以内不能有水泥、砖石等不透气铺装或建筑物。</w:t>
      </w:r>
    </w:p>
    <w:p w14:paraId="22D577D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 防止土壤板结改变通气条件，在距树干3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m内应设栅栏隔离或种植地被植物，以防行人入内践踏，每年在距树干5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m以内中耕松土2次～3次，对衰老树有条件的可逐步换土或改土（表层50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cm以上）。</w:t>
      </w:r>
    </w:p>
    <w:p w14:paraId="73F09330">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 施肥，每年生长季节喷施叶面肥1次～3次，每年秋冬季在距树干5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m内开辐射状沟施放无病虫害的落叶、草加复合肥（每株施0.5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kg复合肥）或施沤熟的有机肥。</w:t>
      </w:r>
    </w:p>
    <w:p w14:paraId="10F9101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 古树易受蛀干害虫及白蚁的危害，必须经常检查，及时防治。修剪的剪口及损伤部分应涂药防腐、防虫。有空洞的树干必须清理干净洞内污垢，涂药消毒后进行补洞；对洞抹上一层麻刀灰，洞大的可加入清洁的砖、石填满后，再外抹青灰或水泥，在水泥中加入颜料调色至跟原树干颜色一致。</w:t>
      </w:r>
    </w:p>
    <w:p w14:paraId="2757AD2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 修剪复壮，古树名木的修剪主要修剪干枯枝、病虫枝、下垂枝。对具潜芽且寿命长的树种，当树冠外围枝条衰老枯梢时，应该采取适当回缩修剪来更新。对无潜芽或寿命短的树种，通过深翻改土，切断1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cm以下的粗根系、刺激诱发新根（亦可配制生根粉类兑水灌断根处），促进根系更新。修剪或断根后，必须加强水肥管理。</w:t>
      </w:r>
    </w:p>
    <w:p w14:paraId="5D76307D">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11.6 对生长不均衡树主干及延伸较长的枝杈，必须加设支柱或在树干适当部位打桩，以防风折。</w:t>
      </w:r>
    </w:p>
    <w:p w14:paraId="22C51A9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环境卫生</w:t>
      </w:r>
    </w:p>
    <w:p w14:paraId="3BFD4CCB">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 行道树树盘应保持清洁卫生。人行道乔木周围（直径3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m以内）不应有建筑堆积物及圈棚、摆摊，树盘内无砖块、垃圾、杂物。</w:t>
      </w:r>
    </w:p>
    <w:p w14:paraId="4A34AA2D">
      <w:pPr>
        <w:widowControl/>
        <w:spacing w:line="360" w:lineRule="auto"/>
        <w:ind w:firstLine="120" w:firstLineChars="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 绿地及行道树花带、分车绿带清洁卫生，不能有砖石、堆积物及修剪过后的枝叶堆积，表面无明显垃圾，分车绿带及色块内无陈旧垃圾；花坛外缘的土面应略低于花池砌边顶面，行道树花带与分车绿带外缘土面略低于路缘石顶面，不能有泥土污染周围环境。</w:t>
      </w:r>
    </w:p>
    <w:p w14:paraId="7B544618">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 绿地验收</w:t>
      </w:r>
    </w:p>
    <w:p w14:paraId="3345FD7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 绿地验收范围</w:t>
      </w:r>
    </w:p>
    <w:p w14:paraId="149C2E0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绿地内所种植的乔木、灌木、地被及园林设施、防护设施等附属设施。</w:t>
      </w:r>
    </w:p>
    <w:p w14:paraId="5C99628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 绿地验收内容</w:t>
      </w:r>
    </w:p>
    <w:p w14:paraId="2FB26C0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群落结构与整体效果、植物生长、整形修剪、树盘、病虫害控制、补种与改造、环境卫生。</w:t>
      </w:r>
    </w:p>
    <w:p w14:paraId="578B7C0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 绿地养护质量要求</w:t>
      </w:r>
    </w:p>
    <w:p w14:paraId="2AC4D7F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13.3.1 一级绿地</w:t>
      </w:r>
    </w:p>
    <w:p w14:paraId="07A87FE8">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景观优良，以植物造景为主，具景观特色，观赏效果好；养护精细，植物长势良好，各类植物配置合理。详见表A.1。</w:t>
      </w:r>
    </w:p>
    <w:p w14:paraId="2B372C0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13.3.2 二级绿地</w:t>
      </w:r>
    </w:p>
    <w:p w14:paraId="3CE9960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景观良好，植物造景具一定的观赏性；植物配置合理。详见表A.2。</w:t>
      </w:r>
    </w:p>
    <w:p w14:paraId="0EAF6299">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13.3.3 三级绿地</w:t>
      </w:r>
    </w:p>
    <w:p w14:paraId="02CDFC2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景观尚可，具绿化效果。详见表A.3。</w:t>
      </w:r>
    </w:p>
    <w:p w14:paraId="3A0E80A0">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 分车绿带验收</w:t>
      </w:r>
    </w:p>
    <w:p w14:paraId="3830C6F7">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14.1 分车绿带验收范围</w:t>
      </w:r>
    </w:p>
    <w:p w14:paraId="27C97FD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包括分车绿带上的片植灌木、草本地被、草坪及行道树绿带上成带状配置的地被植物、灌木。</w:t>
      </w:r>
    </w:p>
    <w:p w14:paraId="62BDA1D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 分车绿带验收内容</w:t>
      </w:r>
    </w:p>
    <w:p w14:paraId="42A94F9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整体效果、植物生长、整形修剪、病虫害控制、补种与改造、环境卫生。</w:t>
      </w:r>
    </w:p>
    <w:p w14:paraId="14A1671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 分车绿带养护质量要求</w:t>
      </w:r>
    </w:p>
    <w:p w14:paraId="1F087C2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14.3.1 一级分车绿带</w:t>
      </w:r>
    </w:p>
    <w:p w14:paraId="6836718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沿主干道或主要景观道路的分车绿带，景观优良，养护精细，植物长势良好。详见表A.4。</w:t>
      </w:r>
    </w:p>
    <w:p w14:paraId="1839112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14.3.2 二级分车绿带</w:t>
      </w:r>
    </w:p>
    <w:p w14:paraId="25440B4E">
      <w:pPr>
        <w:widowControl/>
        <w:spacing w:line="360" w:lineRule="auto"/>
        <w:ind w:firstLine="3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沿次干道或次要景观道路的分车绿带，景观良好，养护较好，植物生长正常。详见表A.5。</w:t>
      </w:r>
    </w:p>
    <w:p w14:paraId="2F5069BE">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14.3.3 三级分车绿带</w:t>
      </w:r>
    </w:p>
    <w:p w14:paraId="2C1A8BAA">
      <w:pPr>
        <w:widowControl/>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沿一般道路或其它普通路径的分车绿带，景观尚可，养护一般，植物生长基本正常。详见表A.6。</w:t>
      </w:r>
    </w:p>
    <w:p w14:paraId="4AF7E45E">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 行道树验收</w:t>
      </w:r>
    </w:p>
    <w:p w14:paraId="0E8F170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 行道树验收范围</w:t>
      </w:r>
    </w:p>
    <w:p w14:paraId="27268CB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行道树及间种在人行道上的孤植灌木、整形灌木。</w:t>
      </w:r>
    </w:p>
    <w:p w14:paraId="01A8656A">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 行道树验收内容</w:t>
      </w:r>
    </w:p>
    <w:p w14:paraId="66E9874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整体效果、植物生长、整形修剪、定干高度、树盘、病虫害控制、防护设施、补种。</w:t>
      </w:r>
    </w:p>
    <w:p w14:paraId="6212734F">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 行道树养护质量要求</w:t>
      </w:r>
    </w:p>
    <w:p w14:paraId="6FBF559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15.3.1 一级行道树</w:t>
      </w:r>
    </w:p>
    <w:p w14:paraId="29BC9CCA">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沿主干道或主要景观路径、观赏效果好、排列整齐的乔木。详见表A.7。</w:t>
      </w:r>
    </w:p>
    <w:p w14:paraId="4234A95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15.3.2 二级行道树</w:t>
      </w:r>
    </w:p>
    <w:p w14:paraId="6AA9138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沿次干道或次要景观路径、排列整齐的乔木。详见表A.8。</w:t>
      </w:r>
    </w:p>
    <w:p w14:paraId="122BA145">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15.3.3 三级行道树</w:t>
      </w:r>
    </w:p>
    <w:p w14:paraId="7C4067F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沿一般道路或其它普通路径、排列成行的乔木。详见表A.9。</w:t>
      </w:r>
    </w:p>
    <w:p w14:paraId="217F7B24">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 花坛验收</w:t>
      </w:r>
    </w:p>
    <w:p w14:paraId="5BEE7C7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16.1 花坛验收范围</w:t>
      </w:r>
    </w:p>
    <w:p w14:paraId="0B2EF8F3">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摆放在人行道或公共绿地上的花卉、盆景、饰物及设施，及栽种在绿地、分车绿带里的时花。</w:t>
      </w:r>
    </w:p>
    <w:p w14:paraId="710D1A3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16.2 花坛验收内容</w:t>
      </w:r>
    </w:p>
    <w:p w14:paraId="52E93874">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整体效果、植物生长、水肥管理、病虫害控制、植株修剪、补种与更换、环境卫生。</w:t>
      </w:r>
    </w:p>
    <w:p w14:paraId="29732108">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 花坛养护质量要求</w:t>
      </w:r>
    </w:p>
    <w:p w14:paraId="0E7F580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16.3.1 一级花坛</w:t>
      </w:r>
    </w:p>
    <w:p w14:paraId="3E07236F">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景观优良，具明显的景观特色；花卉养护精细，花的色泽鲜艳、应时；饰物、设施美观；花卉、饰物、设施、环境等配置相互协调。详见表A.10。</w:t>
      </w:r>
    </w:p>
    <w:p w14:paraId="4BF5E23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16.3.2 二级花坛</w:t>
      </w:r>
    </w:p>
    <w:p w14:paraId="0BA0A03B">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景观良好，以花卉造景为主；养护较好，花、叶的大小、色泽正常，开花应时、整齐；饰物、设施美观。详见表A.11。</w:t>
      </w:r>
    </w:p>
    <w:p w14:paraId="173DBA49">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 护坡验收</w:t>
      </w:r>
    </w:p>
    <w:p w14:paraId="1D133E03">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 护坡验收范围</w:t>
      </w:r>
    </w:p>
    <w:p w14:paraId="14CAEB5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护坡内所种植的乔木、灌木、地被、草坪及防护等附属设施。</w:t>
      </w:r>
    </w:p>
    <w:p w14:paraId="51113594">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 护坡验收内容</w:t>
      </w:r>
    </w:p>
    <w:p w14:paraId="50456C2C">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同绿地。</w:t>
      </w:r>
    </w:p>
    <w:p w14:paraId="4D5B6E4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 护坡养护质量要求</w:t>
      </w:r>
    </w:p>
    <w:p w14:paraId="6689A9E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17.3.1 特级护坡</w:t>
      </w:r>
    </w:p>
    <w:p w14:paraId="53BB91B6">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景观优良，以植物造景为主，具景观特色；养护精细，植物长势良好。详见表A.12。</w:t>
      </w:r>
    </w:p>
    <w:p w14:paraId="1B210536">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17.3.2 一级护坡</w:t>
      </w:r>
    </w:p>
    <w:p w14:paraId="5A906697">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景观较好，具固土护坡作用，植物造景具一定的观赏性。详见表A.13。</w:t>
      </w:r>
    </w:p>
    <w:p w14:paraId="4628E7FC">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17.3.3 二级护坡</w:t>
      </w:r>
    </w:p>
    <w:p w14:paraId="4CC4C041">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景观尚可，具固定护坡作用及绿化效果，无需车辆喷淋水或人工淋水。详见表A.14。</w:t>
      </w:r>
    </w:p>
    <w:p w14:paraId="55C9E9F2">
      <w:pPr>
        <w:widowControl/>
        <w:spacing w:line="360" w:lineRule="auto"/>
        <w:ind w:firstLine="105"/>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17.3.4 三级护坡</w:t>
      </w:r>
    </w:p>
    <w:p w14:paraId="6B5E9CE5">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具固定护坡作用及绿化效果，基本保持原自然景观。详见表A.15。</w:t>
      </w:r>
    </w:p>
    <w:p w14:paraId="2DAD6482">
      <w:pPr>
        <w:widowControl/>
        <w:spacing w:before="156"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 验收周期与养护质量等级认定</w:t>
      </w:r>
    </w:p>
    <w:p w14:paraId="4411E2B2">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18.1 验收周期</w:t>
      </w:r>
    </w:p>
    <w:p w14:paraId="1FE7FFDE">
      <w:pPr>
        <w:widowControl/>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宜定期验收与平时检查相结合，定期验收宜每年4次以上。</w:t>
      </w:r>
    </w:p>
    <w:p w14:paraId="6D471281">
      <w:pPr>
        <w:widowControl/>
        <w:spacing w:line="360" w:lineRule="auto"/>
        <w:ind w:firstLine="1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18.2 养护质量等级认定</w:t>
      </w:r>
    </w:p>
    <w:p w14:paraId="211548C7">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根据所对应级别的养护验收质量要求，其中所含分项全部达到相应要求的即评为合格。</w:t>
      </w:r>
    </w:p>
    <w:p w14:paraId="5A932FB2">
      <w:pPr>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47BF3E18">
      <w:pPr>
        <w:pStyle w:val="182"/>
        <w:numPr>
          <w:ilvl w:val="0"/>
          <w:numId w:val="0"/>
        </w:numPr>
        <w:shd w:val="clear"/>
        <w:tabs>
          <w:tab w:val="left" w:pos="6405"/>
        </w:tabs>
        <w:ind w:lef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附录</w:t>
      </w:r>
      <w:r>
        <w:rPr>
          <w:rFonts w:hint="eastAsia" w:asciiTheme="minorEastAsia" w:hAnsiTheme="minorEastAsia" w:eastAsiaTheme="minorEastAsia" w:cstheme="minorEastAsia"/>
          <w:color w:val="auto"/>
          <w:sz w:val="24"/>
          <w:szCs w:val="24"/>
          <w:lang w:val="en-US" w:eastAsia="zh-CN"/>
        </w:rPr>
        <w:t>A</w:t>
      </w:r>
      <w:r>
        <w:rPr>
          <w:rFonts w:hint="eastAsia" w:asciiTheme="minorEastAsia" w:hAnsiTheme="minorEastAsia" w:eastAsiaTheme="minorEastAsia" w:cstheme="minorEastAsia"/>
          <w:color w:val="auto"/>
          <w:sz w:val="24"/>
          <w:szCs w:val="24"/>
        </w:rPr>
        <w:t>（规范性附录）</w:t>
      </w:r>
    </w:p>
    <w:p w14:paraId="1ECE078F">
      <w:pPr>
        <w:pStyle w:val="182"/>
        <w:numPr>
          <w:ilvl w:val="0"/>
          <w:numId w:val="0"/>
        </w:numPr>
        <w:shd w:val="clear"/>
        <w:tabs>
          <w:tab w:val="left" w:pos="6405"/>
        </w:tabs>
        <w:ind w:leftChar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养护质量要求</w:t>
      </w:r>
    </w:p>
    <w:p w14:paraId="2517E7E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一级绿地养护质量要求</w:t>
      </w:r>
    </w:p>
    <w:p w14:paraId="40E4EBA2">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应符合表A.1的规定。</w:t>
      </w:r>
    </w:p>
    <w:p w14:paraId="66C30486">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 一级绿地养护质量要求表</w:t>
      </w:r>
    </w:p>
    <w:tbl>
      <w:tblPr>
        <w:tblStyle w:val="47"/>
        <w:tblW w:w="9345" w:type="dxa"/>
        <w:tblInd w:w="7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1"/>
        <w:gridCol w:w="1440"/>
        <w:gridCol w:w="7154"/>
      </w:tblGrid>
      <w:tr w14:paraId="722D2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51" w:type="dxa"/>
            <w:tcBorders>
              <w:top w:val="single" w:color="auto" w:sz="12" w:space="0"/>
              <w:left w:val="single" w:color="auto" w:sz="12" w:space="0"/>
              <w:bottom w:val="single" w:color="auto" w:sz="12" w:space="0"/>
              <w:right w:val="single" w:color="auto" w:sz="4" w:space="0"/>
            </w:tcBorders>
            <w:noWrap w:val="0"/>
            <w:vAlign w:val="center"/>
          </w:tcPr>
          <w:p w14:paraId="417623D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4" w:space="0"/>
              <w:bottom w:val="single" w:color="auto" w:sz="12" w:space="0"/>
              <w:right w:val="single" w:color="auto" w:sz="4" w:space="0"/>
            </w:tcBorders>
            <w:noWrap w:val="0"/>
            <w:vAlign w:val="center"/>
          </w:tcPr>
          <w:p w14:paraId="009D991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4" w:space="0"/>
              <w:bottom w:val="single" w:color="auto" w:sz="12" w:space="0"/>
              <w:right w:val="single" w:color="auto" w:sz="12" w:space="0"/>
            </w:tcBorders>
            <w:noWrap w:val="0"/>
            <w:vAlign w:val="center"/>
          </w:tcPr>
          <w:p w14:paraId="2320C1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37CE5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751" w:type="dxa"/>
            <w:tcBorders>
              <w:top w:val="single" w:color="auto" w:sz="12" w:space="0"/>
              <w:left w:val="single" w:color="auto" w:sz="12" w:space="0"/>
              <w:bottom w:val="single" w:color="auto" w:sz="4" w:space="0"/>
              <w:right w:val="single" w:color="auto" w:sz="4" w:space="0"/>
            </w:tcBorders>
            <w:noWrap w:val="0"/>
            <w:vAlign w:val="center"/>
          </w:tcPr>
          <w:p w14:paraId="48501F7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4" w:space="0"/>
              <w:bottom w:val="single" w:color="auto" w:sz="4" w:space="0"/>
              <w:right w:val="single" w:color="auto" w:sz="4" w:space="0"/>
            </w:tcBorders>
            <w:noWrap w:val="0"/>
            <w:vAlign w:val="center"/>
          </w:tcPr>
          <w:p w14:paraId="6AC241B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7154" w:type="dxa"/>
            <w:tcBorders>
              <w:top w:val="single" w:color="auto" w:sz="12" w:space="0"/>
              <w:left w:val="single" w:color="auto" w:sz="4" w:space="0"/>
              <w:bottom w:val="single" w:color="auto" w:sz="4" w:space="0"/>
              <w:right w:val="single" w:color="auto" w:sz="12" w:space="0"/>
            </w:tcBorders>
            <w:noWrap w:val="0"/>
            <w:vAlign w:val="center"/>
          </w:tcPr>
          <w:p w14:paraId="0F40FE98">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植物配置合理、层次丰富，植株生长空间与层次处理得当，具有完整的群落结构，绿量大，基本无积尘，整体观赏效果优良。</w:t>
            </w:r>
          </w:p>
        </w:tc>
      </w:tr>
      <w:tr w14:paraId="2DD4C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4D5252E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1F29E3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008CB1F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生长良好，符合物候状况，叶的颜色、形状、大小正常，树体自然；观花植物适时开花，花期基本一致。达标率＞95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A63C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8"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174920A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E766E9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536DBFC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干枯枝、缠绕物、钉挂物，分枝合理，树冠匀称，观赏效果良好。整型乔灌木：按要求养成并维持一定形态，生长茂密，脚叶丰满。形态优美。孤植灌木：按要求养成观花或观叶形态，同一品种物候基本一致，树形美观，无枯枝。片植灌木：图形清晰、线条明显、流畅，无明显杂草。草本地被为常绿观花或观叶形态，整体基本整齐，基本无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A139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6AFA9AE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F1F05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35F0076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有地被树盘：其形状、大小整齐规范，满盘，不攀缠植株，无明显杂草、杂物。无地被树盘：大小合适，边线整齐，土壤疏松、细碎，基本无杂草、杂物。达标率＞95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EEAA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60E77C2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83DDA7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0CF1CB8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观赏性草坪，青绿无枯黄，无大型杂草和异型杂草，目的草种纯度95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以上。开放类草坪，生长季节青绿，无明显枯黄现象，无大型杂草，目的草种纯度90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以上。草坪平整不起团，高度在8cm以下；无明显坑洼、小洞，草坪边缘线（与路面、色块交界处）清晰。达标率＞95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830E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5485D5C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081CF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3233445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6CD834E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基本无危害迹象；病虫害总为害率＜10%，其中蛀干、根部害虫、食叶性害虫＜5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，基本无寄生，病害感染率＜5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3058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428E650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9E67C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705B7FB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5C966CB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；花坛色块中的时花及时换种，保持常年有花。</w:t>
            </w:r>
          </w:p>
        </w:tc>
      </w:tr>
      <w:tr w14:paraId="4428F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751" w:type="dxa"/>
            <w:tcBorders>
              <w:top w:val="single" w:color="auto" w:sz="4" w:space="0"/>
              <w:left w:val="single" w:color="auto" w:sz="12" w:space="0"/>
              <w:bottom w:val="single" w:color="auto" w:sz="4" w:space="0"/>
              <w:right w:val="single" w:color="auto" w:sz="4" w:space="0"/>
            </w:tcBorders>
            <w:noWrap w:val="0"/>
            <w:vAlign w:val="center"/>
          </w:tcPr>
          <w:p w14:paraId="5FD0401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DA4796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4" w:space="0"/>
              <w:left w:val="single" w:color="auto" w:sz="4" w:space="0"/>
              <w:bottom w:val="single" w:color="auto" w:sz="4" w:space="0"/>
              <w:right w:val="single" w:color="auto" w:sz="12" w:space="0"/>
            </w:tcBorders>
            <w:noWrap w:val="0"/>
            <w:vAlign w:val="center"/>
          </w:tcPr>
          <w:p w14:paraId="4234001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建筑小品、辅助设施整洁无损；水池无悬浮物，水体清洁；无死树、残桩头、堆积物；无明显垃圾，基本无果皮、烟头、瓜子壳、纸屑等垃圾。达标率＞95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3374B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6" w:hRule="atLeast"/>
        </w:trPr>
        <w:tc>
          <w:tcPr>
            <w:tcW w:w="9345" w:type="dxa"/>
            <w:gridSpan w:val="3"/>
            <w:tcBorders>
              <w:top w:val="single" w:color="auto" w:sz="4" w:space="0"/>
              <w:left w:val="single" w:color="auto" w:sz="12" w:space="0"/>
              <w:bottom w:val="single" w:color="auto" w:sz="12" w:space="0"/>
              <w:right w:val="single" w:color="auto" w:sz="12" w:space="0"/>
            </w:tcBorders>
            <w:noWrap w:val="0"/>
            <w:vAlign w:val="center"/>
          </w:tcPr>
          <w:p w14:paraId="05F6CD9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注：达标率指乔木、灌木、地被、草坪等被检目标达到相应要求的植株数（或面积）占总株数（或总面积）的百分比。</w:t>
            </w:r>
          </w:p>
        </w:tc>
      </w:tr>
    </w:tbl>
    <w:p w14:paraId="4A58E79F">
      <w:pPr>
        <w:pStyle w:val="178"/>
        <w:ind w:firstLine="420"/>
        <w:rPr>
          <w:rFonts w:hint="eastAsia" w:asciiTheme="minorEastAsia" w:hAnsiTheme="minorEastAsia" w:eastAsiaTheme="minorEastAsia" w:cstheme="minorEastAsia"/>
          <w:color w:val="auto"/>
          <w:kern w:val="21"/>
          <w:sz w:val="24"/>
          <w:szCs w:val="24"/>
        </w:rPr>
      </w:pPr>
    </w:p>
    <w:p w14:paraId="57D60218">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二级绿地养护质量要求</w:t>
      </w:r>
    </w:p>
    <w:p w14:paraId="5D71E0DB">
      <w:pPr>
        <w:pStyle w:val="178"/>
        <w:ind w:firstLine="42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应符合表A.2的规定。</w:t>
      </w:r>
      <w:r>
        <w:rPr>
          <w:rFonts w:hint="eastAsia" w:asciiTheme="minorEastAsia" w:hAnsiTheme="minorEastAsia" w:eastAsiaTheme="minorEastAsia" w:cstheme="minorEastAsia"/>
          <w:color w:val="auto"/>
          <w:sz w:val="24"/>
          <w:szCs w:val="24"/>
          <w:lang w:val="en-US" w:eastAsia="zh-CN"/>
        </w:rPr>
        <w:t xml:space="preserve"> </w:t>
      </w:r>
    </w:p>
    <w:p w14:paraId="03702B3E">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表A.2  二级绿地养护质量要求表</w:t>
      </w:r>
    </w:p>
    <w:tbl>
      <w:tblPr>
        <w:tblStyle w:val="4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440"/>
        <w:gridCol w:w="6900"/>
      </w:tblGrid>
      <w:tr w14:paraId="11916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tcBorders>
              <w:top w:val="single" w:color="auto" w:sz="12" w:space="0"/>
              <w:left w:val="single" w:color="auto" w:sz="12" w:space="0"/>
              <w:bottom w:val="single" w:color="auto" w:sz="12" w:space="0"/>
              <w:right w:val="single" w:color="auto" w:sz="4" w:space="0"/>
            </w:tcBorders>
            <w:noWrap w:val="0"/>
            <w:vAlign w:val="center"/>
          </w:tcPr>
          <w:p w14:paraId="6C370CF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1440" w:type="dxa"/>
            <w:tcBorders>
              <w:top w:val="single" w:color="auto" w:sz="12" w:space="0"/>
              <w:left w:val="single" w:color="auto" w:sz="4" w:space="0"/>
              <w:bottom w:val="single" w:color="auto" w:sz="12" w:space="0"/>
              <w:right w:val="single" w:color="auto" w:sz="4" w:space="0"/>
            </w:tcBorders>
            <w:noWrap w:val="0"/>
            <w:vAlign w:val="center"/>
          </w:tcPr>
          <w:p w14:paraId="2FE1F7A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6900" w:type="dxa"/>
            <w:tcBorders>
              <w:top w:val="single" w:color="auto" w:sz="12" w:space="0"/>
              <w:left w:val="single" w:color="auto" w:sz="4" w:space="0"/>
              <w:bottom w:val="single" w:color="auto" w:sz="12" w:space="0"/>
              <w:right w:val="single" w:color="auto" w:sz="12" w:space="0"/>
            </w:tcBorders>
            <w:noWrap w:val="0"/>
            <w:vAlign w:val="center"/>
          </w:tcPr>
          <w:p w14:paraId="2EE7CBC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7C96F7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0" w:type="dxa"/>
            <w:tcBorders>
              <w:top w:val="single" w:color="auto" w:sz="12" w:space="0"/>
              <w:left w:val="single" w:color="auto" w:sz="12" w:space="0"/>
              <w:bottom w:val="single" w:color="auto" w:sz="4" w:space="0"/>
              <w:right w:val="single" w:color="auto" w:sz="4" w:space="0"/>
            </w:tcBorders>
            <w:noWrap w:val="0"/>
            <w:vAlign w:val="center"/>
          </w:tcPr>
          <w:p w14:paraId="2F3EA6F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4" w:space="0"/>
              <w:bottom w:val="single" w:color="auto" w:sz="4" w:space="0"/>
              <w:right w:val="single" w:color="auto" w:sz="4" w:space="0"/>
            </w:tcBorders>
            <w:noWrap w:val="0"/>
            <w:vAlign w:val="center"/>
          </w:tcPr>
          <w:p w14:paraId="78D4A0D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6900" w:type="dxa"/>
            <w:tcBorders>
              <w:top w:val="single" w:color="auto" w:sz="12" w:space="0"/>
              <w:left w:val="single" w:color="auto" w:sz="4" w:space="0"/>
              <w:bottom w:val="single" w:color="auto" w:sz="4" w:space="0"/>
              <w:right w:val="single" w:color="auto" w:sz="12" w:space="0"/>
            </w:tcBorders>
            <w:noWrap w:val="0"/>
            <w:vAlign w:val="center"/>
          </w:tcPr>
          <w:p w14:paraId="2197789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植物配置合理、层次较丰富，植株生长空间与层次处理得当，具有较完整的群落结构，积尘少，整体观赏效果良好。</w:t>
            </w:r>
          </w:p>
        </w:tc>
      </w:tr>
      <w:tr w14:paraId="20721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6CF94CA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A42240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423BE59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植株生长良好，符合物候状况，叶的颜色、形状、大小正常，树体正直不偏斜；观花植物适时开花。达标率＞90</w:t>
            </w:r>
            <w:r>
              <w:rPr>
                <w:rFonts w:hint="eastAsia" w:asciiTheme="minorEastAsia" w:hAnsiTheme="minorEastAsia" w:eastAsiaTheme="minorEastAsia" w:cstheme="minorEastAsia"/>
                <w:color w:val="auto"/>
                <w:spacing w:val="-30"/>
                <w:sz w:val="24"/>
                <w:szCs w:val="24"/>
              </w:rPr>
              <w:t xml:space="preserve"> ％</w:t>
            </w:r>
          </w:p>
        </w:tc>
      </w:tr>
      <w:tr w14:paraId="790F0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13DFA18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BD263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433570A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干枯枝、缠绕物、钉挂物，树冠匀称，具良好观赏效果；整形乔灌木：按要求养成并维持一定形态，生长茂密，脚叶丰满形态良好；一般孤植灌木：按要求养成观花或观叶形态，树形良好，无枯枝；片植灌木：图形清晰、线条明显、流畅，无明显杂草；地被植物常绿、整洁，无明显杂草、枯黄叶。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01A2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1A67ABE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747BFF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695DE5A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有地被树盘：其形状、大小整齐规范，满盘，不攀缠植株；无明显杂草、杂物。无地被树盘：大小合适，边线整齐，土壤疏松、细碎，无明显杂草、杂物。达标率＞90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0681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4"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009DBCB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9ABF7C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54D3559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观赏性草坪，生长季节青绿无枯黄，无大型杂草和异型杂草，目的草种纯度90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以上。开放类草坪，生长季节青绿，无明显枯黄现象，无大型杂草，目的草种纯度85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以上。各类草坪均要求平整，无明显起团，高度在8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cm以下；无明显坑洼，草坪边缘线基本清晰。达标率＞90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510A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4BA814E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416585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77F5872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68BC7E3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无明显危害迹象；总的病虫害为害率＜15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，食叶害虫＜10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4395E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4" w:space="0"/>
              <w:right w:val="single" w:color="auto" w:sz="4" w:space="0"/>
            </w:tcBorders>
            <w:noWrap w:val="0"/>
            <w:vAlign w:val="center"/>
          </w:tcPr>
          <w:p w14:paraId="136B4EA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9921F6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7AF04BE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6900" w:type="dxa"/>
            <w:tcBorders>
              <w:top w:val="single" w:color="auto" w:sz="4" w:space="0"/>
              <w:left w:val="single" w:color="auto" w:sz="4" w:space="0"/>
              <w:bottom w:val="single" w:color="auto" w:sz="4" w:space="0"/>
              <w:right w:val="single" w:color="auto" w:sz="12" w:space="0"/>
            </w:tcBorders>
            <w:noWrap w:val="0"/>
            <w:vAlign w:val="center"/>
          </w:tcPr>
          <w:p w14:paraId="322CD6C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；花坛色块中的时花及时换种，一年中6个月以上有花观赏。</w:t>
            </w:r>
          </w:p>
        </w:tc>
      </w:tr>
      <w:tr w14:paraId="5B7B4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00" w:type="dxa"/>
            <w:tcBorders>
              <w:top w:val="single" w:color="auto" w:sz="4" w:space="0"/>
              <w:left w:val="single" w:color="auto" w:sz="12" w:space="0"/>
              <w:bottom w:val="single" w:color="auto" w:sz="8" w:space="0"/>
              <w:right w:val="single" w:color="auto" w:sz="4" w:space="0"/>
            </w:tcBorders>
            <w:noWrap w:val="0"/>
            <w:vAlign w:val="center"/>
          </w:tcPr>
          <w:p w14:paraId="3DF8C6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4" w:space="0"/>
              <w:left w:val="single" w:color="auto" w:sz="4" w:space="0"/>
              <w:bottom w:val="single" w:color="auto" w:sz="8" w:space="0"/>
              <w:right w:val="single" w:color="auto" w:sz="4" w:space="0"/>
            </w:tcBorders>
            <w:noWrap w:val="0"/>
            <w:vAlign w:val="center"/>
          </w:tcPr>
          <w:p w14:paraId="780AEE0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6900" w:type="dxa"/>
            <w:tcBorders>
              <w:top w:val="single" w:color="auto" w:sz="4" w:space="0"/>
              <w:left w:val="single" w:color="auto" w:sz="4" w:space="0"/>
              <w:bottom w:val="single" w:color="auto" w:sz="8" w:space="0"/>
              <w:right w:val="single" w:color="auto" w:sz="12" w:space="0"/>
            </w:tcBorders>
            <w:noWrap w:val="0"/>
            <w:vAlign w:val="center"/>
          </w:tcPr>
          <w:p w14:paraId="6F32D00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绿地设施完好、整洁；无死树、残桩头及陈旧堆积物；水池无明显悬浮物，水体基本清洁；无明显垃圾，基本无果皮、烟头、瓜子壳、纸屑等垃圾。达标率＞90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E2A1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2" w:hRule="atLeast"/>
        </w:trPr>
        <w:tc>
          <w:tcPr>
            <w:tcW w:w="9240" w:type="dxa"/>
            <w:gridSpan w:val="3"/>
            <w:tcBorders>
              <w:top w:val="single" w:color="auto" w:sz="8" w:space="0"/>
              <w:left w:val="single" w:color="auto" w:sz="12" w:space="0"/>
              <w:bottom w:val="single" w:color="auto" w:sz="12" w:space="0"/>
              <w:right w:val="single" w:color="auto" w:sz="12" w:space="0"/>
            </w:tcBorders>
            <w:noWrap w:val="0"/>
            <w:vAlign w:val="center"/>
          </w:tcPr>
          <w:p w14:paraId="60FD896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0FDED33">
      <w:pPr>
        <w:pStyle w:val="184"/>
        <w:numPr>
          <w:ilvl w:val="0"/>
          <w:numId w:val="0"/>
        </w:numPr>
        <w:wordWrap/>
        <w:spacing w:before="156"/>
        <w:ind w:firstLine="2520" w:firstLineChars="1050"/>
        <w:rPr>
          <w:rFonts w:hint="eastAsia" w:asciiTheme="minorEastAsia" w:hAnsiTheme="minorEastAsia" w:eastAsiaTheme="minorEastAsia" w:cstheme="minorEastAsia"/>
          <w:color w:val="auto"/>
          <w:sz w:val="24"/>
          <w:szCs w:val="24"/>
        </w:rPr>
      </w:pPr>
    </w:p>
    <w:p w14:paraId="568F7D3B">
      <w:pPr>
        <w:pStyle w:val="178"/>
        <w:rPr>
          <w:rFonts w:hint="eastAsia"/>
          <w:color w:val="auto"/>
        </w:rPr>
        <w:sectPr>
          <w:pgSz w:w="11910" w:h="16840"/>
          <w:pgMar w:top="1440" w:right="1080" w:bottom="1440" w:left="1080" w:header="720" w:footer="720" w:gutter="0"/>
          <w:pgNumType w:fmt="decimal"/>
          <w:cols w:space="720" w:num="1"/>
          <w:titlePg/>
          <w:docGrid w:linePitch="286" w:charSpace="0"/>
        </w:sectPr>
      </w:pPr>
    </w:p>
    <w:p w14:paraId="4DFA4557">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三级绿地养护质量要求</w:t>
      </w:r>
    </w:p>
    <w:p w14:paraId="48DFE954">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应符合表A.3的规定。</w:t>
      </w:r>
    </w:p>
    <w:p w14:paraId="54331B98">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表A.3  三级绿地养护质量要求表</w:t>
      </w:r>
    </w:p>
    <w:tbl>
      <w:tblPr>
        <w:tblStyle w:val="47"/>
        <w:tblW w:w="0" w:type="auto"/>
        <w:tblInd w:w="7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399"/>
        <w:gridCol w:w="7318"/>
      </w:tblGrid>
      <w:tr w14:paraId="263444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61" w:type="dxa"/>
            <w:tcBorders>
              <w:top w:val="single" w:color="auto" w:sz="12" w:space="0"/>
              <w:left w:val="single" w:color="auto" w:sz="12" w:space="0"/>
              <w:bottom w:val="single" w:color="auto" w:sz="12" w:space="0"/>
              <w:right w:val="single" w:color="auto" w:sz="4" w:space="0"/>
            </w:tcBorders>
            <w:noWrap w:val="0"/>
            <w:vAlign w:val="center"/>
          </w:tcPr>
          <w:p w14:paraId="75C745C8">
            <w:pPr>
              <w:jc w:val="center"/>
              <w:rPr>
                <w:rFonts w:hint="eastAsia"/>
                <w:color w:val="auto"/>
              </w:rPr>
            </w:pPr>
            <w:r>
              <w:rPr>
                <w:rFonts w:hint="eastAsia" w:asciiTheme="minorEastAsia" w:hAnsiTheme="minorEastAsia" w:eastAsiaTheme="minorEastAsia" w:cstheme="minorEastAsia"/>
                <w:b/>
                <w:bCs/>
                <w:color w:val="auto"/>
                <w:sz w:val="24"/>
                <w:szCs w:val="24"/>
              </w:rPr>
              <w:t>序号</w:t>
            </w:r>
          </w:p>
        </w:tc>
        <w:tc>
          <w:tcPr>
            <w:tcW w:w="1399" w:type="dxa"/>
            <w:tcBorders>
              <w:top w:val="single" w:color="auto" w:sz="12" w:space="0"/>
              <w:left w:val="single" w:color="auto" w:sz="4" w:space="0"/>
              <w:bottom w:val="single" w:color="auto" w:sz="12" w:space="0"/>
              <w:right w:val="single" w:color="auto" w:sz="4" w:space="0"/>
            </w:tcBorders>
            <w:noWrap w:val="0"/>
            <w:vAlign w:val="center"/>
          </w:tcPr>
          <w:p w14:paraId="23DAE790">
            <w:pPr>
              <w:jc w:val="center"/>
              <w:rPr>
                <w:rFonts w:hint="eastAsia"/>
                <w:color w:val="auto"/>
              </w:rPr>
            </w:pPr>
            <w:r>
              <w:rPr>
                <w:rFonts w:hint="eastAsia" w:asciiTheme="minorEastAsia" w:hAnsiTheme="minorEastAsia" w:eastAsiaTheme="minorEastAsia" w:cstheme="minorEastAsia"/>
                <w:b/>
                <w:bCs/>
                <w:color w:val="auto"/>
                <w:sz w:val="24"/>
                <w:szCs w:val="24"/>
              </w:rPr>
              <w:t>项目</w:t>
            </w:r>
          </w:p>
        </w:tc>
        <w:tc>
          <w:tcPr>
            <w:tcW w:w="7318" w:type="dxa"/>
            <w:tcBorders>
              <w:top w:val="single" w:color="auto" w:sz="12" w:space="0"/>
              <w:left w:val="single" w:color="auto" w:sz="4" w:space="0"/>
              <w:bottom w:val="single" w:color="auto" w:sz="12" w:space="0"/>
              <w:right w:val="single" w:color="auto" w:sz="12" w:space="0"/>
            </w:tcBorders>
            <w:noWrap w:val="0"/>
            <w:vAlign w:val="center"/>
          </w:tcPr>
          <w:p w14:paraId="56F69C7F">
            <w:pPr>
              <w:jc w:val="center"/>
              <w:rPr>
                <w:rFonts w:hint="eastAsia"/>
                <w:color w:val="auto"/>
              </w:rPr>
            </w:pPr>
            <w:r>
              <w:rPr>
                <w:rFonts w:hint="eastAsia" w:asciiTheme="minorEastAsia" w:hAnsiTheme="minorEastAsia" w:eastAsiaTheme="minorEastAsia" w:cstheme="minorEastAsia"/>
                <w:b/>
                <w:bCs/>
                <w:color w:val="auto"/>
                <w:sz w:val="24"/>
                <w:szCs w:val="24"/>
              </w:rPr>
              <w:t>质量要求</w:t>
            </w:r>
          </w:p>
        </w:tc>
      </w:tr>
      <w:tr w14:paraId="4C680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61" w:type="dxa"/>
            <w:tcBorders>
              <w:top w:val="single" w:color="auto" w:sz="12" w:space="0"/>
              <w:left w:val="single" w:color="auto" w:sz="12" w:space="0"/>
              <w:bottom w:val="single" w:color="auto" w:sz="4" w:space="0"/>
              <w:right w:val="single" w:color="auto" w:sz="4" w:space="0"/>
            </w:tcBorders>
            <w:noWrap w:val="0"/>
            <w:vAlign w:val="center"/>
          </w:tcPr>
          <w:p w14:paraId="084C3BE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99" w:type="dxa"/>
            <w:tcBorders>
              <w:top w:val="single" w:color="auto" w:sz="12" w:space="0"/>
              <w:left w:val="single" w:color="auto" w:sz="4" w:space="0"/>
              <w:bottom w:val="single" w:color="auto" w:sz="4" w:space="0"/>
              <w:right w:val="single" w:color="auto" w:sz="4" w:space="0"/>
            </w:tcBorders>
            <w:noWrap w:val="0"/>
            <w:vAlign w:val="center"/>
          </w:tcPr>
          <w:p w14:paraId="59620635">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群落结构与整体效果</w:t>
            </w:r>
          </w:p>
        </w:tc>
        <w:tc>
          <w:tcPr>
            <w:tcW w:w="7318" w:type="dxa"/>
            <w:tcBorders>
              <w:top w:val="single" w:color="auto" w:sz="12" w:space="0"/>
              <w:left w:val="single" w:color="auto" w:sz="4" w:space="0"/>
              <w:bottom w:val="single" w:color="auto" w:sz="4" w:space="0"/>
              <w:right w:val="single" w:color="auto" w:sz="12" w:space="0"/>
            </w:tcBorders>
            <w:noWrap w:val="0"/>
            <w:vAlign w:val="center"/>
          </w:tcPr>
          <w:p w14:paraId="0D552141">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植物配置基本合理，积尘少，具绿化效果和一定的观赏效果。</w:t>
            </w:r>
          </w:p>
        </w:tc>
      </w:tr>
      <w:tr w14:paraId="5A6F9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6DFF4986">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3BCC0813">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06C680F8">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植物生长良好，符合物候状况，叶的颜色、形状、大小正常，树体基本正直。达标率＞85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56B0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3998B426">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085C222A">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68ED0B1D">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定时修剪，无大的干枯枝、病虫枝、过密枝，树冠匀称，观赏效果较好。孤植灌木按观赏要求养成一定形态，无明显枯枝，生长茂密，脚叶丰满具有一定的观赏效果；片植灌木：图形清晰、线条明显，无明显杂草；地被常绿，无明显枯黄叶、杂草，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417F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2A0490D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2A4C48EF">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20BA2AA3">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有地被树盘：其形状、大小基本一致，基本满盘；不攀缠植株，无明显杂草、杂物。无地被树盘：大小合适，土壤疏松；无明显杂草、杂物。达标率＞85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0BB10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7A93E3E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605F9D53">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3C164F63">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生长季节青绿，无明显枯黄现象；基本无大型杂草，目的草种纯度85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cm以下，边缘线基本清晰。达标率＞85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C01C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5AFE03D6">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3CC07601">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49EA7A33">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1617B136">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无严重病虫危害迹象；病虫为害率＜25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3A4F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1" w:type="dxa"/>
            <w:tcBorders>
              <w:top w:val="single" w:color="auto" w:sz="4" w:space="0"/>
              <w:left w:val="single" w:color="auto" w:sz="12" w:space="0"/>
              <w:bottom w:val="single" w:color="auto" w:sz="4" w:space="0"/>
              <w:right w:val="single" w:color="auto" w:sz="4" w:space="0"/>
            </w:tcBorders>
            <w:noWrap w:val="0"/>
            <w:vAlign w:val="center"/>
          </w:tcPr>
          <w:p w14:paraId="607C6D0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3435B7E6">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w:t>
            </w:r>
          </w:p>
          <w:p w14:paraId="6566205E">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覆盖率</w:t>
            </w:r>
          </w:p>
        </w:tc>
        <w:tc>
          <w:tcPr>
            <w:tcW w:w="7318" w:type="dxa"/>
            <w:tcBorders>
              <w:top w:val="single" w:color="auto" w:sz="4" w:space="0"/>
              <w:left w:val="single" w:color="auto" w:sz="4" w:space="0"/>
              <w:bottom w:val="single" w:color="auto" w:sz="4" w:space="0"/>
              <w:right w:val="single" w:color="auto" w:sz="12" w:space="0"/>
            </w:tcBorders>
            <w:noWrap w:val="0"/>
            <w:vAlign w:val="center"/>
          </w:tcPr>
          <w:p w14:paraId="4081BE5A">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72E91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761" w:type="dxa"/>
            <w:tcBorders>
              <w:top w:val="single" w:color="auto" w:sz="4" w:space="0"/>
              <w:left w:val="single" w:color="auto" w:sz="12" w:space="0"/>
              <w:bottom w:val="single" w:color="auto" w:sz="8" w:space="0"/>
              <w:right w:val="single" w:color="auto" w:sz="4" w:space="0"/>
            </w:tcBorders>
            <w:noWrap w:val="0"/>
            <w:vAlign w:val="center"/>
          </w:tcPr>
          <w:p w14:paraId="720A6094">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399" w:type="dxa"/>
            <w:tcBorders>
              <w:top w:val="single" w:color="auto" w:sz="4" w:space="0"/>
              <w:left w:val="single" w:color="auto" w:sz="4" w:space="0"/>
              <w:bottom w:val="single" w:color="auto" w:sz="8" w:space="0"/>
              <w:right w:val="single" w:color="auto" w:sz="4" w:space="0"/>
            </w:tcBorders>
            <w:noWrap w:val="0"/>
            <w:vAlign w:val="center"/>
          </w:tcPr>
          <w:p w14:paraId="1296655E">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318" w:type="dxa"/>
            <w:tcBorders>
              <w:top w:val="single" w:color="auto" w:sz="4" w:space="0"/>
              <w:left w:val="single" w:color="auto" w:sz="4" w:space="0"/>
              <w:bottom w:val="single" w:color="auto" w:sz="8" w:space="0"/>
              <w:right w:val="single" w:color="auto" w:sz="12" w:space="0"/>
            </w:tcBorders>
            <w:noWrap w:val="0"/>
            <w:vAlign w:val="center"/>
          </w:tcPr>
          <w:p w14:paraId="53434F00">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绿地设施基本完好、整洁；无死树、残桩头及陈旧堆积物；远观无明显垃圾，基本无果皮、烟头、瓜子壳、纸屑等垃圾。达标率＞85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AD69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9478" w:type="dxa"/>
            <w:gridSpan w:val="3"/>
            <w:tcBorders>
              <w:top w:val="single" w:color="auto" w:sz="8" w:space="0"/>
              <w:left w:val="single" w:color="auto" w:sz="12" w:space="0"/>
              <w:bottom w:val="single" w:color="auto" w:sz="12" w:space="0"/>
              <w:right w:val="single" w:color="auto" w:sz="12" w:space="0"/>
            </w:tcBorders>
            <w:noWrap w:val="0"/>
            <w:vAlign w:val="center"/>
          </w:tcPr>
          <w:p w14:paraId="17D4DA37">
            <w:pPr>
              <w:spacing w:line="24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04F35BAF">
      <w:pPr>
        <w:pStyle w:val="184"/>
        <w:numPr>
          <w:ilvl w:val="0"/>
          <w:numId w:val="0"/>
        </w:numPr>
        <w:spacing w:before="156"/>
        <w:ind w:leftChars="0"/>
        <w:rPr>
          <w:rFonts w:hint="eastAsia" w:asciiTheme="minorEastAsia" w:hAnsiTheme="minorEastAsia" w:eastAsiaTheme="minorEastAsia" w:cstheme="minorEastAsia"/>
          <w:color w:val="auto"/>
          <w:sz w:val="24"/>
          <w:szCs w:val="24"/>
        </w:rPr>
        <w:sectPr>
          <w:pgSz w:w="11910" w:h="16840"/>
          <w:pgMar w:top="1440" w:right="1080" w:bottom="1440" w:left="1080" w:header="720" w:footer="720" w:gutter="0"/>
          <w:pgNumType w:fmt="decimal"/>
          <w:cols w:space="720" w:num="1"/>
          <w:titlePg/>
          <w:docGrid w:linePitch="286" w:charSpace="0"/>
        </w:sectPr>
      </w:pPr>
    </w:p>
    <w:p w14:paraId="7295B7C9">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一级分车绿带养护质量要求</w:t>
      </w:r>
    </w:p>
    <w:p w14:paraId="4C16562D">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应符合表A.4的规定。</w:t>
      </w:r>
    </w:p>
    <w:p w14:paraId="5ECBABF1">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表A.4 一级分车绿带养护质量要求表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109"/>
        <w:gridCol w:w="7381"/>
      </w:tblGrid>
      <w:tr w14:paraId="41CFFC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07"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247147B8">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109" w:type="dxa"/>
            <w:tcBorders>
              <w:top w:val="single" w:color="auto" w:sz="12" w:space="0"/>
              <w:left w:val="single" w:color="auto" w:sz="2" w:space="0"/>
              <w:bottom w:val="single" w:color="auto" w:sz="12" w:space="0"/>
              <w:right w:val="single" w:color="auto" w:sz="2" w:space="0"/>
            </w:tcBorders>
            <w:noWrap w:val="0"/>
            <w:vAlign w:val="center"/>
          </w:tcPr>
          <w:p w14:paraId="2E65A05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381" w:type="dxa"/>
            <w:tcBorders>
              <w:top w:val="single" w:color="auto" w:sz="12" w:space="0"/>
              <w:left w:val="single" w:color="auto" w:sz="2" w:space="0"/>
              <w:bottom w:val="single" w:color="auto" w:sz="12" w:space="0"/>
              <w:right w:val="single" w:color="auto" w:sz="12" w:space="0"/>
            </w:tcBorders>
            <w:noWrap w:val="0"/>
            <w:vAlign w:val="center"/>
          </w:tcPr>
          <w:p w14:paraId="40882FEC">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7805E7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6BF847B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109" w:type="dxa"/>
            <w:tcBorders>
              <w:top w:val="single" w:color="auto" w:sz="12" w:space="0"/>
              <w:left w:val="single" w:color="auto" w:sz="2" w:space="0"/>
              <w:bottom w:val="single" w:color="auto" w:sz="2" w:space="0"/>
              <w:right w:val="single" w:color="auto" w:sz="2" w:space="0"/>
            </w:tcBorders>
            <w:noWrap w:val="0"/>
            <w:vAlign w:val="center"/>
          </w:tcPr>
          <w:p w14:paraId="76E381D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381" w:type="dxa"/>
            <w:tcBorders>
              <w:top w:val="single" w:color="auto" w:sz="12" w:space="0"/>
              <w:left w:val="single" w:color="auto" w:sz="2" w:space="0"/>
              <w:bottom w:val="single" w:color="auto" w:sz="2" w:space="0"/>
              <w:right w:val="single" w:color="auto" w:sz="12" w:space="0"/>
            </w:tcBorders>
            <w:noWrap w:val="0"/>
            <w:vAlign w:val="center"/>
          </w:tcPr>
          <w:p w14:paraId="6901A3B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植株生长空间与层次处理得当，基本无积尘，整体观赏效果良好。</w:t>
            </w:r>
          </w:p>
        </w:tc>
      </w:tr>
      <w:tr w14:paraId="6EB4CB5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5A2F04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73EC36C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7626A6E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植物生长良好，符合物候状况，叶的颜色、形状、大小正常，植株正直；观花植物适时开花，花色艳丽，花期基本一致。达标率＞95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0A3D36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772FEB9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01A57D0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3342573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整形片植灌木：图形清晰、优美，线条明显、流畅，无明显杂草；非整形片植灌木和草本地被按要求养成常绿、观花或观叶形态，整体基本整齐，基本无枯黄叶、杂草。达标率＞95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ECAE0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D4010C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305ACBF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73FB3FE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草坪青绿，无明显枯黄现象；无大型杂草，目的草种纯度95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以上；草坪平整，基本无起团，高度控制在8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cm以下；无明显坑洼、小洞，草坪边缘线清晰。达标率＞95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13DE46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823F0B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5A17F9D8">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w:t>
            </w:r>
          </w:p>
          <w:p w14:paraId="5C365EEA">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控制</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08F5A561">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，基本无寄生。</w:t>
            </w:r>
          </w:p>
        </w:tc>
      </w:tr>
      <w:tr w14:paraId="28140EF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B5EEC20">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109" w:type="dxa"/>
            <w:tcBorders>
              <w:top w:val="single" w:color="auto" w:sz="2" w:space="0"/>
              <w:left w:val="single" w:color="auto" w:sz="2" w:space="0"/>
              <w:bottom w:val="single" w:color="auto" w:sz="2" w:space="0"/>
              <w:right w:val="single" w:color="auto" w:sz="2" w:space="0"/>
            </w:tcBorders>
            <w:noWrap w:val="0"/>
            <w:vAlign w:val="center"/>
          </w:tcPr>
          <w:p w14:paraId="0BB3041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381" w:type="dxa"/>
            <w:tcBorders>
              <w:top w:val="single" w:color="auto" w:sz="2" w:space="0"/>
              <w:left w:val="single" w:color="auto" w:sz="2" w:space="0"/>
              <w:bottom w:val="single" w:color="auto" w:sz="2" w:space="0"/>
              <w:right w:val="single" w:color="auto" w:sz="12" w:space="0"/>
            </w:tcBorders>
            <w:noWrap w:val="0"/>
            <w:vAlign w:val="center"/>
          </w:tcPr>
          <w:p w14:paraId="0FF7D29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；花坛色块中的时花及时换种，保持常年有花。 </w:t>
            </w:r>
          </w:p>
        </w:tc>
      </w:tr>
      <w:tr w14:paraId="4973103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5"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33A4B76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109" w:type="dxa"/>
            <w:tcBorders>
              <w:top w:val="single" w:color="auto" w:sz="2" w:space="0"/>
              <w:left w:val="single" w:color="auto" w:sz="2" w:space="0"/>
              <w:bottom w:val="single" w:color="auto" w:sz="8" w:space="0"/>
              <w:right w:val="single" w:color="auto" w:sz="2" w:space="0"/>
            </w:tcBorders>
            <w:noWrap w:val="0"/>
            <w:vAlign w:val="center"/>
          </w:tcPr>
          <w:p w14:paraId="3233645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381" w:type="dxa"/>
            <w:tcBorders>
              <w:top w:val="single" w:color="auto" w:sz="2" w:space="0"/>
              <w:left w:val="single" w:color="auto" w:sz="2" w:space="0"/>
              <w:bottom w:val="single" w:color="auto" w:sz="8" w:space="0"/>
              <w:right w:val="single" w:color="auto" w:sz="12" w:space="0"/>
            </w:tcBorders>
            <w:noWrap w:val="0"/>
            <w:vAlign w:val="center"/>
          </w:tcPr>
          <w:p w14:paraId="3FBC41C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分车带的色块及草坪上无散落枝叶、泥土、堆积物；泥土面略低于路沿石，色块里无石头、砖块。达标率＞95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D00B8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66"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0FF52D2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DE4D902">
      <w:pPr>
        <w:pStyle w:val="184"/>
        <w:numPr>
          <w:ilvl w:val="0"/>
          <w:numId w:val="0"/>
        </w:numPr>
        <w:spacing w:before="156"/>
        <w:rPr>
          <w:rFonts w:hint="eastAsia" w:asciiTheme="minorEastAsia" w:hAnsiTheme="minorEastAsia" w:eastAsiaTheme="minorEastAsia" w:cstheme="minorEastAsia"/>
          <w:color w:val="auto"/>
          <w:sz w:val="24"/>
          <w:szCs w:val="24"/>
        </w:rPr>
      </w:pPr>
    </w:p>
    <w:p w14:paraId="6BFA9F27">
      <w:pPr>
        <w:pStyle w:val="178"/>
        <w:rPr>
          <w:rFonts w:hint="eastAsia" w:asciiTheme="minorEastAsia" w:hAnsiTheme="minorEastAsia" w:eastAsiaTheme="minorEastAsia" w:cstheme="minorEastAsia"/>
          <w:color w:val="auto"/>
          <w:sz w:val="24"/>
          <w:szCs w:val="24"/>
        </w:rPr>
      </w:pPr>
    </w:p>
    <w:p w14:paraId="31210D6A">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二级分车绿带养护质量要求</w:t>
      </w:r>
    </w:p>
    <w:p w14:paraId="3C11BB55">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应符合表A.5的规定。</w:t>
      </w:r>
    </w:p>
    <w:p w14:paraId="4EB747E9">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表A.5 二级分车绿带养护质量要求表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86"/>
        <w:gridCol w:w="1381"/>
        <w:gridCol w:w="7078"/>
      </w:tblGrid>
      <w:tr w14:paraId="4DEED4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8" w:hRule="atLeast"/>
        </w:trPr>
        <w:tc>
          <w:tcPr>
            <w:tcW w:w="886" w:type="dxa"/>
            <w:tcBorders>
              <w:top w:val="single" w:color="auto" w:sz="12" w:space="0"/>
              <w:left w:val="single" w:color="auto" w:sz="12" w:space="0"/>
              <w:bottom w:val="single" w:color="auto" w:sz="12" w:space="0"/>
              <w:right w:val="single" w:color="auto" w:sz="2" w:space="0"/>
            </w:tcBorders>
            <w:noWrap w:val="0"/>
            <w:vAlign w:val="center"/>
          </w:tcPr>
          <w:p w14:paraId="50556638">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81" w:type="dxa"/>
            <w:tcBorders>
              <w:top w:val="single" w:color="auto" w:sz="12" w:space="0"/>
              <w:left w:val="single" w:color="auto" w:sz="2" w:space="0"/>
              <w:bottom w:val="single" w:color="auto" w:sz="12" w:space="0"/>
              <w:right w:val="single" w:color="auto" w:sz="2" w:space="0"/>
            </w:tcBorders>
            <w:noWrap w:val="0"/>
            <w:vAlign w:val="center"/>
          </w:tcPr>
          <w:p w14:paraId="24F89F3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078" w:type="dxa"/>
            <w:tcBorders>
              <w:top w:val="single" w:color="auto" w:sz="12" w:space="0"/>
              <w:left w:val="single" w:color="auto" w:sz="2" w:space="0"/>
              <w:bottom w:val="single" w:color="auto" w:sz="12" w:space="0"/>
              <w:right w:val="single" w:color="auto" w:sz="12" w:space="0"/>
            </w:tcBorders>
            <w:noWrap w:val="0"/>
            <w:vAlign w:val="center"/>
          </w:tcPr>
          <w:p w14:paraId="319595A4">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752228E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12" w:space="0"/>
              <w:left w:val="single" w:color="auto" w:sz="12" w:space="0"/>
              <w:bottom w:val="single" w:color="auto" w:sz="2" w:space="0"/>
              <w:right w:val="single" w:color="auto" w:sz="2" w:space="0"/>
            </w:tcBorders>
            <w:noWrap w:val="0"/>
            <w:vAlign w:val="center"/>
          </w:tcPr>
          <w:p w14:paraId="38FD16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81" w:type="dxa"/>
            <w:tcBorders>
              <w:top w:val="single" w:color="auto" w:sz="12" w:space="0"/>
              <w:left w:val="single" w:color="auto" w:sz="2" w:space="0"/>
              <w:bottom w:val="single" w:color="auto" w:sz="2" w:space="0"/>
              <w:right w:val="single" w:color="auto" w:sz="2" w:space="0"/>
            </w:tcBorders>
            <w:noWrap w:val="0"/>
            <w:vAlign w:val="center"/>
          </w:tcPr>
          <w:p w14:paraId="6E2B5F3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078" w:type="dxa"/>
            <w:tcBorders>
              <w:top w:val="single" w:color="auto" w:sz="12" w:space="0"/>
              <w:left w:val="single" w:color="auto" w:sz="2" w:space="0"/>
              <w:bottom w:val="single" w:color="auto" w:sz="2" w:space="0"/>
              <w:right w:val="single" w:color="auto" w:sz="12" w:space="0"/>
            </w:tcBorders>
            <w:noWrap w:val="0"/>
            <w:vAlign w:val="center"/>
          </w:tcPr>
          <w:p w14:paraId="75F3C74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植物生长空间与层次处理得当，积尘少，整体观赏效果较好。</w:t>
            </w:r>
          </w:p>
        </w:tc>
      </w:tr>
      <w:tr w14:paraId="540CF0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409A6EE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2250D10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36C3021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植物生长较好，符合物候状况，叶的颜色、形状、大小正常，树体基本正直；观花植物适时开花，花期基本一致。达标率＞90</w:t>
            </w:r>
            <w:r>
              <w:rPr>
                <w:rFonts w:hint="eastAsia" w:asciiTheme="minorEastAsia" w:hAnsiTheme="minorEastAsia" w:eastAsiaTheme="minorEastAsia" w:cstheme="minorEastAsia"/>
                <w:color w:val="auto"/>
                <w:spacing w:val="-30"/>
                <w:sz w:val="24"/>
                <w:szCs w:val="24"/>
              </w:rPr>
              <w:t xml:space="preserve"> ％</w:t>
            </w:r>
          </w:p>
        </w:tc>
      </w:tr>
      <w:tr w14:paraId="6B1846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08472F1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1AE8665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510A390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整形片植灌木：图形清晰、美观，线条明显、流畅，无明显杂草；非整形片植灌木和草本地被按要求养成常绿、观花或观叶形态，整体基本整齐，无明显枯黄叶、杂草。达标率＞90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97757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44D655E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5D704B8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2209C1B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草坪青绿，无明显枯黄现象；无大型杂草，目的草种纯度90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以上；草坪平整，无明显起团，高度控制在8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cm以下；无明显坑洼、小洞，草坪边缘线基本清晰。达标率＞90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7BD63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371F4F3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3B74D4A7">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w:t>
            </w:r>
          </w:p>
          <w:p w14:paraId="03FA10E7">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控制</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16CFFA75">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0C4CF26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28AEE8E6">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381" w:type="dxa"/>
            <w:tcBorders>
              <w:top w:val="single" w:color="auto" w:sz="2" w:space="0"/>
              <w:left w:val="single" w:color="auto" w:sz="2" w:space="0"/>
              <w:bottom w:val="single" w:color="auto" w:sz="2" w:space="0"/>
              <w:right w:val="single" w:color="auto" w:sz="2" w:space="0"/>
            </w:tcBorders>
            <w:noWrap w:val="0"/>
            <w:vAlign w:val="center"/>
          </w:tcPr>
          <w:p w14:paraId="1D00D78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078" w:type="dxa"/>
            <w:tcBorders>
              <w:top w:val="single" w:color="auto" w:sz="2" w:space="0"/>
              <w:left w:val="single" w:color="auto" w:sz="2" w:space="0"/>
              <w:bottom w:val="single" w:color="auto" w:sz="2" w:space="0"/>
              <w:right w:val="single" w:color="auto" w:sz="12" w:space="0"/>
            </w:tcBorders>
            <w:noWrap w:val="0"/>
            <w:vAlign w:val="center"/>
          </w:tcPr>
          <w:p w14:paraId="5DD36C7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，单处明显裸露面积＜8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；花坛色块中的时花及时换种，保持常年有花。 </w:t>
            </w:r>
          </w:p>
        </w:tc>
      </w:tr>
      <w:tr w14:paraId="591395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886" w:type="dxa"/>
            <w:tcBorders>
              <w:top w:val="single" w:color="auto" w:sz="2" w:space="0"/>
              <w:left w:val="single" w:color="auto" w:sz="12" w:space="0"/>
              <w:bottom w:val="single" w:color="auto" w:sz="8" w:space="0"/>
              <w:right w:val="single" w:color="auto" w:sz="2" w:space="0"/>
            </w:tcBorders>
            <w:noWrap w:val="0"/>
            <w:vAlign w:val="center"/>
          </w:tcPr>
          <w:p w14:paraId="27BF7FC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81" w:type="dxa"/>
            <w:tcBorders>
              <w:top w:val="single" w:color="auto" w:sz="2" w:space="0"/>
              <w:left w:val="single" w:color="auto" w:sz="2" w:space="0"/>
              <w:bottom w:val="single" w:color="auto" w:sz="8" w:space="0"/>
              <w:right w:val="single" w:color="auto" w:sz="2" w:space="0"/>
            </w:tcBorders>
            <w:noWrap w:val="0"/>
            <w:vAlign w:val="center"/>
          </w:tcPr>
          <w:p w14:paraId="59F6B2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078" w:type="dxa"/>
            <w:tcBorders>
              <w:top w:val="single" w:color="auto" w:sz="2" w:space="0"/>
              <w:left w:val="single" w:color="auto" w:sz="2" w:space="0"/>
              <w:bottom w:val="single" w:color="auto" w:sz="8" w:space="0"/>
              <w:right w:val="single" w:color="auto" w:sz="12" w:space="0"/>
            </w:tcBorders>
            <w:noWrap w:val="0"/>
            <w:vAlign w:val="center"/>
          </w:tcPr>
          <w:p w14:paraId="5CBE2CB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分车带的色块、草坪上基本无散落枝叶、泥土；泥土面略低于路沿石，色块里无明显的石头、砖块。达标率＞90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ED29A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44058BE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176B419B">
      <w:pPr>
        <w:rPr>
          <w:rFonts w:hint="eastAsia" w:asciiTheme="minorEastAsia" w:hAnsiTheme="minorEastAsia" w:eastAsiaTheme="minorEastAsia" w:cstheme="minorEastAsia"/>
          <w:color w:val="auto"/>
          <w:sz w:val="24"/>
          <w:szCs w:val="24"/>
        </w:rPr>
      </w:pPr>
    </w:p>
    <w:p w14:paraId="36464F30">
      <w:pPr>
        <w:rPr>
          <w:rFonts w:hint="eastAsia" w:asciiTheme="minorEastAsia" w:hAnsiTheme="minorEastAsia" w:eastAsiaTheme="minorEastAsia" w:cstheme="minorEastAsia"/>
          <w:color w:val="auto"/>
          <w:sz w:val="24"/>
          <w:szCs w:val="24"/>
        </w:rPr>
      </w:pPr>
    </w:p>
    <w:p w14:paraId="450FCF19">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三级分车绿带养护质量要求</w:t>
      </w:r>
    </w:p>
    <w:p w14:paraId="519D2C61">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应符合表A.6的规定。</w:t>
      </w:r>
    </w:p>
    <w:p w14:paraId="27783332">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表A.6 三级分车绿带养护质量要求表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86"/>
        <w:gridCol w:w="1529"/>
        <w:gridCol w:w="6930"/>
      </w:tblGrid>
      <w:tr w14:paraId="7FC033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91" w:hRule="atLeast"/>
        </w:trPr>
        <w:tc>
          <w:tcPr>
            <w:tcW w:w="886" w:type="dxa"/>
            <w:tcBorders>
              <w:top w:val="single" w:color="auto" w:sz="12" w:space="0"/>
              <w:left w:val="single" w:color="auto" w:sz="12" w:space="0"/>
              <w:bottom w:val="single" w:color="auto" w:sz="12" w:space="0"/>
              <w:right w:val="single" w:color="auto" w:sz="2" w:space="0"/>
            </w:tcBorders>
            <w:noWrap w:val="0"/>
            <w:vAlign w:val="center"/>
          </w:tcPr>
          <w:p w14:paraId="3B9E4A7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529" w:type="dxa"/>
            <w:tcBorders>
              <w:top w:val="single" w:color="auto" w:sz="12" w:space="0"/>
              <w:left w:val="single" w:color="auto" w:sz="2" w:space="0"/>
              <w:bottom w:val="single" w:color="auto" w:sz="12" w:space="0"/>
              <w:right w:val="single" w:color="auto" w:sz="2" w:space="0"/>
            </w:tcBorders>
            <w:noWrap w:val="0"/>
            <w:vAlign w:val="center"/>
          </w:tcPr>
          <w:p w14:paraId="66887CB7">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6930" w:type="dxa"/>
            <w:tcBorders>
              <w:top w:val="single" w:color="auto" w:sz="12" w:space="0"/>
              <w:left w:val="single" w:color="auto" w:sz="2" w:space="0"/>
              <w:bottom w:val="single" w:color="auto" w:sz="12" w:space="0"/>
              <w:right w:val="single" w:color="auto" w:sz="12" w:space="0"/>
            </w:tcBorders>
            <w:noWrap w:val="0"/>
            <w:vAlign w:val="center"/>
          </w:tcPr>
          <w:p w14:paraId="0FFC11AD">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329692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12" w:space="0"/>
              <w:left w:val="single" w:color="auto" w:sz="12" w:space="0"/>
              <w:bottom w:val="single" w:color="auto" w:sz="2" w:space="0"/>
              <w:right w:val="single" w:color="auto" w:sz="2" w:space="0"/>
            </w:tcBorders>
            <w:noWrap w:val="0"/>
            <w:vAlign w:val="center"/>
          </w:tcPr>
          <w:p w14:paraId="4B7D960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529" w:type="dxa"/>
            <w:tcBorders>
              <w:top w:val="single" w:color="auto" w:sz="12" w:space="0"/>
              <w:left w:val="single" w:color="auto" w:sz="2" w:space="0"/>
              <w:bottom w:val="single" w:color="auto" w:sz="2" w:space="0"/>
              <w:right w:val="single" w:color="auto" w:sz="2" w:space="0"/>
            </w:tcBorders>
            <w:noWrap w:val="0"/>
            <w:vAlign w:val="center"/>
          </w:tcPr>
          <w:p w14:paraId="0A6A7EB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6930" w:type="dxa"/>
            <w:tcBorders>
              <w:top w:val="single" w:color="auto" w:sz="12" w:space="0"/>
              <w:left w:val="single" w:color="auto" w:sz="2" w:space="0"/>
              <w:bottom w:val="single" w:color="auto" w:sz="2" w:space="0"/>
              <w:right w:val="single" w:color="auto" w:sz="12" w:space="0"/>
            </w:tcBorders>
            <w:noWrap w:val="0"/>
            <w:vAlign w:val="center"/>
          </w:tcPr>
          <w:p w14:paraId="023DE73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植物生长空间与层次处理得当，具绿化、观赏效果。</w:t>
            </w:r>
          </w:p>
        </w:tc>
      </w:tr>
      <w:tr w14:paraId="53DA0F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7CE9A1F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430FC8C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01D62C1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植物生长正常，符合物候状况，叶的颜色、形状、大小正常，树体基本正直；观花植物适时开花。达标率＞85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BB2FE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47513B5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14B8ECB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66A3288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整形片植灌木：图形清晰，线条明显，无明显杂草；非整形片植灌木和草本地被按要求养成常绿、观花或观叶形态，整体基本整齐，无明显枯黄叶、杂草。达标率＞85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35AAA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3C8435D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20D676E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11CE376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草坪青绿，无明显枯黄现象；基本无大型杂草，目的草种纯度85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以上；草坪平整，无明显起团，高度控制在10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cm以下；无明显坑洼，草坪边缘线基本清晰。达标率＞85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670DD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4FE173A3">
            <w:pPr>
              <w:pStyle w:val="31"/>
              <w:pBdr>
                <w:bottom w:val="none" w:color="auto" w:sz="0" w:space="0"/>
              </w:pBdr>
              <w:tabs>
                <w:tab w:val="left" w:pos="420"/>
                <w:tab w:val="center" w:pos="4153"/>
                <w:tab w:val="right" w:pos="8306"/>
                <w:tab w:val="clear" w:pos="0"/>
              </w:tabs>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五</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308BF8DC">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3974440C">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19E337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2" w:space="0"/>
              <w:right w:val="single" w:color="auto" w:sz="2" w:space="0"/>
            </w:tcBorders>
            <w:noWrap w:val="0"/>
            <w:vAlign w:val="center"/>
          </w:tcPr>
          <w:p w14:paraId="09E2237A">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六</w:t>
            </w:r>
          </w:p>
        </w:tc>
        <w:tc>
          <w:tcPr>
            <w:tcW w:w="1529" w:type="dxa"/>
            <w:tcBorders>
              <w:top w:val="single" w:color="auto" w:sz="2" w:space="0"/>
              <w:left w:val="single" w:color="auto" w:sz="2" w:space="0"/>
              <w:bottom w:val="single" w:color="auto" w:sz="2" w:space="0"/>
              <w:right w:val="single" w:color="auto" w:sz="2" w:space="0"/>
            </w:tcBorders>
            <w:noWrap w:val="0"/>
            <w:vAlign w:val="center"/>
          </w:tcPr>
          <w:p w14:paraId="5F5FC4A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6930" w:type="dxa"/>
            <w:tcBorders>
              <w:top w:val="single" w:color="auto" w:sz="2" w:space="0"/>
              <w:left w:val="single" w:color="auto" w:sz="2" w:space="0"/>
              <w:bottom w:val="single" w:color="auto" w:sz="2" w:space="0"/>
              <w:right w:val="single" w:color="auto" w:sz="12" w:space="0"/>
            </w:tcBorders>
            <w:noWrap w:val="0"/>
            <w:vAlign w:val="center"/>
          </w:tcPr>
          <w:p w14:paraId="2F441A7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，单处明显裸露面积＜12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 xml:space="preserve">。 </w:t>
            </w:r>
          </w:p>
        </w:tc>
      </w:tr>
      <w:tr w14:paraId="133C9D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40" w:hRule="atLeast"/>
        </w:trPr>
        <w:tc>
          <w:tcPr>
            <w:tcW w:w="886" w:type="dxa"/>
            <w:tcBorders>
              <w:top w:val="single" w:color="auto" w:sz="2" w:space="0"/>
              <w:left w:val="single" w:color="auto" w:sz="12" w:space="0"/>
              <w:bottom w:val="single" w:color="auto" w:sz="8" w:space="0"/>
              <w:right w:val="single" w:color="auto" w:sz="2" w:space="0"/>
            </w:tcBorders>
            <w:noWrap w:val="0"/>
            <w:vAlign w:val="center"/>
          </w:tcPr>
          <w:p w14:paraId="0DF81F2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529" w:type="dxa"/>
            <w:tcBorders>
              <w:top w:val="single" w:color="auto" w:sz="2" w:space="0"/>
              <w:left w:val="single" w:color="auto" w:sz="2" w:space="0"/>
              <w:bottom w:val="single" w:color="auto" w:sz="8" w:space="0"/>
              <w:right w:val="single" w:color="auto" w:sz="2" w:space="0"/>
            </w:tcBorders>
            <w:noWrap w:val="0"/>
            <w:vAlign w:val="center"/>
          </w:tcPr>
          <w:p w14:paraId="1CE9BB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6930" w:type="dxa"/>
            <w:tcBorders>
              <w:top w:val="single" w:color="auto" w:sz="2" w:space="0"/>
              <w:left w:val="single" w:color="auto" w:sz="2" w:space="0"/>
              <w:bottom w:val="single" w:color="auto" w:sz="8" w:space="0"/>
              <w:right w:val="single" w:color="auto" w:sz="12" w:space="0"/>
            </w:tcBorders>
            <w:noWrap w:val="0"/>
            <w:vAlign w:val="center"/>
          </w:tcPr>
          <w:p w14:paraId="09ED885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分车带的色块、草坪上基本无散落枝叶、泥土；泥土面略低于路沿石，色块里无明显的石头、砖块。达标率＞85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FA1B41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2A96AB9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6E2BF6EE">
      <w:pPr>
        <w:pStyle w:val="184"/>
        <w:numPr>
          <w:ilvl w:val="0"/>
          <w:numId w:val="0"/>
        </w:numPr>
        <w:spacing w:before="156"/>
        <w:rPr>
          <w:rFonts w:hint="eastAsia" w:asciiTheme="minorEastAsia" w:hAnsiTheme="minorEastAsia" w:eastAsiaTheme="minorEastAsia" w:cstheme="minorEastAsia"/>
          <w:color w:val="auto"/>
          <w:sz w:val="24"/>
          <w:szCs w:val="24"/>
        </w:rPr>
      </w:pPr>
    </w:p>
    <w:p w14:paraId="31A88FC2">
      <w:pPr>
        <w:pStyle w:val="178"/>
        <w:rPr>
          <w:rFonts w:hint="eastAsia" w:asciiTheme="minorEastAsia" w:hAnsiTheme="minorEastAsia" w:eastAsiaTheme="minorEastAsia" w:cstheme="minorEastAsia"/>
          <w:color w:val="auto"/>
          <w:sz w:val="24"/>
          <w:szCs w:val="24"/>
        </w:rPr>
        <w:sectPr>
          <w:pgSz w:w="11910" w:h="16840"/>
          <w:pgMar w:top="1440" w:right="1080" w:bottom="1440" w:left="1080" w:header="720" w:footer="720" w:gutter="0"/>
          <w:pgNumType w:fmt="decimal"/>
          <w:cols w:space="720" w:num="1"/>
          <w:titlePg/>
          <w:docGrid w:linePitch="286" w:charSpace="0"/>
        </w:sectPr>
      </w:pPr>
    </w:p>
    <w:p w14:paraId="6B30EC0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一级行道树养护质量要求</w:t>
      </w:r>
    </w:p>
    <w:p w14:paraId="4FB1160F">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应符合表A.7的规定。</w:t>
      </w:r>
    </w:p>
    <w:p w14:paraId="2FFA5318">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表A.7 一级行道树养护质量要求表</w:t>
      </w:r>
    </w:p>
    <w:tbl>
      <w:tblPr>
        <w:tblStyle w:val="47"/>
        <w:tblW w:w="9463"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960"/>
        <w:gridCol w:w="7783"/>
      </w:tblGrid>
      <w:tr w14:paraId="61162E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1"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7A2A3FA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960" w:type="dxa"/>
            <w:tcBorders>
              <w:top w:val="single" w:color="auto" w:sz="12" w:space="0"/>
              <w:left w:val="single" w:color="auto" w:sz="2" w:space="0"/>
              <w:bottom w:val="single" w:color="auto" w:sz="12" w:space="0"/>
              <w:right w:val="single" w:color="auto" w:sz="2" w:space="0"/>
            </w:tcBorders>
            <w:noWrap w:val="0"/>
            <w:vAlign w:val="center"/>
          </w:tcPr>
          <w:p w14:paraId="281D21F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7783" w:type="dxa"/>
            <w:tcBorders>
              <w:top w:val="single" w:color="auto" w:sz="12" w:space="0"/>
              <w:left w:val="single" w:color="auto" w:sz="2" w:space="0"/>
              <w:bottom w:val="single" w:color="auto" w:sz="12" w:space="0"/>
              <w:right w:val="single" w:color="auto" w:sz="12" w:space="0"/>
            </w:tcBorders>
            <w:noWrap w:val="0"/>
            <w:vAlign w:val="center"/>
          </w:tcPr>
          <w:p w14:paraId="3353900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44FEB24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5"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669B8DB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960" w:type="dxa"/>
            <w:tcBorders>
              <w:top w:val="single" w:color="auto" w:sz="12" w:space="0"/>
              <w:left w:val="single" w:color="auto" w:sz="2" w:space="0"/>
              <w:bottom w:val="single" w:color="auto" w:sz="2" w:space="0"/>
              <w:right w:val="single" w:color="auto" w:sz="2" w:space="0"/>
            </w:tcBorders>
            <w:noWrap w:val="0"/>
            <w:vAlign w:val="center"/>
          </w:tcPr>
          <w:p w14:paraId="1DC1AFA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783" w:type="dxa"/>
            <w:tcBorders>
              <w:top w:val="single" w:color="auto" w:sz="12" w:space="0"/>
              <w:left w:val="single" w:color="auto" w:sz="2" w:space="0"/>
              <w:bottom w:val="single" w:color="auto" w:sz="2" w:space="0"/>
              <w:right w:val="single" w:color="auto" w:sz="12" w:space="0"/>
            </w:tcBorders>
            <w:noWrap w:val="0"/>
            <w:vAlign w:val="center"/>
          </w:tcPr>
          <w:p w14:paraId="0BC99B14">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同一路段的第一排行道树、分车绿带上的行道树及其间的灌木，其树型与高度基本一致，树体干净，积尘少，具有良好的整体观赏效果。</w:t>
            </w:r>
          </w:p>
        </w:tc>
      </w:tr>
      <w:tr w14:paraId="10319F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49FA7C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0481FF1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4DEB583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植物生长良好，符合物候状况，枝叶健壮；观花植物适时开花。达标率＞95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6BDC6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9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0E320AE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430C2F6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0B46892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乔灌木按设计要求修剪并保持一定形状，同路段同品种的树冠形状、大小基本一致，树型优美，线条流畅。一般乔木修剪要求维持树种特征，树冠优美，树体无病虫枝、过密枝、交叉枝、低垂枝、伤残枝，无钉挂物、缠绕物。一般孤植灌木按要求养成观花或观叶形态，树型美观，无枯枝，同一品种的物候、高度基本一致；无死树、残桩头，修剪的枝叶及时清理。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36FD7F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69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76552E0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0840D71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2390762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cm的阔叶树小乔木定干高度不应低于2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m，枝下高不应低于3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m。位于机动车车行道边的行道树定干高度不应低于2.5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2592E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64FAE4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7B472F1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01F45FE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且树穴地被生长良好，整齐规范，不缠绕树木，无明显杂草、杂物；不宜种植地被的树穴，盘面应略低于路面，定期松土、除杂；新植乔木的树穴，无明显杂草杂物，土壤疏松通透。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646525B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766343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3730C44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5A1D715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5B75761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基本无危害迹象；病虫总为害率＜10</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，其中蛀干、根部害虫、食叶性害虫＜5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875C5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570FA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960" w:type="dxa"/>
            <w:tcBorders>
              <w:top w:val="single" w:color="auto" w:sz="2" w:space="0"/>
              <w:left w:val="single" w:color="auto" w:sz="2" w:space="0"/>
              <w:bottom w:val="single" w:color="auto" w:sz="2" w:space="0"/>
              <w:right w:val="single" w:color="auto" w:sz="2" w:space="0"/>
            </w:tcBorders>
            <w:noWrap w:val="0"/>
            <w:vAlign w:val="center"/>
          </w:tcPr>
          <w:p w14:paraId="0A5E1D4C">
            <w:pPr>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783" w:type="dxa"/>
            <w:tcBorders>
              <w:top w:val="single" w:color="auto" w:sz="2" w:space="0"/>
              <w:left w:val="single" w:color="auto" w:sz="2" w:space="0"/>
              <w:bottom w:val="single" w:color="auto" w:sz="2" w:space="0"/>
              <w:right w:val="single" w:color="auto" w:sz="12" w:space="0"/>
            </w:tcBorders>
            <w:noWrap w:val="0"/>
            <w:vAlign w:val="center"/>
          </w:tcPr>
          <w:p w14:paraId="53E9DB3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对有安全隐患的行道树必须设置防护设施；防护设施稳固、完好，整齐、美观。达标率＞95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33378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55"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053607E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960" w:type="dxa"/>
            <w:tcBorders>
              <w:top w:val="single" w:color="auto" w:sz="2" w:space="0"/>
              <w:left w:val="single" w:color="auto" w:sz="2" w:space="0"/>
              <w:bottom w:val="single" w:color="auto" w:sz="8" w:space="0"/>
              <w:right w:val="single" w:color="auto" w:sz="2" w:space="0"/>
            </w:tcBorders>
            <w:noWrap w:val="0"/>
            <w:vAlign w:val="center"/>
          </w:tcPr>
          <w:p w14:paraId="426E19F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保存率与补种</w:t>
            </w:r>
          </w:p>
        </w:tc>
        <w:tc>
          <w:tcPr>
            <w:tcW w:w="7783" w:type="dxa"/>
            <w:tcBorders>
              <w:top w:val="single" w:color="auto" w:sz="2" w:space="0"/>
              <w:left w:val="single" w:color="auto" w:sz="2" w:space="0"/>
              <w:bottom w:val="single" w:color="auto" w:sz="8" w:space="0"/>
              <w:right w:val="single" w:color="auto" w:sz="12" w:space="0"/>
            </w:tcBorders>
            <w:noWrap w:val="0"/>
            <w:vAlign w:val="center"/>
          </w:tcPr>
          <w:p w14:paraId="7930FFB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第一排行道树、分车绿带上的行道树及其间的灌木无缺株；补种的乔灌木品种、规格、株距应与同路段原种植的相同；补植苗木规格：棕榈科乔木地径＞25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cm，其它乔木胸径＞7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 xml:space="preserve">cm。 </w:t>
            </w:r>
          </w:p>
        </w:tc>
      </w:tr>
      <w:tr w14:paraId="37DC7D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trPr>
        <w:tc>
          <w:tcPr>
            <w:tcW w:w="9463" w:type="dxa"/>
            <w:gridSpan w:val="3"/>
            <w:tcBorders>
              <w:top w:val="single" w:color="auto" w:sz="8" w:space="0"/>
              <w:left w:val="single" w:color="auto" w:sz="12" w:space="0"/>
              <w:bottom w:val="single" w:color="auto" w:sz="12" w:space="0"/>
              <w:right w:val="single" w:color="auto" w:sz="12" w:space="0"/>
            </w:tcBorders>
            <w:noWrap w:val="0"/>
            <w:vAlign w:val="center"/>
          </w:tcPr>
          <w:p w14:paraId="74409EF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7DB64CE8">
      <w:pPr>
        <w:pStyle w:val="178"/>
        <w:ind w:firstLine="0" w:firstLineChars="0"/>
        <w:rPr>
          <w:rFonts w:hint="eastAsia" w:asciiTheme="minorEastAsia" w:hAnsiTheme="minorEastAsia" w:eastAsiaTheme="minorEastAsia" w:cstheme="minorEastAsia"/>
          <w:color w:val="auto"/>
          <w:sz w:val="24"/>
          <w:szCs w:val="24"/>
        </w:rPr>
      </w:pPr>
    </w:p>
    <w:p w14:paraId="7584FF94">
      <w:pPr>
        <w:pStyle w:val="178"/>
        <w:ind w:firstLine="0" w:firstLineChars="0"/>
        <w:rPr>
          <w:rFonts w:hint="eastAsia" w:asciiTheme="minorEastAsia" w:hAnsiTheme="minorEastAsia" w:eastAsiaTheme="minorEastAsia" w:cstheme="minorEastAsia"/>
          <w:color w:val="auto"/>
          <w:sz w:val="24"/>
          <w:szCs w:val="24"/>
        </w:rPr>
      </w:pPr>
    </w:p>
    <w:p w14:paraId="5BB35A5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二级行道树养护质量要求</w:t>
      </w:r>
    </w:p>
    <w:p w14:paraId="63BB57FB">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应符合表A.8的规定。</w:t>
      </w:r>
    </w:p>
    <w:p w14:paraId="53D03B8E">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表A.8 二级行道树养护质量要求表</w:t>
      </w:r>
    </w:p>
    <w:tbl>
      <w:tblPr>
        <w:tblStyle w:val="47"/>
        <w:tblW w:w="0" w:type="auto"/>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35"/>
        <w:gridCol w:w="1050"/>
        <w:gridCol w:w="7560"/>
      </w:tblGrid>
      <w:tr w14:paraId="49C26B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5" w:hRule="atLeast"/>
        </w:trPr>
        <w:tc>
          <w:tcPr>
            <w:tcW w:w="735" w:type="dxa"/>
            <w:tcBorders>
              <w:top w:val="single" w:color="auto" w:sz="12" w:space="0"/>
              <w:left w:val="single" w:color="auto" w:sz="12" w:space="0"/>
              <w:bottom w:val="single" w:color="auto" w:sz="12" w:space="0"/>
              <w:right w:val="single" w:color="auto" w:sz="2" w:space="0"/>
            </w:tcBorders>
            <w:noWrap w:val="0"/>
            <w:vAlign w:val="center"/>
          </w:tcPr>
          <w:p w14:paraId="1DBBFC3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1050" w:type="dxa"/>
            <w:tcBorders>
              <w:top w:val="single" w:color="auto" w:sz="12" w:space="0"/>
              <w:left w:val="single" w:color="auto" w:sz="2" w:space="0"/>
              <w:bottom w:val="single" w:color="auto" w:sz="12" w:space="0"/>
              <w:right w:val="single" w:color="auto" w:sz="2" w:space="0"/>
            </w:tcBorders>
            <w:noWrap w:val="0"/>
            <w:vAlign w:val="center"/>
          </w:tcPr>
          <w:p w14:paraId="1ABF3F5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项目</w:t>
            </w:r>
          </w:p>
        </w:tc>
        <w:tc>
          <w:tcPr>
            <w:tcW w:w="7560" w:type="dxa"/>
            <w:tcBorders>
              <w:top w:val="single" w:color="auto" w:sz="12" w:space="0"/>
              <w:left w:val="single" w:color="auto" w:sz="2" w:space="0"/>
              <w:bottom w:val="single" w:color="auto" w:sz="12" w:space="0"/>
              <w:right w:val="single" w:color="auto" w:sz="12" w:space="0"/>
            </w:tcBorders>
            <w:noWrap w:val="0"/>
            <w:vAlign w:val="center"/>
          </w:tcPr>
          <w:p w14:paraId="1BB3548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质量要求</w:t>
            </w:r>
          </w:p>
        </w:tc>
      </w:tr>
      <w:tr w14:paraId="10DA0B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45" w:hRule="atLeast"/>
        </w:trPr>
        <w:tc>
          <w:tcPr>
            <w:tcW w:w="735" w:type="dxa"/>
            <w:tcBorders>
              <w:top w:val="single" w:color="auto" w:sz="12" w:space="0"/>
              <w:left w:val="single" w:color="auto" w:sz="12" w:space="0"/>
              <w:bottom w:val="single" w:color="auto" w:sz="2" w:space="0"/>
              <w:right w:val="single" w:color="auto" w:sz="2" w:space="0"/>
            </w:tcBorders>
            <w:noWrap w:val="0"/>
            <w:vAlign w:val="center"/>
          </w:tcPr>
          <w:p w14:paraId="75513DF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050" w:type="dxa"/>
            <w:tcBorders>
              <w:top w:val="single" w:color="auto" w:sz="12" w:space="0"/>
              <w:left w:val="single" w:color="auto" w:sz="2" w:space="0"/>
              <w:bottom w:val="single" w:color="auto" w:sz="2" w:space="0"/>
              <w:right w:val="single" w:color="auto" w:sz="2" w:space="0"/>
            </w:tcBorders>
            <w:noWrap w:val="0"/>
            <w:vAlign w:val="center"/>
          </w:tcPr>
          <w:p w14:paraId="329525A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560" w:type="dxa"/>
            <w:tcBorders>
              <w:top w:val="single" w:color="auto" w:sz="12" w:space="0"/>
              <w:left w:val="single" w:color="auto" w:sz="2" w:space="0"/>
              <w:bottom w:val="single" w:color="auto" w:sz="2" w:space="0"/>
              <w:right w:val="single" w:color="auto" w:sz="12" w:space="0"/>
            </w:tcBorders>
            <w:noWrap w:val="0"/>
            <w:vAlign w:val="center"/>
          </w:tcPr>
          <w:p w14:paraId="5BE1CCA9">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同一路段的第一排行道树、分车绿带上的行道树及其间的灌木，同品种的树型与高度基本一致；树体基本干净，无明显积尘；具有较好的整体观赏效果。</w:t>
            </w:r>
          </w:p>
        </w:tc>
      </w:tr>
      <w:tr w14:paraId="1A07F6E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71"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06881A0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51F8867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307C045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生长良好，符合物候状况，枝叶健壮，树体正直不偏斜，观花植物适时开花。达标率＞90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C92774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45"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3D5DDDD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6B30AF1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674C83B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乔灌木按要求修剪并保持一定形状，同路段同品种的树冠形状、大小基本一致，树型良好，线条流畅；一般乔木修剪要求维持树种特征，树冠匀称，分枝合理，基本无病虫枝、过密枝、交叉枝、低垂枝、伤残枝，无明显钉挂物、缠绕物；一般孤植灌木按要求养成观花或观叶形态，树型良好，无枯枝，同品种的植株高度基本一致；无死树、残桩头，修剪的枝叶及时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4FE08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45"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612D0D5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3113F32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3C5A559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cm的阔叶小乔木定干高度不应低于2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m，枝下高不应低于3m。位于机动车车行道边的行道树定干高度不应低于2.5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m。达标率＞90%。</w:t>
            </w:r>
          </w:p>
        </w:tc>
      </w:tr>
      <w:tr w14:paraId="498F6C9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6ECF7F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657A554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3949E55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且树穴地被生长良好，基本整齐，不缠绕树木，无明显杂草、杂物。不宜种植地被的树穴盘面应略低于路面，无明显杂草、杂物，新植乔木的树穴，无明显杂草杂物，土壤疏松通透。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52256A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5E3D6C8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4B0ABAB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0509C6F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2DAE521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无明显危害迹象；总的病虫为害率＜15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89307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2" w:space="0"/>
              <w:right w:val="single" w:color="auto" w:sz="2" w:space="0"/>
            </w:tcBorders>
            <w:noWrap w:val="0"/>
            <w:vAlign w:val="center"/>
          </w:tcPr>
          <w:p w14:paraId="5802A61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050" w:type="dxa"/>
            <w:tcBorders>
              <w:top w:val="single" w:color="auto" w:sz="2" w:space="0"/>
              <w:left w:val="single" w:color="auto" w:sz="2" w:space="0"/>
              <w:bottom w:val="single" w:color="auto" w:sz="2" w:space="0"/>
              <w:right w:val="single" w:color="auto" w:sz="2" w:space="0"/>
            </w:tcBorders>
            <w:noWrap w:val="0"/>
            <w:vAlign w:val="center"/>
          </w:tcPr>
          <w:p w14:paraId="6141B24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560" w:type="dxa"/>
            <w:tcBorders>
              <w:top w:val="single" w:color="auto" w:sz="2" w:space="0"/>
              <w:left w:val="single" w:color="auto" w:sz="2" w:space="0"/>
              <w:bottom w:val="single" w:color="auto" w:sz="2" w:space="0"/>
              <w:right w:val="single" w:color="auto" w:sz="12" w:space="0"/>
            </w:tcBorders>
            <w:noWrap w:val="0"/>
            <w:vAlign w:val="center"/>
          </w:tcPr>
          <w:p w14:paraId="56C569C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对有安全隐患的行道树必须设置防护设施；防护设施稳固、完好，整齐、美观。达标率＞90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400F42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20" w:hRule="atLeast"/>
        </w:trPr>
        <w:tc>
          <w:tcPr>
            <w:tcW w:w="735" w:type="dxa"/>
            <w:tcBorders>
              <w:top w:val="single" w:color="auto" w:sz="2" w:space="0"/>
              <w:left w:val="single" w:color="auto" w:sz="12" w:space="0"/>
              <w:bottom w:val="single" w:color="auto" w:sz="8" w:space="0"/>
              <w:right w:val="single" w:color="auto" w:sz="2" w:space="0"/>
            </w:tcBorders>
            <w:noWrap w:val="0"/>
            <w:vAlign w:val="center"/>
          </w:tcPr>
          <w:p w14:paraId="1DFB3530">
            <w:pPr>
              <w:pStyle w:val="186"/>
              <w:widowControl w:val="0"/>
              <w:spacing w:before="0"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八</w:t>
            </w:r>
          </w:p>
        </w:tc>
        <w:tc>
          <w:tcPr>
            <w:tcW w:w="1050" w:type="dxa"/>
            <w:tcBorders>
              <w:top w:val="single" w:color="auto" w:sz="2" w:space="0"/>
              <w:left w:val="single" w:color="auto" w:sz="2" w:space="0"/>
              <w:bottom w:val="single" w:color="auto" w:sz="8" w:space="0"/>
              <w:right w:val="single" w:color="auto" w:sz="2" w:space="0"/>
            </w:tcBorders>
            <w:noWrap w:val="0"/>
            <w:vAlign w:val="center"/>
          </w:tcPr>
          <w:p w14:paraId="5C8685C2">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保存率与补种</w:t>
            </w:r>
          </w:p>
        </w:tc>
        <w:tc>
          <w:tcPr>
            <w:tcW w:w="7560" w:type="dxa"/>
            <w:tcBorders>
              <w:top w:val="single" w:color="auto" w:sz="2" w:space="0"/>
              <w:left w:val="single" w:color="auto" w:sz="2" w:space="0"/>
              <w:bottom w:val="single" w:color="auto" w:sz="8" w:space="0"/>
              <w:right w:val="single" w:color="auto" w:sz="12" w:space="0"/>
            </w:tcBorders>
            <w:noWrap w:val="0"/>
            <w:vAlign w:val="center"/>
          </w:tcPr>
          <w:p w14:paraId="245E605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第一排行道树以及分车绿带上的行道树基本无缺株，缺株率＜1</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；其它乔灌木缺株率＜3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；补种的乔灌木品种、规格、株距应与同路段原种植的相同；补植苗木规格：棕榈科乔木地径＞20㎝，其它乔木胸径＞6㎝。</w:t>
            </w:r>
          </w:p>
        </w:tc>
      </w:tr>
      <w:tr w14:paraId="78085C3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4853F16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47874D1F">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三级行道树养护质量要求</w:t>
      </w:r>
    </w:p>
    <w:p w14:paraId="3D62BFF8">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应符合表A.9的规定。</w:t>
      </w:r>
    </w:p>
    <w:p w14:paraId="2C33D766">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表A.9  三级行道树养护质量要求表</w:t>
      </w:r>
    </w:p>
    <w:tbl>
      <w:tblPr>
        <w:tblStyle w:val="47"/>
        <w:tblW w:w="0" w:type="auto"/>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04"/>
        <w:gridCol w:w="976"/>
        <w:gridCol w:w="7665"/>
      </w:tblGrid>
      <w:tr w14:paraId="6473C32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690" w:hRule="atLeast"/>
        </w:trPr>
        <w:tc>
          <w:tcPr>
            <w:tcW w:w="704" w:type="dxa"/>
            <w:tcBorders>
              <w:top w:val="single" w:color="auto" w:sz="12" w:space="0"/>
              <w:left w:val="single" w:color="auto" w:sz="12" w:space="0"/>
              <w:bottom w:val="single" w:color="auto" w:sz="12" w:space="0"/>
              <w:right w:val="single" w:color="auto" w:sz="2" w:space="0"/>
            </w:tcBorders>
            <w:noWrap w:val="0"/>
            <w:vAlign w:val="center"/>
          </w:tcPr>
          <w:p w14:paraId="047483D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序号</w:t>
            </w:r>
          </w:p>
        </w:tc>
        <w:tc>
          <w:tcPr>
            <w:tcW w:w="976" w:type="dxa"/>
            <w:tcBorders>
              <w:top w:val="single" w:color="auto" w:sz="12" w:space="0"/>
              <w:left w:val="single" w:color="auto" w:sz="2" w:space="0"/>
              <w:bottom w:val="single" w:color="auto" w:sz="12" w:space="0"/>
              <w:right w:val="single" w:color="auto" w:sz="2" w:space="0"/>
            </w:tcBorders>
            <w:noWrap w:val="0"/>
            <w:vAlign w:val="center"/>
          </w:tcPr>
          <w:p w14:paraId="31D11DF8">
            <w:pPr>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b/>
                <w:bCs/>
                <w:color w:val="auto"/>
                <w:sz w:val="24"/>
                <w:szCs w:val="24"/>
              </w:rPr>
              <w:t>项目</w:t>
            </w:r>
          </w:p>
        </w:tc>
        <w:tc>
          <w:tcPr>
            <w:tcW w:w="7665" w:type="dxa"/>
            <w:tcBorders>
              <w:top w:val="single" w:color="auto" w:sz="12" w:space="0"/>
              <w:left w:val="single" w:color="auto" w:sz="2" w:space="0"/>
              <w:bottom w:val="single" w:color="auto" w:sz="12" w:space="0"/>
              <w:right w:val="single" w:color="auto" w:sz="12" w:space="0"/>
            </w:tcBorders>
            <w:noWrap w:val="0"/>
            <w:vAlign w:val="center"/>
          </w:tcPr>
          <w:p w14:paraId="23AD3D79">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sz w:val="24"/>
                <w:szCs w:val="24"/>
              </w:rPr>
              <w:t>质量要求</w:t>
            </w:r>
          </w:p>
        </w:tc>
      </w:tr>
      <w:tr w14:paraId="0936EF4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12" w:space="0"/>
              <w:left w:val="single" w:color="auto" w:sz="12" w:space="0"/>
              <w:bottom w:val="single" w:color="auto" w:sz="2" w:space="0"/>
              <w:right w:val="single" w:color="auto" w:sz="2" w:space="0"/>
            </w:tcBorders>
            <w:noWrap w:val="0"/>
            <w:vAlign w:val="center"/>
          </w:tcPr>
          <w:p w14:paraId="5270130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976" w:type="dxa"/>
            <w:tcBorders>
              <w:top w:val="single" w:color="auto" w:sz="12" w:space="0"/>
              <w:left w:val="single" w:color="auto" w:sz="2" w:space="0"/>
              <w:bottom w:val="single" w:color="auto" w:sz="2" w:space="0"/>
              <w:right w:val="single" w:color="auto" w:sz="2" w:space="0"/>
            </w:tcBorders>
            <w:noWrap w:val="0"/>
            <w:vAlign w:val="center"/>
          </w:tcPr>
          <w:p w14:paraId="56C8DE2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665" w:type="dxa"/>
            <w:tcBorders>
              <w:top w:val="single" w:color="auto" w:sz="12" w:space="0"/>
              <w:left w:val="single" w:color="auto" w:sz="2" w:space="0"/>
              <w:bottom w:val="single" w:color="auto" w:sz="2" w:space="0"/>
              <w:right w:val="single" w:color="auto" w:sz="12" w:space="0"/>
            </w:tcBorders>
            <w:noWrap w:val="0"/>
            <w:vAlign w:val="center"/>
          </w:tcPr>
          <w:p w14:paraId="69586987">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同路段同品种第一排行道的树型与高度基本一致，具有绿化效果和一定的观赏效果。</w:t>
            </w:r>
          </w:p>
        </w:tc>
      </w:tr>
      <w:tr w14:paraId="5D49A01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21A92E1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6AB5C18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4AED4CD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生长良好，符合物候状况，枝叶健壮，树体正直不偏斜。达标率＞85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5B4AC6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3421D23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0A5965C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33CA3EB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修剪能保持树种本来特征，树冠匀称，分枝合理，无明显病虫枝、过密枝、交叉枝、低垂枝、干枯枝、伤残枝，无明显钉挂物、缠绕物；无死树、残桩头，修剪的枝叶及时清理。达标率＞85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D1330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23C30A1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3F790E3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定干高度</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4F188EB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树木的定干高度和枝下高不能影响车辆行驶及行人安全。位于人行道和非机动车车行道边的行道树，胸径在5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cm～9</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cm的阔叶树小乔木定干高度不低于2</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m；其它乔木的定干高度不低于2.5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m，枝下高不低于3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m。位于机动车车行道边的行道树定干高度不低于2.5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m，伸出车行道路上方的枝条距离路面高度不应低于4.5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FFF812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80"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76893BB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5333306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3B3313B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穴有条件的应满植地被，并要求树穴地被生地被长良好，基本整齐，不缠绕树木，无明显杂草、杂物。不宜种植的树穴盘面应略低于路面，无明显杂草、杂物，新植乔木的树穴，无明显杂草杂物，且土壤应疏松通透。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1AB8AD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79"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0547C62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4DA111A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46D1CD2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128CFDE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无严重病虫危害迹象；病虫为害率＜25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6EB66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9" w:hRule="atLeast"/>
        </w:trPr>
        <w:tc>
          <w:tcPr>
            <w:tcW w:w="704" w:type="dxa"/>
            <w:tcBorders>
              <w:top w:val="single" w:color="auto" w:sz="2" w:space="0"/>
              <w:left w:val="single" w:color="auto" w:sz="12" w:space="0"/>
              <w:bottom w:val="single" w:color="auto" w:sz="2" w:space="0"/>
              <w:right w:val="single" w:color="auto" w:sz="2" w:space="0"/>
            </w:tcBorders>
            <w:noWrap w:val="0"/>
            <w:vAlign w:val="center"/>
          </w:tcPr>
          <w:p w14:paraId="38122C1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976" w:type="dxa"/>
            <w:tcBorders>
              <w:top w:val="single" w:color="auto" w:sz="2" w:space="0"/>
              <w:left w:val="single" w:color="auto" w:sz="2" w:space="0"/>
              <w:bottom w:val="single" w:color="auto" w:sz="2" w:space="0"/>
              <w:right w:val="single" w:color="auto" w:sz="2" w:space="0"/>
            </w:tcBorders>
            <w:noWrap w:val="0"/>
            <w:vAlign w:val="center"/>
          </w:tcPr>
          <w:p w14:paraId="36842B2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665" w:type="dxa"/>
            <w:tcBorders>
              <w:top w:val="single" w:color="auto" w:sz="2" w:space="0"/>
              <w:left w:val="single" w:color="auto" w:sz="2" w:space="0"/>
              <w:bottom w:val="single" w:color="auto" w:sz="2" w:space="0"/>
              <w:right w:val="single" w:color="auto" w:sz="12" w:space="0"/>
            </w:tcBorders>
            <w:noWrap w:val="0"/>
            <w:vAlign w:val="center"/>
          </w:tcPr>
          <w:p w14:paraId="0D4AEEC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对有安全隐患的行道树必须设置防护设施；防护设施稳固、完好。达标率＞90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EF3C8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80" w:hRule="atLeast"/>
        </w:trPr>
        <w:tc>
          <w:tcPr>
            <w:tcW w:w="704" w:type="dxa"/>
            <w:tcBorders>
              <w:top w:val="single" w:color="auto" w:sz="2" w:space="0"/>
              <w:left w:val="single" w:color="auto" w:sz="12" w:space="0"/>
              <w:bottom w:val="single" w:color="auto" w:sz="8" w:space="0"/>
              <w:right w:val="single" w:color="auto" w:sz="2" w:space="0"/>
            </w:tcBorders>
            <w:noWrap w:val="0"/>
            <w:vAlign w:val="center"/>
          </w:tcPr>
          <w:p w14:paraId="1CAEBD5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976" w:type="dxa"/>
            <w:tcBorders>
              <w:top w:val="single" w:color="auto" w:sz="2" w:space="0"/>
              <w:left w:val="single" w:color="auto" w:sz="2" w:space="0"/>
              <w:bottom w:val="single" w:color="auto" w:sz="8" w:space="0"/>
              <w:right w:val="single" w:color="auto" w:sz="2" w:space="0"/>
            </w:tcBorders>
            <w:noWrap w:val="0"/>
            <w:vAlign w:val="center"/>
          </w:tcPr>
          <w:p w14:paraId="2E5BC91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保存率与补种</w:t>
            </w:r>
          </w:p>
        </w:tc>
        <w:tc>
          <w:tcPr>
            <w:tcW w:w="7665" w:type="dxa"/>
            <w:tcBorders>
              <w:top w:val="single" w:color="auto" w:sz="2" w:space="0"/>
              <w:left w:val="single" w:color="auto" w:sz="2" w:space="0"/>
              <w:bottom w:val="single" w:color="auto" w:sz="8" w:space="0"/>
              <w:right w:val="single" w:color="auto" w:sz="12" w:space="0"/>
            </w:tcBorders>
            <w:noWrap w:val="0"/>
            <w:vAlign w:val="center"/>
          </w:tcPr>
          <w:p w14:paraId="53F5B69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人行道第一排行道树基本无缺株，人行道第一排行道树缺株率＜5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；补植的乔木品种、规格、株距应与同路段原种植的基本相同；补植苗木规格：棕榈科乔木地径＞20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cm，其它乔木胸径＞5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w:t>
            </w:r>
          </w:p>
        </w:tc>
      </w:tr>
      <w:tr w14:paraId="734806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338E9F1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5F3D17BE">
      <w:pPr>
        <w:pStyle w:val="184"/>
        <w:numPr>
          <w:ilvl w:val="0"/>
          <w:numId w:val="0"/>
        </w:numPr>
        <w:spacing w:before="156"/>
        <w:ind w:leftChars="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456C2404">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一级花坛养护质量要求</w:t>
      </w:r>
    </w:p>
    <w:p w14:paraId="4ACB8054">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应符合表A.10的规定。</w:t>
      </w:r>
    </w:p>
    <w:p w14:paraId="22A31344">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表A.10一级花坛养护质量要求表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361"/>
        <w:gridCol w:w="7129"/>
      </w:tblGrid>
      <w:tr w14:paraId="0A1B72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6"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5F89F2A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61" w:type="dxa"/>
            <w:tcBorders>
              <w:top w:val="single" w:color="auto" w:sz="12" w:space="0"/>
              <w:left w:val="single" w:color="auto" w:sz="2" w:space="0"/>
              <w:bottom w:val="single" w:color="auto" w:sz="12" w:space="0"/>
              <w:right w:val="single" w:color="auto" w:sz="2" w:space="0"/>
            </w:tcBorders>
            <w:noWrap w:val="0"/>
            <w:vAlign w:val="center"/>
          </w:tcPr>
          <w:p w14:paraId="60F7DE4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129" w:type="dxa"/>
            <w:tcBorders>
              <w:top w:val="single" w:color="auto" w:sz="12" w:space="0"/>
              <w:left w:val="single" w:color="auto" w:sz="2" w:space="0"/>
              <w:bottom w:val="single" w:color="auto" w:sz="12" w:space="0"/>
              <w:right w:val="single" w:color="auto" w:sz="12" w:space="0"/>
            </w:tcBorders>
            <w:noWrap w:val="0"/>
            <w:vAlign w:val="center"/>
          </w:tcPr>
          <w:p w14:paraId="36CF6B98">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15003E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7"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3B958A3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61" w:type="dxa"/>
            <w:tcBorders>
              <w:top w:val="single" w:color="auto" w:sz="12" w:space="0"/>
              <w:left w:val="single" w:color="auto" w:sz="2" w:space="0"/>
              <w:bottom w:val="single" w:color="auto" w:sz="2" w:space="0"/>
              <w:right w:val="single" w:color="auto" w:sz="2" w:space="0"/>
            </w:tcBorders>
            <w:noWrap w:val="0"/>
            <w:vAlign w:val="center"/>
          </w:tcPr>
          <w:p w14:paraId="2D71D66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29" w:type="dxa"/>
            <w:tcBorders>
              <w:top w:val="single" w:color="auto" w:sz="12" w:space="0"/>
              <w:left w:val="single" w:color="auto" w:sz="2" w:space="0"/>
              <w:bottom w:val="single" w:color="auto" w:sz="2" w:space="0"/>
              <w:right w:val="single" w:color="auto" w:sz="12" w:space="0"/>
            </w:tcBorders>
            <w:noWrap w:val="0"/>
            <w:vAlign w:val="center"/>
          </w:tcPr>
          <w:p w14:paraId="4FA9404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花坛布置主题鲜明，花卉、饰物、设施、环境等配置相互协调；色彩搭配层次处理得当，色块分界明显，线条流畅，同一色块顶面高度保持一致，整体观赏效果优良。</w:t>
            </w:r>
          </w:p>
        </w:tc>
      </w:tr>
      <w:tr w14:paraId="298CB4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14"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5E89685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00B34AB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花卉生长</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24BF385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植株健壮，叶的形状、大小、色泽正常，开花整齐、应时，花型正，花色艳，花期达至规定要求。达标率＞95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B5E4D6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5B07DD9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9EE051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550B2D4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无残花、枯枝、黄叶，无杂草，无倒伏现象，花坛同一色块顶面高度保持一致，保持良好的观赏效果。达标率＞95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8DDC36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F6270AE">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四</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56781E5B">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313D4D7A">
            <w:pPr>
              <w:pStyle w:val="186"/>
              <w:widowControl w:val="0"/>
              <w:spacing w:line="240" w:lineRule="auto"/>
              <w:ind w:firstLine="480" w:firstLineChars="20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1B00A4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62"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6EAD9F10">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五</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03BFEBA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4D48DE7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更换</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020E6622">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花坛应黄土裸露、缺株和萎蔫现象。存在黄土裸露、缺株和萎蔫现象时应及时补种和更换。更换时边缘土面低于花坛边缘石顶5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cm，同一色块的顶面保持一致。达标率＞98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691399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1BD806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DFE9AD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560E84A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设施稳固、整洁、完好，与花坛协调美观。饰物和雕塑等应安全、美观。</w:t>
            </w:r>
          </w:p>
        </w:tc>
      </w:tr>
      <w:tr w14:paraId="101BEB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9"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192A8FF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61" w:type="dxa"/>
            <w:tcBorders>
              <w:top w:val="single" w:color="auto" w:sz="2" w:space="0"/>
              <w:left w:val="single" w:color="auto" w:sz="2" w:space="0"/>
              <w:bottom w:val="single" w:color="auto" w:sz="8" w:space="0"/>
              <w:right w:val="single" w:color="auto" w:sz="2" w:space="0"/>
            </w:tcBorders>
            <w:noWrap w:val="0"/>
            <w:vAlign w:val="center"/>
          </w:tcPr>
          <w:p w14:paraId="48626A4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29" w:type="dxa"/>
            <w:tcBorders>
              <w:top w:val="single" w:color="auto" w:sz="2" w:space="0"/>
              <w:left w:val="single" w:color="auto" w:sz="2" w:space="0"/>
              <w:bottom w:val="single" w:color="auto" w:sz="8" w:space="0"/>
              <w:right w:val="single" w:color="auto" w:sz="12" w:space="0"/>
            </w:tcBorders>
            <w:noWrap w:val="0"/>
            <w:vAlign w:val="center"/>
          </w:tcPr>
          <w:p w14:paraId="6506350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无垃圾，无泥土散落、污染道路和周围环境现象；假花、饰物无散落现象。达标率＞98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64CBB2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26"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00C0891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7B933780">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22A39637">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二级花坛养护质量要求</w:t>
      </w:r>
    </w:p>
    <w:p w14:paraId="1D4328D8">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应符合表A.11的规定。</w:t>
      </w:r>
    </w:p>
    <w:p w14:paraId="4955CFA9">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表A.11 二级花坛养护质量要求表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5"/>
        <w:gridCol w:w="1361"/>
        <w:gridCol w:w="7129"/>
      </w:tblGrid>
      <w:tr w14:paraId="60B9744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6" w:hRule="atLeast"/>
        </w:trPr>
        <w:tc>
          <w:tcPr>
            <w:tcW w:w="855" w:type="dxa"/>
            <w:tcBorders>
              <w:top w:val="single" w:color="auto" w:sz="12" w:space="0"/>
              <w:left w:val="single" w:color="auto" w:sz="12" w:space="0"/>
              <w:bottom w:val="single" w:color="auto" w:sz="12" w:space="0"/>
              <w:right w:val="single" w:color="auto" w:sz="2" w:space="0"/>
            </w:tcBorders>
            <w:noWrap w:val="0"/>
            <w:vAlign w:val="center"/>
          </w:tcPr>
          <w:p w14:paraId="71F1B8C4">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361" w:type="dxa"/>
            <w:tcBorders>
              <w:top w:val="single" w:color="auto" w:sz="12" w:space="0"/>
              <w:left w:val="single" w:color="auto" w:sz="2" w:space="0"/>
              <w:bottom w:val="single" w:color="auto" w:sz="12" w:space="0"/>
              <w:right w:val="single" w:color="auto" w:sz="2" w:space="0"/>
            </w:tcBorders>
            <w:noWrap w:val="0"/>
            <w:vAlign w:val="center"/>
          </w:tcPr>
          <w:p w14:paraId="7ACACF3D">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w:t>
            </w:r>
          </w:p>
        </w:tc>
        <w:tc>
          <w:tcPr>
            <w:tcW w:w="7129" w:type="dxa"/>
            <w:tcBorders>
              <w:top w:val="single" w:color="auto" w:sz="12" w:space="0"/>
              <w:left w:val="single" w:color="auto" w:sz="2" w:space="0"/>
              <w:bottom w:val="single" w:color="auto" w:sz="12" w:space="0"/>
              <w:right w:val="single" w:color="auto" w:sz="12" w:space="0"/>
            </w:tcBorders>
            <w:noWrap w:val="0"/>
            <w:vAlign w:val="center"/>
          </w:tcPr>
          <w:p w14:paraId="3F43BBCF">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质量要求</w:t>
            </w:r>
          </w:p>
        </w:tc>
      </w:tr>
      <w:tr w14:paraId="65C1F9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56" w:hRule="atLeast"/>
        </w:trPr>
        <w:tc>
          <w:tcPr>
            <w:tcW w:w="855" w:type="dxa"/>
            <w:tcBorders>
              <w:top w:val="single" w:color="auto" w:sz="12" w:space="0"/>
              <w:left w:val="single" w:color="auto" w:sz="12" w:space="0"/>
              <w:bottom w:val="single" w:color="auto" w:sz="2" w:space="0"/>
              <w:right w:val="single" w:color="auto" w:sz="2" w:space="0"/>
            </w:tcBorders>
            <w:noWrap w:val="0"/>
            <w:vAlign w:val="center"/>
          </w:tcPr>
          <w:p w14:paraId="4569EE1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361" w:type="dxa"/>
            <w:tcBorders>
              <w:top w:val="single" w:color="auto" w:sz="12" w:space="0"/>
              <w:left w:val="single" w:color="auto" w:sz="2" w:space="0"/>
              <w:bottom w:val="single" w:color="auto" w:sz="2" w:space="0"/>
              <w:right w:val="single" w:color="auto" w:sz="2" w:space="0"/>
            </w:tcBorders>
            <w:noWrap w:val="0"/>
            <w:vAlign w:val="center"/>
          </w:tcPr>
          <w:p w14:paraId="1706183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29" w:type="dxa"/>
            <w:tcBorders>
              <w:top w:val="single" w:color="auto" w:sz="12" w:space="0"/>
              <w:left w:val="single" w:color="auto" w:sz="2" w:space="0"/>
              <w:bottom w:val="single" w:color="auto" w:sz="2" w:space="0"/>
              <w:right w:val="single" w:color="auto" w:sz="12" w:space="0"/>
            </w:tcBorders>
            <w:noWrap w:val="0"/>
            <w:vAlign w:val="center"/>
          </w:tcPr>
          <w:p w14:paraId="76AA8685">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花卉、饰物、设施、环境等配置相互协调，花坛花卉色彩搭配与层次处理得当，色块分界明显，线条流畅，同一色块顶面高度保持一致，整体观赏效果良好。</w:t>
            </w:r>
          </w:p>
        </w:tc>
      </w:tr>
      <w:tr w14:paraId="37661E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3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1280CE3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173F8AE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64B5276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植株健壮，叶的形状、大小、色泽正常，开花整齐、应时，花型正，花色艳，花期达至规定要求。达标率＞90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C94471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7"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0FEB8F7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243F75F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0CC4A24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无残花、枯枝、黄叶，基本无杂草，无倒伏现象，保持花坛同一色块顶面高度一致，保持良好的观赏效果。达标率＞90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13E8B4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8"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202DAB56">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四</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3E0D4EE5">
            <w:pPr>
              <w:pStyle w:val="186"/>
              <w:widowControl w:val="0"/>
              <w:spacing w:line="240" w:lineRule="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病虫害控制</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2B32DB9D">
            <w:pPr>
              <w:pStyle w:val="186"/>
              <w:widowControl w:val="0"/>
              <w:spacing w:line="240" w:lineRule="auto"/>
              <w:ind w:firstLine="360" w:firstLineChars="150"/>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无明显危害迹象；总的病虫为害率＜10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kern w:val="2"/>
                <w:sz w:val="24"/>
                <w:szCs w:val="24"/>
              </w:rPr>
              <w:t>。</w:t>
            </w:r>
          </w:p>
        </w:tc>
      </w:tr>
      <w:tr w14:paraId="1C8C17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23"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4ACE7A31">
            <w:pPr>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五</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09B5AA4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6E40F88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更换</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6EB4E6FC">
            <w:pPr>
              <w:ind w:firstLine="360" w:firstLineChars="1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花坛应无黄土裸露、缺株和萎蔫现象。存在黄土裸露、缺株和萎蔫现象时应及时补种和更换；更换时边缘土面低于花坛边缘石顶5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cm～7</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cm，同一色块的顶面保持一致。达标率＞95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 xml:space="preserve">。 </w:t>
            </w:r>
          </w:p>
        </w:tc>
      </w:tr>
      <w:tr w14:paraId="599A8DE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3" w:hRule="atLeast"/>
        </w:trPr>
        <w:tc>
          <w:tcPr>
            <w:tcW w:w="855" w:type="dxa"/>
            <w:tcBorders>
              <w:top w:val="single" w:color="auto" w:sz="2" w:space="0"/>
              <w:left w:val="single" w:color="auto" w:sz="12" w:space="0"/>
              <w:bottom w:val="single" w:color="auto" w:sz="2" w:space="0"/>
              <w:right w:val="single" w:color="auto" w:sz="2" w:space="0"/>
            </w:tcBorders>
            <w:noWrap w:val="0"/>
            <w:vAlign w:val="center"/>
          </w:tcPr>
          <w:p w14:paraId="7A9AA9C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361" w:type="dxa"/>
            <w:tcBorders>
              <w:top w:val="single" w:color="auto" w:sz="2" w:space="0"/>
              <w:left w:val="single" w:color="auto" w:sz="2" w:space="0"/>
              <w:bottom w:val="single" w:color="auto" w:sz="2" w:space="0"/>
              <w:right w:val="single" w:color="auto" w:sz="2" w:space="0"/>
            </w:tcBorders>
            <w:noWrap w:val="0"/>
            <w:vAlign w:val="center"/>
          </w:tcPr>
          <w:p w14:paraId="6F4A5AA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防护设施</w:t>
            </w:r>
          </w:p>
        </w:tc>
        <w:tc>
          <w:tcPr>
            <w:tcW w:w="7129" w:type="dxa"/>
            <w:tcBorders>
              <w:top w:val="single" w:color="auto" w:sz="2" w:space="0"/>
              <w:left w:val="single" w:color="auto" w:sz="2" w:space="0"/>
              <w:bottom w:val="single" w:color="auto" w:sz="2" w:space="0"/>
              <w:right w:val="single" w:color="auto" w:sz="12" w:space="0"/>
            </w:tcBorders>
            <w:noWrap w:val="0"/>
            <w:vAlign w:val="center"/>
          </w:tcPr>
          <w:p w14:paraId="52500273">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设施稳固、整洁、完好，与花坛协调美观；饰物和雕塑等应安全、美观。达标率＞90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6587F7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3" w:hRule="atLeast"/>
        </w:trPr>
        <w:tc>
          <w:tcPr>
            <w:tcW w:w="855" w:type="dxa"/>
            <w:tcBorders>
              <w:top w:val="single" w:color="auto" w:sz="2" w:space="0"/>
              <w:left w:val="single" w:color="auto" w:sz="12" w:space="0"/>
              <w:bottom w:val="single" w:color="auto" w:sz="8" w:space="0"/>
              <w:right w:val="single" w:color="auto" w:sz="2" w:space="0"/>
            </w:tcBorders>
            <w:noWrap w:val="0"/>
            <w:vAlign w:val="center"/>
          </w:tcPr>
          <w:p w14:paraId="593FF12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361" w:type="dxa"/>
            <w:tcBorders>
              <w:top w:val="single" w:color="auto" w:sz="2" w:space="0"/>
              <w:left w:val="single" w:color="auto" w:sz="2" w:space="0"/>
              <w:bottom w:val="single" w:color="auto" w:sz="8" w:space="0"/>
              <w:right w:val="single" w:color="auto" w:sz="2" w:space="0"/>
            </w:tcBorders>
            <w:noWrap w:val="0"/>
            <w:vAlign w:val="center"/>
          </w:tcPr>
          <w:p w14:paraId="012F39D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29" w:type="dxa"/>
            <w:tcBorders>
              <w:top w:val="single" w:color="auto" w:sz="2" w:space="0"/>
              <w:left w:val="single" w:color="auto" w:sz="2" w:space="0"/>
              <w:bottom w:val="single" w:color="auto" w:sz="8" w:space="0"/>
              <w:right w:val="single" w:color="auto" w:sz="12" w:space="0"/>
            </w:tcBorders>
            <w:noWrap w:val="0"/>
            <w:vAlign w:val="center"/>
          </w:tcPr>
          <w:p w14:paraId="760713A8">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无垃圾，无泥土散落、弄脏道路及周围环境现象；假花无散落现象；设施完好、整洁、美观。达标率＞95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2F8A4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78DF805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3B796CA8">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41F62ECD">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特级护坡养护质量要求</w:t>
      </w:r>
    </w:p>
    <w:p w14:paraId="505FA339">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应符合表A.12的规定。</w:t>
      </w:r>
    </w:p>
    <w:p w14:paraId="5C77EC46">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表A.12 特级护坡养护质量要求表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440"/>
        <w:gridCol w:w="7154"/>
      </w:tblGrid>
      <w:tr w14:paraId="4A8B42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3" w:hRule="atLeast"/>
        </w:trPr>
        <w:tc>
          <w:tcPr>
            <w:tcW w:w="751" w:type="dxa"/>
            <w:tcBorders>
              <w:top w:val="single" w:color="auto" w:sz="12" w:space="0"/>
              <w:left w:val="single" w:color="auto" w:sz="12" w:space="0"/>
              <w:bottom w:val="single" w:color="auto" w:sz="12" w:space="0"/>
              <w:right w:val="single" w:color="auto" w:sz="2" w:space="0"/>
            </w:tcBorders>
            <w:noWrap w:val="0"/>
            <w:vAlign w:val="center"/>
          </w:tcPr>
          <w:p w14:paraId="605873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16F6E56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2" w:space="0"/>
              <w:bottom w:val="single" w:color="auto" w:sz="12" w:space="0"/>
              <w:right w:val="single" w:color="auto" w:sz="12" w:space="0"/>
            </w:tcBorders>
            <w:noWrap w:val="0"/>
            <w:vAlign w:val="center"/>
          </w:tcPr>
          <w:p w14:paraId="449F249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2020E9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751" w:type="dxa"/>
            <w:tcBorders>
              <w:top w:val="single" w:color="auto" w:sz="12" w:space="0"/>
              <w:left w:val="single" w:color="auto" w:sz="12" w:space="0"/>
              <w:bottom w:val="single" w:color="auto" w:sz="2" w:space="0"/>
              <w:right w:val="single" w:color="auto" w:sz="2" w:space="0"/>
            </w:tcBorders>
            <w:noWrap w:val="0"/>
            <w:vAlign w:val="center"/>
          </w:tcPr>
          <w:p w14:paraId="7C8C57E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62FA1B2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54" w:type="dxa"/>
            <w:tcBorders>
              <w:top w:val="single" w:color="auto" w:sz="12" w:space="0"/>
              <w:left w:val="single" w:color="auto" w:sz="2" w:space="0"/>
              <w:bottom w:val="single" w:color="auto" w:sz="2" w:space="0"/>
              <w:right w:val="single" w:color="auto" w:sz="12" w:space="0"/>
            </w:tcBorders>
            <w:noWrap w:val="0"/>
            <w:vAlign w:val="center"/>
          </w:tcPr>
          <w:p w14:paraId="5B30FC8B">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植物配置合理，具景观特色和固土护坡作用，整体观赏效果优良。</w:t>
            </w:r>
          </w:p>
        </w:tc>
      </w:tr>
      <w:tr w14:paraId="0564AC0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316AA17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EE5C18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29E7A4B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植物生长良好，符合物候状况；叶的颜色、形状、大小正常，树体自然；观花植物适时开花，花期基本一致。达标率＞95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1594C7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558"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31FB347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A1D484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6E1E6D6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树形良好。整型孤植乔灌木：按要求养成并维持一定形态，形态美观。整形的片植灌木和草本植物：图形优美，边线清晰、流畅。一般片植灌木和草本地被按要求养成常绿、观花或观叶形态，整体基本整齐，无明显的枯黄叶、杂草。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BA460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5E83D28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1CB270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0C2928F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小乔木与孤植灌木应做树盘，树盘土壤疏松、大小基本一致，无明显的杂草、杂物。达标率＞95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19B6FB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5"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CE0BA0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24BAE4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6F01434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草坪青绿；无大型杂草和异型杂草；草坪基本平整，高度控制在10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BB5843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97"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120E1A7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4E8DE7E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F05E7B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基本无危害迹象；病虫总为害率＜15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，其中蛀干、根部害虫＜5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，食叶性害虫＜10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，刺吸性害虫＜15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，病害感染率＜10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，寄生＜5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39F2AC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F31212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5C858F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158990F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及时补种与改造，黄土裸露率＜3</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4F8438F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67" w:hRule="atLeast"/>
        </w:trPr>
        <w:tc>
          <w:tcPr>
            <w:tcW w:w="751" w:type="dxa"/>
            <w:tcBorders>
              <w:top w:val="single" w:color="auto" w:sz="2" w:space="0"/>
              <w:left w:val="single" w:color="auto" w:sz="12" w:space="0"/>
              <w:bottom w:val="single" w:color="auto" w:sz="8" w:space="0"/>
              <w:right w:val="single" w:color="auto" w:sz="2" w:space="0"/>
            </w:tcBorders>
            <w:noWrap w:val="0"/>
            <w:vAlign w:val="center"/>
          </w:tcPr>
          <w:p w14:paraId="294D812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65871DC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2" w:space="0"/>
              <w:left w:val="single" w:color="auto" w:sz="2" w:space="0"/>
              <w:bottom w:val="single" w:color="auto" w:sz="8" w:space="0"/>
              <w:right w:val="single" w:color="auto" w:sz="12" w:space="0"/>
            </w:tcBorders>
            <w:noWrap w:val="0"/>
            <w:vAlign w:val="center"/>
          </w:tcPr>
          <w:p w14:paraId="5D6213A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设施完好，无塌方现象；无死树、残桩头、堆积物；远观无明显垃圾，修剪枝叶当天清理。达标率＞95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A5E37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91"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0D67B61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09954B16">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4C522D90">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一级护坡养护质量要求</w:t>
      </w:r>
    </w:p>
    <w:p w14:paraId="77578662">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应符合表A.13的规定。</w:t>
      </w:r>
    </w:p>
    <w:p w14:paraId="0CF4B0A7">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表A.13　一级护坡养护质量要求表</w:t>
      </w:r>
    </w:p>
    <w:tbl>
      <w:tblPr>
        <w:tblStyle w:val="47"/>
        <w:tblW w:w="9581"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0"/>
        <w:gridCol w:w="7421"/>
      </w:tblGrid>
      <w:tr w14:paraId="17557E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241B1BB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0CEA87A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421" w:type="dxa"/>
            <w:tcBorders>
              <w:top w:val="single" w:color="auto" w:sz="12" w:space="0"/>
              <w:left w:val="single" w:color="auto" w:sz="2" w:space="0"/>
              <w:bottom w:val="single" w:color="auto" w:sz="12" w:space="0"/>
              <w:right w:val="single" w:color="auto" w:sz="12" w:space="0"/>
            </w:tcBorders>
            <w:noWrap w:val="0"/>
            <w:vAlign w:val="center"/>
          </w:tcPr>
          <w:p w14:paraId="046432D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239765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5"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52A6B5C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7034E5F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421" w:type="dxa"/>
            <w:tcBorders>
              <w:top w:val="single" w:color="auto" w:sz="12" w:space="0"/>
              <w:left w:val="single" w:color="auto" w:sz="2" w:space="0"/>
              <w:bottom w:val="single" w:color="auto" w:sz="2" w:space="0"/>
              <w:right w:val="single" w:color="auto" w:sz="12" w:space="0"/>
            </w:tcBorders>
            <w:noWrap w:val="0"/>
            <w:vAlign w:val="center"/>
          </w:tcPr>
          <w:p w14:paraId="4FDC79C5">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植物配置合理，具固土护坡作用和良好的绿化观赏效果。</w:t>
            </w:r>
          </w:p>
        </w:tc>
      </w:tr>
      <w:tr w14:paraId="57AD13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4D81F7B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D039E0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3EE9FF7F">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生长季节植物生长正常，符合物候状况，树体自然；旱季片植地被植物无明显的枯死现象。达标率＞90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54148B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BF41E3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23AFC5C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274A304D">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乔木、一般孤植灌木：无明显的干枯枝、病虫枝。整型乔灌木：按要求养成并维持一定形态。片植灌木及地被植物：整体基本平整，无明显的枯黄叶、杂草。达标率＞90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B2ADF1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0"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38C6190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D552B5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22C3E9BB">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小乔木与孤植灌木应做树盘，树盘土壤疏松，无明显的杂草、杂物。达标率＞90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B1A02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4"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872BCC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1CC6650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3666349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草坪生长季节基本青绿；高度控制在15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2907DF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3"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17D5E49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C8EFFA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w:t>
            </w:r>
          </w:p>
          <w:p w14:paraId="4994143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控制</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4C67F75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无严重的危害迹象；病虫总为害率＜20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463713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19"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4B5F767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EB3D4F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保存率与覆盖率</w:t>
            </w:r>
          </w:p>
        </w:tc>
        <w:tc>
          <w:tcPr>
            <w:tcW w:w="7421" w:type="dxa"/>
            <w:tcBorders>
              <w:top w:val="single" w:color="auto" w:sz="2" w:space="0"/>
              <w:left w:val="single" w:color="auto" w:sz="2" w:space="0"/>
              <w:bottom w:val="single" w:color="auto" w:sz="2" w:space="0"/>
              <w:right w:val="single" w:color="auto" w:sz="12" w:space="0"/>
            </w:tcBorders>
            <w:noWrap w:val="0"/>
            <w:vAlign w:val="center"/>
          </w:tcPr>
          <w:p w14:paraId="59CD1B5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，乔灌木缺株率＜8</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，单处明显裸露面积＜10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3C40C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3"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320DC48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5591DD9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421" w:type="dxa"/>
            <w:tcBorders>
              <w:top w:val="single" w:color="auto" w:sz="2" w:space="0"/>
              <w:left w:val="single" w:color="auto" w:sz="2" w:space="0"/>
              <w:bottom w:val="single" w:color="auto" w:sz="8" w:space="0"/>
              <w:right w:val="single" w:color="auto" w:sz="12" w:space="0"/>
            </w:tcBorders>
            <w:noWrap w:val="0"/>
            <w:vAlign w:val="center"/>
          </w:tcPr>
          <w:p w14:paraId="2E3E68D9">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设施完好，无塌方现象；无死树、堆积物；远观无明显垃圾，修剪枝叶当天清理。达标率＞90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320E71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86" w:hRule="atLeast"/>
        </w:trPr>
        <w:tc>
          <w:tcPr>
            <w:tcW w:w="9581" w:type="dxa"/>
            <w:gridSpan w:val="3"/>
            <w:tcBorders>
              <w:top w:val="single" w:color="auto" w:sz="8" w:space="0"/>
              <w:left w:val="single" w:color="auto" w:sz="12" w:space="0"/>
              <w:bottom w:val="single" w:color="auto" w:sz="12" w:space="0"/>
              <w:right w:val="single" w:color="auto" w:sz="12" w:space="0"/>
            </w:tcBorders>
            <w:noWrap w:val="0"/>
            <w:vAlign w:val="center"/>
          </w:tcPr>
          <w:p w14:paraId="2F09746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1708CCB3">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282988FF">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二级护坡养护质量要求</w:t>
      </w:r>
    </w:p>
    <w:p w14:paraId="7CEAD3C9">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应符合表A.14的规定。</w:t>
      </w:r>
    </w:p>
    <w:p w14:paraId="70B3F9DB">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表A.14 二级护坡养护质量要求表</w:t>
      </w:r>
    </w:p>
    <w:tbl>
      <w:tblPr>
        <w:tblStyle w:val="47"/>
        <w:tblW w:w="9345" w:type="dxa"/>
        <w:tblInd w:w="7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440"/>
        <w:gridCol w:w="7154"/>
      </w:tblGrid>
      <w:tr w14:paraId="383E664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trPr>
        <w:tc>
          <w:tcPr>
            <w:tcW w:w="751" w:type="dxa"/>
            <w:tcBorders>
              <w:top w:val="single" w:color="auto" w:sz="12" w:space="0"/>
              <w:left w:val="single" w:color="auto" w:sz="12" w:space="0"/>
              <w:bottom w:val="single" w:color="auto" w:sz="12" w:space="0"/>
              <w:right w:val="single" w:color="auto" w:sz="2" w:space="0"/>
            </w:tcBorders>
            <w:noWrap w:val="0"/>
            <w:vAlign w:val="center"/>
          </w:tcPr>
          <w:p w14:paraId="40D326C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4498446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54" w:type="dxa"/>
            <w:tcBorders>
              <w:top w:val="single" w:color="auto" w:sz="12" w:space="0"/>
              <w:left w:val="single" w:color="auto" w:sz="2" w:space="0"/>
              <w:bottom w:val="single" w:color="auto" w:sz="12" w:space="0"/>
              <w:right w:val="single" w:color="auto" w:sz="12" w:space="0"/>
            </w:tcBorders>
            <w:noWrap w:val="0"/>
            <w:vAlign w:val="center"/>
          </w:tcPr>
          <w:p w14:paraId="7C03F7A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3644EC1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0" w:hRule="atLeast"/>
        </w:trPr>
        <w:tc>
          <w:tcPr>
            <w:tcW w:w="751" w:type="dxa"/>
            <w:tcBorders>
              <w:top w:val="single" w:color="auto" w:sz="12" w:space="0"/>
              <w:left w:val="single" w:color="auto" w:sz="12" w:space="0"/>
              <w:bottom w:val="single" w:color="auto" w:sz="2" w:space="0"/>
              <w:right w:val="single" w:color="auto" w:sz="2" w:space="0"/>
            </w:tcBorders>
            <w:noWrap w:val="0"/>
            <w:vAlign w:val="center"/>
          </w:tcPr>
          <w:p w14:paraId="35F5223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67A39DB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54" w:type="dxa"/>
            <w:tcBorders>
              <w:top w:val="single" w:color="auto" w:sz="12" w:space="0"/>
              <w:left w:val="single" w:color="auto" w:sz="2" w:space="0"/>
              <w:bottom w:val="single" w:color="auto" w:sz="2" w:space="0"/>
              <w:right w:val="single" w:color="auto" w:sz="12" w:space="0"/>
            </w:tcBorders>
            <w:noWrap w:val="0"/>
            <w:vAlign w:val="center"/>
          </w:tcPr>
          <w:p w14:paraId="46E76525">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植物配置基本合理，具固土护坡作用和较好的绿化效果。</w:t>
            </w:r>
          </w:p>
        </w:tc>
      </w:tr>
      <w:tr w14:paraId="78C8C5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17"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5F97F1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EB55D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54290EF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生长季节植物生长正常，符合物候状况；旱季片植地被植物无成片枯死现象。达标率＞85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27A8A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9"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6541936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1F6DE99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7C8986B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乔木、一般孤植灌木：无明显的干枯枝、病虫枝。片植灌木及地被植物：基本平整，无明显的枯枝、黄叶、杂草。达标率＞85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430D3CF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6"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526FA3D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376D2D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3DA9FEC1">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小乔木应做树盘，树盘土壤疏松，无明显的杂草、杂物。达标率＞85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57E49C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0"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1C7FB25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A42757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D622BC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草坪生长季节基本青绿；高度控制在20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cm以下。达标率＞85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756B96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9"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0247598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4C3B12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7A76B898">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无严重的危害迹象；病虫害总为害率＜25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672895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48" w:hRule="atLeast"/>
        </w:trPr>
        <w:tc>
          <w:tcPr>
            <w:tcW w:w="751" w:type="dxa"/>
            <w:tcBorders>
              <w:top w:val="single" w:color="auto" w:sz="2" w:space="0"/>
              <w:left w:val="single" w:color="auto" w:sz="12" w:space="0"/>
              <w:bottom w:val="single" w:color="auto" w:sz="2" w:space="0"/>
              <w:right w:val="single" w:color="auto" w:sz="2" w:space="0"/>
            </w:tcBorders>
            <w:noWrap w:val="0"/>
            <w:vAlign w:val="center"/>
          </w:tcPr>
          <w:p w14:paraId="4F80703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280440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5756FF5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改造</w:t>
            </w:r>
          </w:p>
        </w:tc>
        <w:tc>
          <w:tcPr>
            <w:tcW w:w="7154" w:type="dxa"/>
            <w:tcBorders>
              <w:top w:val="single" w:color="auto" w:sz="2" w:space="0"/>
              <w:left w:val="single" w:color="auto" w:sz="2" w:space="0"/>
              <w:bottom w:val="single" w:color="auto" w:sz="2" w:space="0"/>
              <w:right w:val="single" w:color="auto" w:sz="12" w:space="0"/>
            </w:tcBorders>
            <w:noWrap w:val="0"/>
            <w:vAlign w:val="center"/>
          </w:tcPr>
          <w:p w14:paraId="405F1C24">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，单处明显裸露面积＜20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5DF9B0E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69" w:hRule="atLeast"/>
        </w:trPr>
        <w:tc>
          <w:tcPr>
            <w:tcW w:w="751" w:type="dxa"/>
            <w:tcBorders>
              <w:top w:val="single" w:color="auto" w:sz="2" w:space="0"/>
              <w:left w:val="single" w:color="auto" w:sz="12" w:space="0"/>
              <w:bottom w:val="single" w:color="auto" w:sz="8" w:space="0"/>
              <w:right w:val="single" w:color="auto" w:sz="2" w:space="0"/>
            </w:tcBorders>
            <w:noWrap w:val="0"/>
            <w:vAlign w:val="center"/>
          </w:tcPr>
          <w:p w14:paraId="30539B7E">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115B4A9D">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54" w:type="dxa"/>
            <w:tcBorders>
              <w:top w:val="single" w:color="auto" w:sz="2" w:space="0"/>
              <w:left w:val="single" w:color="auto" w:sz="2" w:space="0"/>
              <w:bottom w:val="single" w:color="auto" w:sz="8" w:space="0"/>
              <w:right w:val="single" w:color="auto" w:sz="12" w:space="0"/>
            </w:tcBorders>
            <w:noWrap w:val="0"/>
            <w:vAlign w:val="center"/>
          </w:tcPr>
          <w:p w14:paraId="499145A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无明显塌方现象；无死树、堆积物；远观无明显垃圾，修剪枝叶当天清理。达标率＞90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1D962B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47"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1DBF0DD6">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1143B4CB">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sectPr>
          <w:pgSz w:w="11910" w:h="16840"/>
          <w:pgMar w:top="1304" w:right="1247" w:bottom="1304" w:left="1247" w:header="720" w:footer="720" w:gutter="0"/>
          <w:pgNumType w:fmt="decimal"/>
          <w:cols w:space="720" w:num="1"/>
          <w:titlePg/>
          <w:docGrid w:linePitch="286" w:charSpace="0"/>
        </w:sectPr>
      </w:pPr>
    </w:p>
    <w:p w14:paraId="7E4A3FF9">
      <w:pPr>
        <w:pStyle w:val="184"/>
        <w:numPr>
          <w:ilvl w:val="1"/>
          <w:numId w:val="7"/>
        </w:numPr>
        <w:spacing w:before="156"/>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三级护坡养护质量要求</w:t>
      </w:r>
    </w:p>
    <w:p w14:paraId="77FD6B51">
      <w:pPr>
        <w:pStyle w:val="178"/>
        <w:ind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应符合表A.15的规定。</w:t>
      </w:r>
    </w:p>
    <w:p w14:paraId="1D072BE9">
      <w:pPr>
        <w:pStyle w:val="18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表A.15 三级护坡养护质量要求表</w:t>
      </w:r>
    </w:p>
    <w:tbl>
      <w:tblPr>
        <w:tblStyle w:val="47"/>
        <w:tblW w:w="9345" w:type="dxa"/>
        <w:tblInd w:w="10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0"/>
        <w:gridCol w:w="7185"/>
      </w:tblGrid>
      <w:tr w14:paraId="6C33528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58" w:hRule="atLeast"/>
        </w:trPr>
        <w:tc>
          <w:tcPr>
            <w:tcW w:w="720" w:type="dxa"/>
            <w:tcBorders>
              <w:top w:val="single" w:color="auto" w:sz="12" w:space="0"/>
              <w:left w:val="single" w:color="auto" w:sz="12" w:space="0"/>
              <w:bottom w:val="single" w:color="auto" w:sz="12" w:space="0"/>
              <w:right w:val="single" w:color="auto" w:sz="2" w:space="0"/>
            </w:tcBorders>
            <w:noWrap w:val="0"/>
            <w:vAlign w:val="center"/>
          </w:tcPr>
          <w:p w14:paraId="477FDC2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40" w:type="dxa"/>
            <w:tcBorders>
              <w:top w:val="single" w:color="auto" w:sz="12" w:space="0"/>
              <w:left w:val="single" w:color="auto" w:sz="2" w:space="0"/>
              <w:bottom w:val="single" w:color="auto" w:sz="12" w:space="0"/>
              <w:right w:val="single" w:color="auto" w:sz="2" w:space="0"/>
            </w:tcBorders>
            <w:noWrap w:val="0"/>
            <w:vAlign w:val="center"/>
          </w:tcPr>
          <w:p w14:paraId="6A4AE82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w:t>
            </w:r>
          </w:p>
        </w:tc>
        <w:tc>
          <w:tcPr>
            <w:tcW w:w="7185" w:type="dxa"/>
            <w:tcBorders>
              <w:top w:val="single" w:color="auto" w:sz="12" w:space="0"/>
              <w:left w:val="single" w:color="auto" w:sz="2" w:space="0"/>
              <w:bottom w:val="single" w:color="auto" w:sz="12" w:space="0"/>
              <w:right w:val="single" w:color="auto" w:sz="12" w:space="0"/>
            </w:tcBorders>
            <w:noWrap w:val="0"/>
            <w:vAlign w:val="center"/>
          </w:tcPr>
          <w:p w14:paraId="42A2D75F">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r>
      <w:tr w14:paraId="1658346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0" w:hRule="atLeast"/>
        </w:trPr>
        <w:tc>
          <w:tcPr>
            <w:tcW w:w="720" w:type="dxa"/>
            <w:tcBorders>
              <w:top w:val="single" w:color="auto" w:sz="12" w:space="0"/>
              <w:left w:val="single" w:color="auto" w:sz="12" w:space="0"/>
              <w:bottom w:val="single" w:color="auto" w:sz="2" w:space="0"/>
              <w:right w:val="single" w:color="auto" w:sz="2" w:space="0"/>
            </w:tcBorders>
            <w:noWrap w:val="0"/>
            <w:vAlign w:val="center"/>
          </w:tcPr>
          <w:p w14:paraId="5731C56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1440" w:type="dxa"/>
            <w:tcBorders>
              <w:top w:val="single" w:color="auto" w:sz="12" w:space="0"/>
              <w:left w:val="single" w:color="auto" w:sz="2" w:space="0"/>
              <w:bottom w:val="single" w:color="auto" w:sz="2" w:space="0"/>
              <w:right w:val="single" w:color="auto" w:sz="2" w:space="0"/>
            </w:tcBorders>
            <w:noWrap w:val="0"/>
            <w:vAlign w:val="center"/>
          </w:tcPr>
          <w:p w14:paraId="16FEBF6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整体效果</w:t>
            </w:r>
          </w:p>
        </w:tc>
        <w:tc>
          <w:tcPr>
            <w:tcW w:w="7185" w:type="dxa"/>
            <w:tcBorders>
              <w:top w:val="single" w:color="auto" w:sz="12" w:space="0"/>
              <w:left w:val="single" w:color="auto" w:sz="2" w:space="0"/>
              <w:bottom w:val="single" w:color="auto" w:sz="2" w:space="0"/>
              <w:right w:val="single" w:color="auto" w:sz="12" w:space="0"/>
            </w:tcBorders>
            <w:noWrap w:val="0"/>
            <w:vAlign w:val="center"/>
          </w:tcPr>
          <w:p w14:paraId="7F1616B0">
            <w:pPr>
              <w:pStyle w:val="19"/>
              <w:spacing w:line="240" w:lineRule="auto"/>
              <w:ind w:left="0" w:leftChars="0"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具固土护坡作用和一定的绿化效果。</w:t>
            </w:r>
          </w:p>
        </w:tc>
      </w:tr>
      <w:tr w14:paraId="16FFDF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5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0020D87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579785B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植物生长</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5B9D1FAE">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生长季节植物生长正常，符合物候状况；旱季片植地被植物无成片枯死现象。达标率＞80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5F5633B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72"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2C87629C">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B4E191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整形修剪</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2466639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乔木、一般孤植灌木：无明显的干枯枝、病虫枝。片植灌木及地被植物：无明显的杂物。达标率＞80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3BF340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2"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436C161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752CDCF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树盘</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12D0F99A">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小乔木应做树盘，树盘土壤疏松，无明显的杂草、杂物。达标率＞80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0E19B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3FFFAA4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48B7788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133DDA30">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草坪生长季节基本青绿。达标率＞80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0CD27D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6"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6953FCFB">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6717D995">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病虫害控制</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7A3EE49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无严重的危害迹象；病虫害总为害率＜35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w:t>
            </w:r>
          </w:p>
        </w:tc>
      </w:tr>
      <w:tr w14:paraId="3654F5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7" w:hRule="atLeast"/>
        </w:trPr>
        <w:tc>
          <w:tcPr>
            <w:tcW w:w="720" w:type="dxa"/>
            <w:tcBorders>
              <w:top w:val="single" w:color="auto" w:sz="2" w:space="0"/>
              <w:left w:val="single" w:color="auto" w:sz="12" w:space="0"/>
              <w:bottom w:val="single" w:color="auto" w:sz="2" w:space="0"/>
              <w:right w:val="single" w:color="auto" w:sz="2" w:space="0"/>
            </w:tcBorders>
            <w:noWrap w:val="0"/>
            <w:vAlign w:val="center"/>
          </w:tcPr>
          <w:p w14:paraId="75BF180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1440" w:type="dxa"/>
            <w:tcBorders>
              <w:top w:val="single" w:color="auto" w:sz="2" w:space="0"/>
              <w:left w:val="single" w:color="auto" w:sz="2" w:space="0"/>
              <w:bottom w:val="single" w:color="auto" w:sz="2" w:space="0"/>
              <w:right w:val="single" w:color="auto" w:sz="2" w:space="0"/>
            </w:tcBorders>
            <w:noWrap w:val="0"/>
            <w:vAlign w:val="center"/>
          </w:tcPr>
          <w:p w14:paraId="34FF3630">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补种与</w:t>
            </w:r>
          </w:p>
          <w:p w14:paraId="43E301C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改造</w:t>
            </w:r>
          </w:p>
        </w:tc>
        <w:tc>
          <w:tcPr>
            <w:tcW w:w="7185" w:type="dxa"/>
            <w:tcBorders>
              <w:top w:val="single" w:color="auto" w:sz="2" w:space="0"/>
              <w:left w:val="single" w:color="auto" w:sz="2" w:space="0"/>
              <w:bottom w:val="single" w:color="auto" w:sz="2" w:space="0"/>
              <w:right w:val="single" w:color="auto" w:sz="12" w:space="0"/>
            </w:tcBorders>
            <w:noWrap w:val="0"/>
            <w:vAlign w:val="center"/>
          </w:tcPr>
          <w:p w14:paraId="1305ED2C">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黄土裸露率＜8</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，乔灌木缺株率＜15</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，单处明显裸露面积＜30</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z w:val="24"/>
                <w:szCs w:val="24"/>
              </w:rPr>
              <w:t>m</w:t>
            </w:r>
            <w:r>
              <w:rPr>
                <w:rFonts w:hint="eastAsia" w:asciiTheme="minorEastAsia" w:hAnsiTheme="minorEastAsia" w:eastAsiaTheme="minorEastAsia" w:cstheme="minorEastAsia"/>
                <w:color w:val="auto"/>
                <w:sz w:val="24"/>
                <w:szCs w:val="24"/>
                <w:vertAlign w:val="superscript"/>
              </w:rPr>
              <w:t>2</w:t>
            </w:r>
            <w:r>
              <w:rPr>
                <w:rFonts w:hint="eastAsia" w:asciiTheme="minorEastAsia" w:hAnsiTheme="minorEastAsia" w:eastAsiaTheme="minorEastAsia" w:cstheme="minorEastAsia"/>
                <w:color w:val="auto"/>
                <w:sz w:val="24"/>
                <w:szCs w:val="24"/>
              </w:rPr>
              <w:t>。</w:t>
            </w:r>
          </w:p>
        </w:tc>
      </w:tr>
      <w:tr w14:paraId="6B597A4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0" w:hRule="atLeast"/>
        </w:trPr>
        <w:tc>
          <w:tcPr>
            <w:tcW w:w="720" w:type="dxa"/>
            <w:tcBorders>
              <w:top w:val="single" w:color="auto" w:sz="2" w:space="0"/>
              <w:left w:val="single" w:color="auto" w:sz="12" w:space="0"/>
              <w:bottom w:val="single" w:color="auto" w:sz="8" w:space="0"/>
              <w:right w:val="single" w:color="auto" w:sz="2" w:space="0"/>
            </w:tcBorders>
            <w:noWrap w:val="0"/>
            <w:vAlign w:val="center"/>
          </w:tcPr>
          <w:p w14:paraId="5856A8A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八</w:t>
            </w:r>
          </w:p>
        </w:tc>
        <w:tc>
          <w:tcPr>
            <w:tcW w:w="1440" w:type="dxa"/>
            <w:tcBorders>
              <w:top w:val="single" w:color="auto" w:sz="2" w:space="0"/>
              <w:left w:val="single" w:color="auto" w:sz="2" w:space="0"/>
              <w:bottom w:val="single" w:color="auto" w:sz="8" w:space="0"/>
              <w:right w:val="single" w:color="auto" w:sz="2" w:space="0"/>
            </w:tcBorders>
            <w:noWrap w:val="0"/>
            <w:vAlign w:val="center"/>
          </w:tcPr>
          <w:p w14:paraId="375E497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环境卫生</w:t>
            </w:r>
          </w:p>
        </w:tc>
        <w:tc>
          <w:tcPr>
            <w:tcW w:w="7185" w:type="dxa"/>
            <w:tcBorders>
              <w:top w:val="single" w:color="auto" w:sz="2" w:space="0"/>
              <w:left w:val="single" w:color="auto" w:sz="2" w:space="0"/>
              <w:bottom w:val="single" w:color="auto" w:sz="8" w:space="0"/>
              <w:right w:val="single" w:color="auto" w:sz="12" w:space="0"/>
            </w:tcBorders>
            <w:noWrap w:val="0"/>
            <w:vAlign w:val="center"/>
          </w:tcPr>
          <w:p w14:paraId="79C879E3">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无明显塌方现象；无死树；远观无明显杂物。达标率＞85</w:t>
            </w:r>
            <w:r>
              <w:rPr>
                <w:rFonts w:hint="eastAsia" w:asciiTheme="minorEastAsia" w:hAnsiTheme="minorEastAsia" w:eastAsiaTheme="minorEastAsia" w:cstheme="minorEastAsia"/>
                <w:color w:val="auto"/>
                <w:spacing w:val="-30"/>
                <w:sz w:val="24"/>
                <w:szCs w:val="24"/>
              </w:rPr>
              <w:t>％</w:t>
            </w:r>
            <w:r>
              <w:rPr>
                <w:rFonts w:hint="eastAsia" w:asciiTheme="minorEastAsia" w:hAnsiTheme="minorEastAsia" w:eastAsiaTheme="minorEastAsia" w:cstheme="minorEastAsia"/>
                <w:color w:val="auto"/>
                <w:sz w:val="24"/>
                <w:szCs w:val="24"/>
              </w:rPr>
              <w:t>。</w:t>
            </w:r>
          </w:p>
        </w:tc>
      </w:tr>
      <w:tr w14:paraId="0964A2A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9" w:hRule="atLeast"/>
        </w:trPr>
        <w:tc>
          <w:tcPr>
            <w:tcW w:w="9345" w:type="dxa"/>
            <w:gridSpan w:val="3"/>
            <w:tcBorders>
              <w:top w:val="single" w:color="auto" w:sz="8" w:space="0"/>
              <w:left w:val="single" w:color="auto" w:sz="12" w:space="0"/>
              <w:bottom w:val="single" w:color="auto" w:sz="12" w:space="0"/>
              <w:right w:val="single" w:color="auto" w:sz="12" w:space="0"/>
            </w:tcBorders>
            <w:noWrap w:val="0"/>
            <w:vAlign w:val="center"/>
          </w:tcPr>
          <w:p w14:paraId="0D8D9867">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注：见表A.1的注。</w:t>
            </w:r>
          </w:p>
        </w:tc>
      </w:tr>
    </w:tbl>
    <w:p w14:paraId="1EE382E1">
      <w:pPr>
        <w:tabs>
          <w:tab w:val="left" w:pos="180"/>
          <w:tab w:val="left" w:pos="1620"/>
        </w:tabs>
        <w:spacing w:line="360" w:lineRule="auto"/>
        <w:ind w:firstLine="482" w:firstLineChars="200"/>
        <w:jc w:val="center"/>
        <w:outlineLvl w:val="0"/>
        <w:rPr>
          <w:rFonts w:hint="eastAsia" w:asciiTheme="minorEastAsia" w:hAnsiTheme="minorEastAsia" w:eastAsiaTheme="minorEastAsia" w:cstheme="minorEastAsia"/>
          <w:b/>
          <w:bCs/>
          <w:color w:val="auto"/>
          <w:sz w:val="24"/>
          <w:szCs w:val="24"/>
        </w:rPr>
      </w:pPr>
    </w:p>
    <w:p w14:paraId="3BE7B1B6">
      <w:pPr>
        <w:tabs>
          <w:tab w:val="left" w:pos="180"/>
          <w:tab w:val="left" w:pos="1620"/>
        </w:tabs>
        <w:spacing w:line="360" w:lineRule="auto"/>
        <w:ind w:firstLine="482" w:firstLineChars="200"/>
        <w:jc w:val="center"/>
        <w:outlineLvl w:val="0"/>
        <w:rPr>
          <w:rFonts w:hint="eastAsia" w:asciiTheme="minorEastAsia" w:hAnsiTheme="minorEastAsia" w:eastAsiaTheme="minorEastAsia" w:cstheme="minorEastAsia"/>
          <w:b/>
          <w:bCs/>
          <w:color w:val="auto"/>
          <w:sz w:val="24"/>
          <w:szCs w:val="24"/>
        </w:rPr>
        <w:sectPr>
          <w:pgSz w:w="11910" w:h="16840"/>
          <w:pgMar w:top="1304" w:right="1247" w:bottom="1304" w:left="1247" w:header="720" w:footer="720" w:gutter="0"/>
          <w:pgNumType w:fmt="decimal"/>
          <w:cols w:space="720" w:num="1"/>
          <w:titlePg/>
          <w:docGrid w:linePitch="286" w:charSpace="0"/>
        </w:sectPr>
      </w:pPr>
    </w:p>
    <w:p w14:paraId="556584B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附件3：</w:t>
      </w:r>
    </w:p>
    <w:p w14:paraId="16EC0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color w:val="auto"/>
          <w:spacing w:val="-11"/>
          <w:sz w:val="24"/>
          <w:szCs w:val="24"/>
        </w:rPr>
      </w:pPr>
      <w:r>
        <w:rPr>
          <w:rFonts w:hint="eastAsia" w:asciiTheme="minorEastAsia" w:hAnsiTheme="minorEastAsia" w:eastAsiaTheme="minorEastAsia" w:cstheme="minorEastAsia"/>
          <w:b w:val="0"/>
          <w:bCs w:val="0"/>
          <w:color w:val="auto"/>
          <w:sz w:val="24"/>
          <w:szCs w:val="24"/>
          <w:lang w:eastAsia="zh-CN"/>
        </w:rPr>
        <w:t>蒙山县县</w:t>
      </w:r>
      <w:r>
        <w:rPr>
          <w:rFonts w:hint="eastAsia" w:asciiTheme="minorEastAsia" w:hAnsiTheme="minorEastAsia" w:eastAsiaTheme="minorEastAsia" w:cstheme="minorEastAsia"/>
          <w:b w:val="0"/>
          <w:bCs w:val="0"/>
          <w:color w:val="auto"/>
          <w:sz w:val="24"/>
          <w:szCs w:val="24"/>
        </w:rPr>
        <w:t>城园林绿化养护、绿地管理内容、标准及考核办法</w:t>
      </w:r>
    </w:p>
    <w:p w14:paraId="6CE3D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rPr>
      </w:pPr>
    </w:p>
    <w:p w14:paraId="40B06A7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为了加强对县城园林绿地的管理、监管，进一步落实责任，全面提升绿地的管理养护质量和水平，根据</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梧州</w:t>
      </w:r>
      <w:r>
        <w:rPr>
          <w:rFonts w:hint="eastAsia" w:asciiTheme="minorEastAsia" w:hAnsiTheme="minorEastAsia" w:eastAsiaTheme="minorEastAsia" w:cstheme="minorEastAsia"/>
          <w:color w:val="auto"/>
          <w:sz w:val="24"/>
          <w:szCs w:val="24"/>
        </w:rPr>
        <w:t>市城市绿化条例》</w:t>
      </w:r>
      <w:r>
        <w:rPr>
          <w:rFonts w:hint="eastAsia" w:asciiTheme="minorEastAsia" w:hAnsiTheme="minorEastAsia" w:eastAsiaTheme="minorEastAsia" w:cstheme="minorEastAsia"/>
          <w:color w:val="auto"/>
          <w:kern w:val="0"/>
          <w:sz w:val="24"/>
          <w:szCs w:val="24"/>
        </w:rPr>
        <w:t>有关法律法规，制定本办法。</w:t>
      </w:r>
    </w:p>
    <w:p w14:paraId="05E75A04">
      <w:pPr>
        <w:keepNext w:val="0"/>
        <w:keepLines w:val="0"/>
        <w:pageBreakBefore w:val="0"/>
        <w:widowControl/>
        <w:kinsoku/>
        <w:wordWrap/>
        <w:overflowPunct/>
        <w:topLinePunct w:val="0"/>
        <w:autoSpaceDE/>
        <w:autoSpaceDN/>
        <w:bidi w:val="0"/>
        <w:adjustRightInd/>
        <w:snapToGrid/>
        <w:spacing w:line="360" w:lineRule="auto"/>
        <w:ind w:firstLine="645"/>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4"/>
          <w:szCs w:val="24"/>
        </w:rPr>
        <w:t>一、指导思想</w:t>
      </w:r>
    </w:p>
    <w:p w14:paraId="51B902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以</w:t>
      </w:r>
      <w:r>
        <w:rPr>
          <w:rFonts w:hint="eastAsia" w:asciiTheme="minorEastAsia" w:hAnsiTheme="minorEastAsia" w:eastAsiaTheme="minorEastAsia" w:cstheme="minorEastAsia"/>
          <w:color w:val="auto"/>
          <w:sz w:val="24"/>
          <w:szCs w:val="24"/>
        </w:rPr>
        <w:t>贯彻落实中央提出的“创新、协调、绿色、开放、共享”的发展理念</w:t>
      </w:r>
      <w:r>
        <w:rPr>
          <w:rFonts w:hint="eastAsia" w:asciiTheme="minorEastAsia" w:hAnsiTheme="minorEastAsia" w:eastAsiaTheme="minorEastAsia" w:cstheme="minorEastAsia"/>
          <w:color w:val="auto"/>
          <w:kern w:val="0"/>
          <w:sz w:val="24"/>
          <w:szCs w:val="24"/>
        </w:rPr>
        <w:t>为指导，围绕我县</w:t>
      </w:r>
      <w:r>
        <w:rPr>
          <w:rFonts w:hint="eastAsia" w:asciiTheme="minorEastAsia" w:hAnsiTheme="minorEastAsia" w:eastAsiaTheme="minorEastAsia" w:cstheme="minorEastAsia"/>
          <w:color w:val="auto"/>
          <w:kern w:val="0"/>
          <w:sz w:val="24"/>
          <w:szCs w:val="24"/>
          <w:lang w:eastAsia="zh-CN"/>
        </w:rPr>
        <w:t>巩固</w:t>
      </w:r>
      <w:r>
        <w:rPr>
          <w:rFonts w:hint="eastAsia" w:asciiTheme="minorEastAsia" w:hAnsiTheme="minorEastAsia" w:eastAsiaTheme="minorEastAsia" w:cstheme="minorEastAsia"/>
          <w:color w:val="auto"/>
          <w:kern w:val="0"/>
          <w:sz w:val="24"/>
          <w:szCs w:val="24"/>
        </w:rPr>
        <w:t>创建</w:t>
      </w:r>
      <w:r>
        <w:rPr>
          <w:rFonts w:hint="eastAsia" w:asciiTheme="minorEastAsia" w:hAnsiTheme="minorEastAsia" w:eastAsiaTheme="minorEastAsia" w:cstheme="minorEastAsia"/>
          <w:color w:val="auto"/>
          <w:kern w:val="0"/>
          <w:sz w:val="24"/>
          <w:szCs w:val="24"/>
          <w:lang w:eastAsia="zh-CN"/>
        </w:rPr>
        <w:t>国家</w:t>
      </w:r>
      <w:r>
        <w:rPr>
          <w:rFonts w:hint="eastAsia" w:asciiTheme="minorEastAsia" w:hAnsiTheme="minorEastAsia" w:eastAsiaTheme="minorEastAsia" w:cstheme="minorEastAsia"/>
          <w:color w:val="auto"/>
          <w:kern w:val="0"/>
          <w:sz w:val="24"/>
          <w:szCs w:val="24"/>
        </w:rPr>
        <w:t>园林县城的目标，不断提升城市绿化景观效果；不断提升城市绿地养护管理科学化、精细化和规范化的水平，建立完善园林长效管理机制。</w:t>
      </w:r>
    </w:p>
    <w:p w14:paraId="3194FD94">
      <w:pPr>
        <w:keepNext w:val="0"/>
        <w:keepLines w:val="0"/>
        <w:pageBreakBefore w:val="0"/>
        <w:numPr>
          <w:ilvl w:val="0"/>
          <w:numId w:val="8"/>
        </w:numPr>
        <w:kinsoku/>
        <w:wordWrap/>
        <w:overflowPunct/>
        <w:topLinePunct w:val="0"/>
        <w:autoSpaceDE/>
        <w:autoSpaceDN/>
        <w:bidi w:val="0"/>
        <w:adjustRightInd/>
        <w:snapToGrid/>
        <w:spacing w:line="360" w:lineRule="auto"/>
        <w:ind w:firstLine="472" w:firstLineChars="196"/>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园林绿化养护、绿地管理内容</w:t>
      </w:r>
    </w:p>
    <w:p w14:paraId="644C58FD">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按照</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广西城市绿化养护规范及验收要求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三级养护标准进行养护管理</w:t>
      </w:r>
      <w:r>
        <w:rPr>
          <w:rFonts w:hint="eastAsia" w:asciiTheme="minorEastAsia" w:hAnsiTheme="minorEastAsia" w:eastAsiaTheme="minorEastAsia" w:cstheme="minorEastAsia"/>
          <w:color w:val="auto"/>
          <w:sz w:val="24"/>
          <w:szCs w:val="24"/>
          <w:lang w:val="en-US" w:eastAsia="zh-CN"/>
        </w:rPr>
        <w:t>（详见附件）</w:t>
      </w:r>
      <w:r>
        <w:rPr>
          <w:rFonts w:hint="eastAsia" w:asciiTheme="minorEastAsia" w:hAnsiTheme="minorEastAsia" w:eastAsiaTheme="minorEastAsia" w:cstheme="minorEastAsia"/>
          <w:color w:val="auto"/>
          <w:sz w:val="24"/>
          <w:szCs w:val="24"/>
        </w:rPr>
        <w:t>。</w:t>
      </w:r>
    </w:p>
    <w:p w14:paraId="700976E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val="en-US" w:eastAsia="zh-CN"/>
        </w:rPr>
        <w:t xml:space="preserve">  </w:t>
      </w:r>
      <w:r>
        <w:rPr>
          <w:rFonts w:hint="eastAsia" w:asciiTheme="minorEastAsia" w:hAnsiTheme="minorEastAsia" w:eastAsiaTheme="minorEastAsia" w:cstheme="minorEastAsia"/>
          <w:color w:val="auto"/>
          <w:kern w:val="0"/>
          <w:sz w:val="24"/>
          <w:szCs w:val="24"/>
        </w:rPr>
        <w:t xml:space="preserve">  </w:t>
      </w:r>
      <w:r>
        <w:rPr>
          <w:rFonts w:hint="eastAsia" w:asciiTheme="minorEastAsia" w:hAnsiTheme="minorEastAsia" w:eastAsiaTheme="minorEastAsia" w:cstheme="minorEastAsia"/>
          <w:b/>
          <w:bCs/>
          <w:color w:val="auto"/>
          <w:sz w:val="24"/>
          <w:szCs w:val="24"/>
        </w:rPr>
        <w:t>三、考核内容及标准</w:t>
      </w:r>
    </w:p>
    <w:p w14:paraId="7B2E5FE9">
      <w:pPr>
        <w:keepNext w:val="0"/>
        <w:keepLines w:val="0"/>
        <w:pageBreakBefore w:val="0"/>
        <w:widowControl/>
        <w:kinsoku/>
        <w:wordWrap/>
        <w:overflowPunct/>
        <w:topLinePunct w:val="0"/>
        <w:autoSpaceDE/>
        <w:autoSpaceDN/>
        <w:bidi w:val="0"/>
        <w:adjustRightInd/>
        <w:snapToGrid/>
        <w:spacing w:line="360" w:lineRule="auto"/>
        <w:ind w:firstLine="645"/>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县城建成区公共绿地，具体标准附后。</w:t>
      </w:r>
    </w:p>
    <w:p w14:paraId="5F61EDA3">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四、被考核单位</w:t>
      </w:r>
    </w:p>
    <w:p w14:paraId="5DD30F7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eastAsia="zh-CN"/>
        </w:rPr>
        <w:t>建成区</w:t>
      </w:r>
      <w:r>
        <w:rPr>
          <w:rFonts w:hint="eastAsia" w:asciiTheme="minorEastAsia" w:hAnsiTheme="minorEastAsia" w:eastAsiaTheme="minorEastAsia" w:cstheme="minorEastAsia"/>
          <w:color w:val="auto"/>
          <w:kern w:val="0"/>
          <w:sz w:val="24"/>
          <w:szCs w:val="24"/>
        </w:rPr>
        <w:t>公共绿地养护单位。</w:t>
      </w:r>
    </w:p>
    <w:p w14:paraId="764C52A9">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pacing w:val="-6"/>
          <w:sz w:val="24"/>
          <w:szCs w:val="24"/>
        </w:rPr>
      </w:pPr>
      <w:r>
        <w:rPr>
          <w:rFonts w:hint="eastAsia" w:asciiTheme="minorEastAsia" w:hAnsiTheme="minorEastAsia" w:eastAsiaTheme="minorEastAsia" w:cstheme="minorEastAsia"/>
          <w:b/>
          <w:bCs/>
          <w:color w:val="auto"/>
          <w:sz w:val="24"/>
          <w:szCs w:val="24"/>
        </w:rPr>
        <w:t>五、</w:t>
      </w:r>
      <w:r>
        <w:rPr>
          <w:rFonts w:hint="eastAsia" w:asciiTheme="minorEastAsia" w:hAnsiTheme="minorEastAsia" w:eastAsiaTheme="minorEastAsia" w:cstheme="minorEastAsia"/>
          <w:b/>
          <w:bCs/>
          <w:color w:val="auto"/>
          <w:sz w:val="24"/>
          <w:szCs w:val="24"/>
          <w:lang w:eastAsia="zh-CN"/>
        </w:rPr>
        <w:t>蒙山县县</w:t>
      </w:r>
      <w:r>
        <w:rPr>
          <w:rFonts w:hint="eastAsia" w:asciiTheme="minorEastAsia" w:hAnsiTheme="minorEastAsia" w:eastAsiaTheme="minorEastAsia" w:cstheme="minorEastAsia"/>
          <w:b/>
          <w:bCs/>
          <w:color w:val="auto"/>
          <w:sz w:val="24"/>
          <w:szCs w:val="24"/>
        </w:rPr>
        <w:t>城园林绿化养护、绿地管理内容、标准及考核办法</w:t>
      </w:r>
    </w:p>
    <w:p w14:paraId="1A4B28B0">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第一章   总    则</w:t>
      </w:r>
    </w:p>
    <w:p w14:paraId="19D767B4">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为促进</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园林绿化建设，加强园林绿化行业管理，提高园林绿化养护质量，根据广西壮族自治区地方标准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广西城市绿化养护规范及验收要求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的有关工作要求，结合本县实际制定本办法。</w:t>
      </w:r>
    </w:p>
    <w:p w14:paraId="1574C188">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第二章   管理内容</w:t>
      </w:r>
    </w:p>
    <w:p w14:paraId="517FD629">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所承包范围内所有公共区域的绿化养护工作。</w:t>
      </w:r>
    </w:p>
    <w:p w14:paraId="276D9D23">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第三章   绿化养护标准</w:t>
      </w:r>
    </w:p>
    <w:p w14:paraId="591ED89E">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参看附件《</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县城园林绿化养护质量考核评分细则》中“评分标准”一栏。</w:t>
      </w:r>
    </w:p>
    <w:p w14:paraId="191C993C">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第四章   实施与监督</w:t>
      </w:r>
    </w:p>
    <w:p w14:paraId="01373080">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一、考核实施机构</w:t>
      </w:r>
    </w:p>
    <w:p w14:paraId="43B7E743">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1、为确保园绿化养护各项规范能贯彻执行，维护园林绿地，</w:t>
      </w:r>
      <w:r>
        <w:rPr>
          <w:rFonts w:hint="eastAsia" w:asciiTheme="minorEastAsia" w:hAnsiTheme="minorEastAsia" w:eastAsiaTheme="minorEastAsia" w:cstheme="minorEastAsia"/>
          <w:color w:val="auto"/>
          <w:sz w:val="24"/>
          <w:szCs w:val="24"/>
          <w:lang w:eastAsia="zh-CN"/>
        </w:rPr>
        <w:t>蒙山县园林绿化管理所</w:t>
      </w:r>
      <w:r>
        <w:rPr>
          <w:rFonts w:hint="eastAsia" w:asciiTheme="minorEastAsia" w:hAnsiTheme="minorEastAsia" w:eastAsiaTheme="minorEastAsia" w:cstheme="minorEastAsia"/>
          <w:color w:val="auto"/>
          <w:sz w:val="24"/>
          <w:szCs w:val="24"/>
        </w:rPr>
        <w:t>具体负责对县城园林绿化养护工作进行直接管理，对发包区域的园林管护质量检查验收和考核</w:t>
      </w:r>
      <w:r>
        <w:rPr>
          <w:rFonts w:hint="eastAsia" w:asciiTheme="minorEastAsia" w:hAnsiTheme="minorEastAsia" w:eastAsiaTheme="minorEastAsia" w:cstheme="minorEastAsia"/>
          <w:color w:val="auto"/>
          <w:sz w:val="24"/>
          <w:szCs w:val="24"/>
          <w:lang w:eastAsia="zh-CN"/>
        </w:rPr>
        <w:t>。</w:t>
      </w:r>
    </w:p>
    <w:p w14:paraId="7BB2048C">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2、检查考核采取日常巡查</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月度考核</w:t>
      </w:r>
      <w:r>
        <w:rPr>
          <w:rFonts w:hint="eastAsia" w:asciiTheme="minorEastAsia" w:hAnsiTheme="minorEastAsia" w:eastAsiaTheme="minorEastAsia" w:cstheme="minorEastAsia"/>
          <w:color w:val="auto"/>
          <w:sz w:val="24"/>
          <w:szCs w:val="24"/>
          <w:lang w:eastAsia="zh-CN"/>
        </w:rPr>
        <w:t>和</w:t>
      </w:r>
      <w:r>
        <w:rPr>
          <w:rFonts w:hint="eastAsia" w:asciiTheme="minorEastAsia" w:hAnsiTheme="minorEastAsia" w:eastAsiaTheme="minorEastAsia" w:cstheme="minorEastAsia"/>
          <w:color w:val="auto"/>
          <w:sz w:val="24"/>
          <w:szCs w:val="24"/>
          <w:lang w:val="en-US" w:eastAsia="zh-CN"/>
        </w:rPr>
        <w:t>量化考核</w:t>
      </w:r>
      <w:r>
        <w:rPr>
          <w:rFonts w:hint="eastAsia" w:asciiTheme="minorEastAsia" w:hAnsiTheme="minorEastAsia" w:eastAsiaTheme="minorEastAsia" w:cstheme="minorEastAsia"/>
          <w:color w:val="auto"/>
          <w:sz w:val="24"/>
          <w:szCs w:val="24"/>
        </w:rPr>
        <w:t>相结合办法，考核评分结果作为养护工作质量评价、费用核拨及其它奖惩的重要依据。</w:t>
      </w:r>
    </w:p>
    <w:p w14:paraId="581622EB">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二、考核责任分工</w:t>
      </w:r>
    </w:p>
    <w:p w14:paraId="67019F0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日常巡查工作由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日常工作需要，对承包单位开展的绿化养护进行全面检查。考核初步结果报考核工作领导小组办公室。具体职责包括：组织人员、日常巡查记录、下发整改通知、参与月度考核评分、结果整理保存、上报。承包单位必须委派项目现场负责人参加日常巡查工作。</w:t>
      </w:r>
    </w:p>
    <w:p w14:paraId="748BD87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月度考核工作由</w:t>
      </w:r>
      <w:r>
        <w:rPr>
          <w:rFonts w:hint="eastAsia" w:asciiTheme="minorEastAsia" w:hAnsiTheme="minorEastAsia" w:eastAsiaTheme="minorEastAsia" w:cstheme="minorEastAsia"/>
          <w:color w:val="auto"/>
          <w:sz w:val="24"/>
          <w:szCs w:val="24"/>
          <w:lang w:eastAsia="zh-CN"/>
        </w:rPr>
        <w:t>考核工作领导小组办公室</w:t>
      </w:r>
      <w:r>
        <w:rPr>
          <w:rFonts w:hint="eastAsia" w:asciiTheme="minorEastAsia" w:hAnsiTheme="minorEastAsia" w:eastAsiaTheme="minorEastAsia" w:cstheme="minorEastAsia"/>
          <w:color w:val="auto"/>
          <w:sz w:val="24"/>
          <w:szCs w:val="24"/>
        </w:rPr>
        <w:t>组织</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和承包单位，对承包单位每月园林绿化养护工作分别进行检查考核。具体职责包括：组织人员、检查记录、月度考核评分、经费核拨。</w:t>
      </w:r>
    </w:p>
    <w:p w14:paraId="6EA476A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承包单位要按考核标准做好日常管理和作业，并积极配合开展日常巡查和月度考核工作。</w:t>
      </w:r>
    </w:p>
    <w:p w14:paraId="7FF15F19">
      <w:pPr>
        <w:keepNext w:val="0"/>
        <w:keepLines w:val="0"/>
        <w:pageBreakBefore w:val="0"/>
        <w:kinsoku/>
        <w:wordWrap/>
        <w:overflowPunct/>
        <w:topLinePunct w:val="0"/>
        <w:autoSpaceDE/>
        <w:autoSpaceDN/>
        <w:bidi w:val="0"/>
        <w:adjustRightInd/>
        <w:snapToGrid/>
        <w:spacing w:line="360" w:lineRule="auto"/>
        <w:ind w:firstLine="472" w:firstLineChars="196"/>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第五章    考核办法</w:t>
      </w:r>
    </w:p>
    <w:p w14:paraId="5946FE85">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一、检查时间</w:t>
      </w:r>
    </w:p>
    <w:p w14:paraId="33117586">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日常巡查安排每天进行，月度检查考核时间为</w:t>
      </w:r>
      <w:r>
        <w:rPr>
          <w:rFonts w:hint="eastAsia" w:asciiTheme="minorEastAsia" w:hAnsiTheme="minorEastAsia" w:eastAsiaTheme="minorEastAsia" w:cstheme="minorEastAsia"/>
          <w:color w:val="auto"/>
          <w:sz w:val="24"/>
          <w:szCs w:val="24"/>
          <w:lang w:val="en-US" w:eastAsia="zh-CN"/>
        </w:rPr>
        <w:t>次月</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合同签订日</w:t>
      </w:r>
      <w:r>
        <w:rPr>
          <w:rFonts w:hint="eastAsia" w:asciiTheme="minorEastAsia" w:hAnsiTheme="minorEastAsia" w:eastAsiaTheme="minorEastAsia" w:cstheme="minorEastAsia"/>
          <w:color w:val="auto"/>
          <w:sz w:val="24"/>
          <w:szCs w:val="24"/>
          <w:lang w:val="en-US" w:eastAsia="zh-CN"/>
        </w:rPr>
        <w:t>下</w:t>
      </w:r>
      <w:r>
        <w:rPr>
          <w:rFonts w:hint="eastAsia" w:asciiTheme="minorEastAsia" w:hAnsiTheme="minorEastAsia" w:eastAsiaTheme="minorEastAsia" w:cstheme="minorEastAsia"/>
          <w:color w:val="auto"/>
          <w:sz w:val="24"/>
          <w:szCs w:val="24"/>
        </w:rPr>
        <w:t>一周，若遇到特殊情况，以临时通知为准。</w:t>
      </w:r>
    </w:p>
    <w:p w14:paraId="22C75503">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二、检查程序</w:t>
      </w:r>
    </w:p>
    <w:p w14:paraId="6EF736F5">
      <w:pPr>
        <w:keepNext w:val="0"/>
        <w:keepLines w:val="0"/>
        <w:pageBreakBefore w:val="0"/>
        <w:kinsoku/>
        <w:wordWrap/>
        <w:overflowPunct/>
        <w:topLinePunct w:val="0"/>
        <w:autoSpaceDE/>
        <w:autoSpaceDN/>
        <w:bidi w:val="0"/>
        <w:adjustRightInd/>
        <w:snapToGrid/>
        <w:spacing w:line="360" w:lineRule="auto"/>
        <w:ind w:firstLine="470"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1.日常巡查</w:t>
      </w:r>
    </w:p>
    <w:p w14:paraId="1C008E49">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通知中标单位→现场巡查→下发整改通知</w:t>
      </w:r>
      <w:r>
        <w:rPr>
          <w:rFonts w:hint="eastAsia" w:asciiTheme="minorEastAsia" w:hAnsiTheme="minorEastAsia" w:eastAsiaTheme="minorEastAsia" w:cstheme="minorEastAsia"/>
          <w:color w:val="auto"/>
          <w:sz w:val="24"/>
          <w:szCs w:val="24"/>
          <w:lang w:eastAsia="zh-CN"/>
        </w:rPr>
        <w:t>（可通过电话、微信群等方式）</w:t>
      </w:r>
      <w:r>
        <w:rPr>
          <w:rFonts w:hint="eastAsia" w:asciiTheme="minorEastAsia" w:hAnsiTheme="minorEastAsia" w:eastAsiaTheme="minorEastAsia" w:cstheme="minorEastAsia"/>
          <w:color w:val="auto"/>
          <w:sz w:val="24"/>
          <w:szCs w:val="24"/>
        </w:rPr>
        <w:t>→复查验收→上报结果</w:t>
      </w:r>
    </w:p>
    <w:p w14:paraId="41740C97">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2.月度考核</w:t>
      </w:r>
    </w:p>
    <w:p w14:paraId="600749C1">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通知中标单位→现场检查考核→评分→通报结果</w:t>
      </w:r>
    </w:p>
    <w:p w14:paraId="1B4ED1F5">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三、日常巡查办法</w:t>
      </w:r>
    </w:p>
    <w:p w14:paraId="7230CD86">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日常巡查工作由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日常工作需要，对承包单位开展的绿化养护工作进行全面检查，现场检查发现存在问题，下发整改通知，并将有关情况登记上报。若未能按相关要求完成整改，则按规定扣除相应分值，并计入当月月度考核总评分。造成严重影响的，则按规定扣除相应分值，并计入当月月度考核总评。考核结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县城园林绿化养护质量日常巡查考核情况表》详细列明考核情况及存在问题，上报考核工作领导小组办公室，再由局考核工作领导小组审定后将考核结果反馈给承包单位。</w:t>
      </w:r>
    </w:p>
    <w:p w14:paraId="0CBFFC39">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四、月度考核办法</w:t>
      </w:r>
    </w:p>
    <w:p w14:paraId="3158D8AE">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月度考核工作由</w:t>
      </w:r>
      <w:r>
        <w:rPr>
          <w:rFonts w:hint="eastAsia" w:asciiTheme="minorEastAsia" w:hAnsiTheme="minorEastAsia" w:eastAsiaTheme="minorEastAsia" w:cstheme="minorEastAsia"/>
          <w:color w:val="auto"/>
          <w:sz w:val="24"/>
          <w:szCs w:val="24"/>
          <w:lang w:eastAsia="zh-CN"/>
        </w:rPr>
        <w:t>考核工作领导小组办公室</w:t>
      </w:r>
      <w:r>
        <w:rPr>
          <w:rFonts w:hint="eastAsia" w:asciiTheme="minorEastAsia" w:hAnsiTheme="minorEastAsia" w:eastAsiaTheme="minorEastAsia" w:cstheme="minorEastAsia"/>
          <w:color w:val="auto"/>
          <w:sz w:val="24"/>
          <w:szCs w:val="24"/>
        </w:rPr>
        <w:t>组织</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和承包单位，对承包单位每月园林绿化养护工作分别进行检查考核，按照《</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县城园林绿化管护权招标承包检查考核实施细则》、填报《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县城园林绿化管护权招标承包检查考核评分标准》，每月月度考核结果由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填报《</w:t>
      </w:r>
      <w:r>
        <w:rPr>
          <w:rFonts w:hint="eastAsia" w:asciiTheme="minorEastAsia" w:hAnsiTheme="minorEastAsia" w:eastAsiaTheme="minorEastAsia" w:cstheme="minorEastAsia"/>
          <w:color w:val="auto"/>
          <w:sz w:val="24"/>
          <w:szCs w:val="24"/>
          <w:lang w:eastAsia="zh-CN"/>
        </w:rPr>
        <w:t>蒙山县</w:t>
      </w:r>
      <w:r>
        <w:rPr>
          <w:rFonts w:hint="eastAsia" w:asciiTheme="minorEastAsia" w:hAnsiTheme="minorEastAsia" w:eastAsiaTheme="minorEastAsia" w:cstheme="minorEastAsia"/>
          <w:color w:val="auto"/>
          <w:sz w:val="24"/>
          <w:szCs w:val="24"/>
        </w:rPr>
        <w:t>县城园林绿化养护质量月度考核情况表》详细列明考核情况及存在问题，上报考核工作领导小组办公室，再由局考核工作领导小组审定后将考核结果反馈给承包单位。</w:t>
      </w:r>
    </w:p>
    <w:p w14:paraId="3F15DD05">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五、量化考核办法</w:t>
      </w:r>
    </w:p>
    <w:p w14:paraId="6A8A54AF">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制定养护管理工作计划</w:t>
      </w:r>
      <w:r>
        <w:rPr>
          <w:rFonts w:hint="eastAsia" w:asciiTheme="minorEastAsia" w:hAnsiTheme="minorEastAsia" w:eastAsiaTheme="minorEastAsia" w:cstheme="minorEastAsia"/>
          <w:color w:val="auto"/>
          <w:sz w:val="24"/>
          <w:szCs w:val="24"/>
          <w:lang w:eastAsia="zh-CN"/>
        </w:rPr>
        <w:t>报县园林绿化管理所</w:t>
      </w:r>
      <w:r>
        <w:rPr>
          <w:rFonts w:hint="eastAsia" w:asciiTheme="minorEastAsia" w:hAnsiTheme="minorEastAsia" w:eastAsiaTheme="minorEastAsia" w:cstheme="minorEastAsia"/>
          <w:color w:val="auto"/>
          <w:sz w:val="24"/>
          <w:szCs w:val="24"/>
        </w:rPr>
        <w:t>审批，由</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核定服务区域应实施的服务次数。量化考核主要内容包括：施肥、修剪、补植和设施维护等。</w:t>
      </w:r>
      <w:r>
        <w:rPr>
          <w:rFonts w:hint="eastAsia" w:asciiTheme="minorEastAsia" w:hAnsiTheme="minorEastAsia" w:eastAsiaTheme="minorEastAsia" w:cstheme="minorEastAsia"/>
          <w:color w:val="auto"/>
          <w:sz w:val="24"/>
          <w:szCs w:val="24"/>
          <w:lang w:eastAsia="zh-CN"/>
        </w:rPr>
        <w:t>县园林绿化管理所</w:t>
      </w:r>
      <w:r>
        <w:rPr>
          <w:rFonts w:hint="eastAsia" w:asciiTheme="minorEastAsia" w:hAnsiTheme="minorEastAsia" w:eastAsiaTheme="minorEastAsia" w:cstheme="minorEastAsia"/>
          <w:color w:val="auto"/>
          <w:sz w:val="24"/>
          <w:szCs w:val="24"/>
        </w:rPr>
        <w:t>根据审批后的养护管理工作计划、核定服务区域应实施的服务次数，对</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的量化工作完成情况等进行检查考核。量化考核结果作为当月核发养护经费的依据之一。</w:t>
      </w:r>
    </w:p>
    <w:p w14:paraId="075C4BBA">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eastAsia="zh-CN"/>
        </w:rPr>
        <w:t>六</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auto"/>
          <w:sz w:val="24"/>
          <w:szCs w:val="24"/>
          <w:lang w:val="en-US" w:eastAsia="zh-CN"/>
        </w:rPr>
        <w:t>养护人员配置考核办法</w:t>
      </w:r>
    </w:p>
    <w:p w14:paraId="74D2BA85">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（一）绿化养护人员人工数按照一年周期统计结算，一年周期总人工数不得少于9000人工，大于9000人工按照9000人工结算；</w:t>
      </w:r>
    </w:p>
    <w:p w14:paraId="125AB10C">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（二）发包方须对承包方养护人员出勤人数进行年度考核，即若承包方养护人员一年度出勤人数在 8000-9000人工的，每少1人工，按照（9000人工-实际出勤人工数）×120元/人工扣除相应费用；</w:t>
      </w:r>
    </w:p>
    <w:p w14:paraId="0A230CC8">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（三）若承包方养护人员一年度出勤人数少于8000人工的，每少1人工，按照（9000人工-实际出勤人工数）×（240元）/人工扣除相应费用，上不封顶。 </w:t>
      </w:r>
    </w:p>
    <w:p w14:paraId="10A4306B">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（四）年度出勤人员考核所发生应扣减费用，在合同期内一年周期中的最后一个月养护经费中结算扣除。</w:t>
      </w:r>
    </w:p>
    <w:p w14:paraId="4C0CF86B">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七、</w:t>
      </w:r>
      <w:r>
        <w:rPr>
          <w:rFonts w:hint="eastAsia" w:asciiTheme="minorEastAsia" w:hAnsiTheme="minorEastAsia" w:eastAsiaTheme="minorEastAsia" w:cstheme="minorEastAsia"/>
          <w:b/>
          <w:bCs/>
          <w:color w:val="auto"/>
          <w:sz w:val="24"/>
          <w:szCs w:val="24"/>
        </w:rPr>
        <w:t>计分办法</w:t>
      </w:r>
    </w:p>
    <w:p w14:paraId="60ED8549">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总评分计算方式为：总评分=100分-月度考核扣分分值-日常巡查扣分分值</w:t>
      </w:r>
    </w:p>
    <w:p w14:paraId="74B4DAE2">
      <w:pPr>
        <w:keepNext w:val="0"/>
        <w:keepLines w:val="0"/>
        <w:pageBreakBefore w:val="0"/>
        <w:kinsoku/>
        <w:wordWrap/>
        <w:overflowPunct/>
        <w:topLinePunct w:val="0"/>
        <w:autoSpaceDE/>
        <w:autoSpaceDN/>
        <w:bidi w:val="0"/>
        <w:adjustRightInd/>
        <w:snapToGrid/>
        <w:spacing w:line="360" w:lineRule="auto"/>
        <w:ind w:firstLine="472" w:firstLineChars="196"/>
        <w:jc w:val="lef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八</w:t>
      </w:r>
      <w:r>
        <w:rPr>
          <w:rFonts w:hint="eastAsia" w:asciiTheme="minorEastAsia" w:hAnsiTheme="minorEastAsia" w:eastAsiaTheme="minorEastAsia" w:cstheme="minorEastAsia"/>
          <w:b/>
          <w:bCs/>
          <w:color w:val="auto"/>
          <w:sz w:val="24"/>
          <w:szCs w:val="24"/>
        </w:rPr>
        <w:t>、罚则</w:t>
      </w:r>
    </w:p>
    <w:p w14:paraId="48DFFC35">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1、园林考核验收以每扣一分扣100元计，月累计扣罚达</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000元）的给予警告，责令限期整改。如连续两个月累计被扣罚达</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000元）的，</w:t>
      </w:r>
      <w:r>
        <w:rPr>
          <w:rFonts w:hint="eastAsia" w:asciiTheme="minorEastAsia" w:hAnsiTheme="minorEastAsia" w:eastAsiaTheme="minorEastAsia" w:cstheme="minorEastAsia"/>
          <w:color w:val="auto"/>
          <w:sz w:val="24"/>
          <w:szCs w:val="24"/>
          <w:lang w:val="en-US" w:eastAsia="zh-CN"/>
        </w:rPr>
        <w:t>县园林绿化管理所有权终止合同，并收取合同中标价5%作为违约金。</w:t>
      </w:r>
    </w:p>
    <w:p w14:paraId="0E21533D">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2、在需完成突击或应急任务时，承包方不服从县统一安排，第一次扣除2000元，第二次扣除3000元，第三次县园林绿化管理所有权终止合同，并收取合同中标价5%作为违约金。</w:t>
      </w:r>
    </w:p>
    <w:p w14:paraId="0723C3BE">
      <w:pPr>
        <w:pStyle w:val="46"/>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bCs/>
          <w:color w:val="auto"/>
          <w:sz w:val="24"/>
          <w:szCs w:val="24"/>
        </w:rPr>
        <w:t>如有</w:t>
      </w:r>
      <w:r>
        <w:rPr>
          <w:rFonts w:hint="eastAsia" w:asciiTheme="minorEastAsia" w:hAnsiTheme="minorEastAsia" w:eastAsiaTheme="minorEastAsia" w:cstheme="minorEastAsia"/>
          <w:bCs/>
          <w:color w:val="auto"/>
          <w:sz w:val="24"/>
          <w:szCs w:val="24"/>
          <w:lang w:eastAsia="zh-CN"/>
        </w:rPr>
        <w:t>居民</w:t>
      </w:r>
      <w:r>
        <w:rPr>
          <w:rFonts w:hint="eastAsia" w:asciiTheme="minorEastAsia" w:hAnsiTheme="minorEastAsia" w:eastAsiaTheme="minorEastAsia" w:cstheme="minorEastAsia"/>
          <w:bCs/>
          <w:color w:val="auto"/>
          <w:sz w:val="24"/>
          <w:szCs w:val="24"/>
        </w:rPr>
        <w:t>对县城绿化问题投诉信或电话投拆</w:t>
      </w:r>
      <w:r>
        <w:rPr>
          <w:rFonts w:hint="eastAsia" w:asciiTheme="minorEastAsia" w:hAnsiTheme="minorEastAsia" w:eastAsiaTheme="minorEastAsia" w:cstheme="minorEastAsia"/>
          <w:bCs/>
          <w:color w:val="auto"/>
          <w:sz w:val="24"/>
          <w:szCs w:val="24"/>
          <w:lang w:eastAsia="zh-CN"/>
        </w:rPr>
        <w:t>、相关部门对养护管理问题检查通报的；</w:t>
      </w:r>
      <w:r>
        <w:rPr>
          <w:rFonts w:hint="eastAsia" w:asciiTheme="minorEastAsia" w:hAnsiTheme="minorEastAsia" w:eastAsiaTheme="minorEastAsia" w:cstheme="minorEastAsia"/>
          <w:bCs/>
          <w:color w:val="auto"/>
          <w:sz w:val="24"/>
          <w:szCs w:val="24"/>
        </w:rPr>
        <w:t>经调查核实，属</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责任范围的</w:t>
      </w:r>
      <w:r>
        <w:rPr>
          <w:rFonts w:hint="eastAsia" w:asciiTheme="minorEastAsia" w:hAnsiTheme="minorEastAsia" w:eastAsiaTheme="minorEastAsia" w:cstheme="minorEastAsia"/>
          <w:bCs/>
          <w:color w:val="auto"/>
          <w:sz w:val="24"/>
          <w:szCs w:val="24"/>
          <w:lang w:eastAsia="zh-CN"/>
        </w:rPr>
        <w:t>；同一问题</w:t>
      </w:r>
      <w:r>
        <w:rPr>
          <w:rFonts w:hint="eastAsia" w:asciiTheme="minorEastAsia" w:hAnsiTheme="minorEastAsia" w:eastAsiaTheme="minorEastAsia" w:cstheme="minorEastAsia"/>
          <w:bCs/>
          <w:color w:val="auto"/>
          <w:sz w:val="24"/>
          <w:szCs w:val="24"/>
        </w:rPr>
        <w:t>一个月内被投诉</w:t>
      </w:r>
      <w:r>
        <w:rPr>
          <w:rFonts w:hint="eastAsia" w:asciiTheme="minorEastAsia" w:hAnsiTheme="minorEastAsia" w:eastAsiaTheme="minorEastAsia" w:cstheme="minorEastAsia"/>
          <w:bCs/>
          <w:color w:val="auto"/>
          <w:sz w:val="24"/>
          <w:szCs w:val="24"/>
          <w:lang w:eastAsia="zh-CN"/>
        </w:rPr>
        <w:t>或通报</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次，则</w:t>
      </w:r>
      <w:r>
        <w:rPr>
          <w:rFonts w:hint="eastAsia" w:asciiTheme="minorEastAsia" w:hAnsiTheme="minorEastAsia" w:eastAsiaTheme="minorEastAsia" w:cstheme="minorEastAsia"/>
          <w:bCs/>
          <w:color w:val="auto"/>
          <w:sz w:val="24"/>
          <w:szCs w:val="24"/>
          <w:lang w:eastAsia="zh-CN"/>
        </w:rPr>
        <w:t>再</w:t>
      </w:r>
      <w:r>
        <w:rPr>
          <w:rFonts w:hint="eastAsia" w:asciiTheme="minorEastAsia" w:hAnsiTheme="minorEastAsia" w:eastAsiaTheme="minorEastAsia" w:cstheme="minorEastAsia"/>
          <w:bCs/>
          <w:color w:val="auto"/>
          <w:sz w:val="24"/>
          <w:szCs w:val="24"/>
        </w:rPr>
        <w:t>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当月承包费的</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%，3次扣罚10%，4次以上（含4次）扣罚20%。</w:t>
      </w:r>
    </w:p>
    <w:p w14:paraId="5FFB9512">
      <w:pPr>
        <w:keepNext w:val="0"/>
        <w:keepLines w:val="0"/>
        <w:pageBreakBefore w:val="0"/>
        <w:kinsoku/>
        <w:wordWrap/>
        <w:overflowPunct/>
        <w:topLinePunct w:val="0"/>
        <w:autoSpaceDE/>
        <w:autoSpaceDN/>
        <w:bidi w:val="0"/>
        <w:adjustRightInd/>
        <w:snapToGrid/>
        <w:spacing w:line="360" w:lineRule="auto"/>
        <w:ind w:firstLine="470" w:firstLineChars="196"/>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按照要求提交年度工作计划、月度工作计划。未</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sz w:val="24"/>
          <w:szCs w:val="24"/>
        </w:rPr>
        <w:t>照要求提交年度和月度工作计划的，每次扣罚</w:t>
      </w:r>
      <w:r>
        <w:rPr>
          <w:rFonts w:hint="eastAsia" w:asciiTheme="minorEastAsia" w:hAnsiTheme="minorEastAsia" w:eastAsiaTheme="minorEastAsia" w:cstheme="minorEastAsia"/>
          <w:color w:val="auto"/>
          <w:sz w:val="24"/>
          <w:szCs w:val="24"/>
          <w:lang w:val="en-US" w:eastAsia="zh-CN"/>
        </w:rPr>
        <w:t>8000元</w:t>
      </w:r>
      <w:r>
        <w:rPr>
          <w:rFonts w:hint="eastAsia" w:asciiTheme="minorEastAsia" w:hAnsiTheme="minorEastAsia" w:eastAsiaTheme="minorEastAsia" w:cstheme="minorEastAsia"/>
          <w:color w:val="auto"/>
          <w:sz w:val="24"/>
          <w:szCs w:val="24"/>
        </w:rPr>
        <w:t>。按照审核批准的年度和月度养护管理工作计划开展施肥、修剪、补植、园林设施维护等工作，并且要达到计划所要求的数量。未按照计划开展相关工作的，每缺一项扣罚</w:t>
      </w:r>
      <w:r>
        <w:rPr>
          <w:rFonts w:hint="eastAsia" w:asciiTheme="minorEastAsia" w:hAnsiTheme="minorEastAsia" w:eastAsiaTheme="minorEastAsia" w:cstheme="minorEastAsia"/>
          <w:color w:val="auto"/>
          <w:sz w:val="24"/>
          <w:szCs w:val="24"/>
          <w:lang w:val="en-US" w:eastAsia="zh-CN"/>
        </w:rPr>
        <w:t>5000元</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开展计划相关工作，但未达到数量要求的，每项扣罚</w:t>
      </w:r>
      <w:r>
        <w:rPr>
          <w:rFonts w:hint="eastAsia" w:asciiTheme="minorEastAsia" w:hAnsiTheme="minorEastAsia" w:eastAsiaTheme="minorEastAsia" w:cstheme="minorEastAsia"/>
          <w:color w:val="auto"/>
          <w:sz w:val="24"/>
          <w:szCs w:val="24"/>
          <w:lang w:val="en-US" w:eastAsia="zh-CN"/>
        </w:rPr>
        <w:t>1000元</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如遇</w:t>
      </w:r>
      <w:r>
        <w:rPr>
          <w:rFonts w:hint="eastAsia" w:asciiTheme="minorEastAsia" w:hAnsiTheme="minorEastAsia" w:eastAsiaTheme="minorEastAsia" w:cstheme="minorEastAsia"/>
          <w:color w:val="auto"/>
          <w:sz w:val="24"/>
          <w:szCs w:val="24"/>
        </w:rPr>
        <w:t>不可抗拒因素</w:t>
      </w:r>
      <w:r>
        <w:rPr>
          <w:rFonts w:hint="eastAsia" w:asciiTheme="minorEastAsia" w:hAnsiTheme="minorEastAsia" w:eastAsiaTheme="minorEastAsia" w:cstheme="minorEastAsia"/>
          <w:color w:val="auto"/>
          <w:sz w:val="24"/>
          <w:szCs w:val="24"/>
          <w:lang w:val="en-US" w:eastAsia="zh-CN"/>
        </w:rPr>
        <w:t>，说明原因，原因合理可免</w:t>
      </w:r>
      <w:r>
        <w:rPr>
          <w:rFonts w:hint="eastAsia" w:asciiTheme="minorEastAsia" w:hAnsiTheme="minorEastAsia" w:eastAsiaTheme="minorEastAsia" w:cstheme="minorEastAsia"/>
          <w:color w:val="auto"/>
          <w:sz w:val="24"/>
          <w:szCs w:val="24"/>
        </w:rPr>
        <w:t>扣罚</w:t>
      </w:r>
      <w:r>
        <w:rPr>
          <w:rFonts w:hint="eastAsia" w:asciiTheme="minorEastAsia" w:hAnsiTheme="minorEastAsia" w:eastAsiaTheme="minorEastAsia" w:cstheme="minorEastAsia"/>
          <w:color w:val="auto"/>
          <w:sz w:val="24"/>
          <w:szCs w:val="24"/>
          <w:lang w:val="en-US" w:eastAsia="zh-CN"/>
        </w:rPr>
        <w:t>。</w:t>
      </w:r>
    </w:p>
    <w:p w14:paraId="18D70D3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因工作不到位被扣罚承包费的，</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可对直接管护责任人给予适当地扣罚,但不能全额扣罚管护责任人。</w:t>
      </w:r>
    </w:p>
    <w:p w14:paraId="166A1703">
      <w:pPr>
        <w:pStyle w:val="46"/>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承包方在履行服务合同期间，出现安全生产事故的，责任全部由承包方负责，除保险公司赔付部分外，其余费用由承包方承担。出现重大安全事故，或出现群体性安全事故，或安全事故造成3人以上人员死亡的，县园林绿化管理所有权无条件终止合同。</w:t>
      </w:r>
    </w:p>
    <w:p w14:paraId="4C80D390">
      <w:p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14:paraId="0E24EC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color w:val="auto"/>
          <w:sz w:val="24"/>
          <w:szCs w:val="24"/>
          <w:lang w:val="en-US" w:eastAsia="zh-CN"/>
        </w:rPr>
        <w:t>附件4：</w:t>
      </w:r>
    </w:p>
    <w:p w14:paraId="4DFE6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eastAsia="zh-CN"/>
        </w:rPr>
        <w:t>蒙山县</w:t>
      </w:r>
      <w:r>
        <w:rPr>
          <w:rFonts w:hint="eastAsia" w:asciiTheme="minorEastAsia" w:hAnsiTheme="minorEastAsia" w:eastAsiaTheme="minorEastAsia" w:cstheme="minorEastAsia"/>
          <w:b w:val="0"/>
          <w:bCs w:val="0"/>
          <w:color w:val="auto"/>
          <w:sz w:val="24"/>
          <w:szCs w:val="24"/>
        </w:rPr>
        <w:t>县城园林绿化管护权招标承包检查考核实施细则</w:t>
      </w:r>
    </w:p>
    <w:p w14:paraId="36AAB08A">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一、园林绿化考核标准</w:t>
      </w:r>
    </w:p>
    <w:p w14:paraId="4F92D09E">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w:t>
      </w:r>
      <w:r>
        <w:rPr>
          <w:rFonts w:hint="eastAsia" w:asciiTheme="minorEastAsia" w:hAnsiTheme="minorEastAsia" w:eastAsiaTheme="minorEastAsia" w:cstheme="minorEastAsia"/>
          <w:bCs/>
          <w:color w:val="auto"/>
          <w:sz w:val="24"/>
          <w:szCs w:val="24"/>
          <w:lang w:eastAsia="zh-CN"/>
        </w:rPr>
        <w:t>蒙山县园林绿化管理所</w:t>
      </w:r>
      <w:r>
        <w:rPr>
          <w:rFonts w:hint="eastAsia" w:asciiTheme="minorEastAsia" w:hAnsiTheme="minorEastAsia" w:eastAsiaTheme="minorEastAsia" w:cstheme="minorEastAsia"/>
          <w:bCs/>
          <w:color w:val="auto"/>
          <w:sz w:val="24"/>
          <w:szCs w:val="24"/>
        </w:rPr>
        <w:t>负责对发包路段的园林管护质量检查验收和考核</w:t>
      </w:r>
    </w:p>
    <w:p w14:paraId="2D8D30AE">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1.乔木:(16分)(抽查任一项不合格扣1分,严重的扣完该项分数)</w:t>
      </w:r>
    </w:p>
    <w:p w14:paraId="4FD0A845">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符合植物生长要求。(1分);枝叶健壮,茂盛(2分);树叶干净积尘少(3分);无明显干枯枝(3分)[注:抽查每2株树有一枝干枯扣1分,若因病虫害引起扣病虫防治2分,扣完3分为止];树体正直不偏斜(1分);树干枝条无气生根、无钉挂物，铁丝等缠绕物（3分）；剪口要求平整,无损树皮现象,无干明显的伤残现象(3分)。</w:t>
      </w:r>
    </w:p>
    <w:p w14:paraId="463E4274">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2.灌木(孤植)：(20分）（抽查任一项不合格扣1分,严重的扣完该项分数)</w:t>
      </w:r>
    </w:p>
    <w:p w14:paraId="294FA50A">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①整形灌木(10分):</w:t>
      </w:r>
    </w:p>
    <w:p w14:paraId="6710CB97">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树体正直不偏斜(1分);叶色嫩绿,干净无积尘,叶的形状大小正常(2分);根据设计要求达到和维持一定的形状(1分);修剪后植株及地面无散落枝叶(2分);树盘边线整齐,大小合适,盘面略低于草面(1分);干净整洁,无杂草、杂物及积水(2分);土壤保持疏松通透温润(1分).</w:t>
      </w:r>
    </w:p>
    <w:p w14:paraId="2712B915">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②一般灌木:(10分)</w:t>
      </w:r>
    </w:p>
    <w:p w14:paraId="7CA1CD2B">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树体正直不偏斜(1分);剪后成形美观,内部通透(2分);叶色嫩绿,干净无积尘,叶的形状大小正常(2分);树盘边线整齐,大小适当,盘面略低于草面(1分);土壤保持疏松通透湿润(2分);干净整洁,无杂草、杂物及积水(2分)。</w:t>
      </w:r>
    </w:p>
    <w:p w14:paraId="7543823C">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3.绿篱：（6分）（抽查任一项不合格扣1分,严重的扣完该项分数)</w:t>
      </w:r>
    </w:p>
    <w:p w14:paraId="6C189F6B">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叶色嫩绿,干净无积尘，叶的形状大小正常（1分）；修剪整洁一致，篱平整，两边垂直(1分);修剪后当天及时清理,篱体及地面无散落的枝叶(1分);绿篱无光脚，无死株，无断档现象(1分);绿篱根部边线整齐(，无杂草、杂物及积水（1分）；土壤保持疏松通透湿润（1分）。</w:t>
      </w:r>
    </w:p>
    <w:p w14:paraId="0C039EBC">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4.花坛色块：（7分）（抽查任一项不合格扣1分,严重的扣完该项分数)</w:t>
      </w:r>
    </w:p>
    <w:p w14:paraId="7DD68EBD">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生长良好,叶色嫩绿,干净无积尘,叶的形状大小正常(1分)；花坛色块丰满无缺（1分），图形清晰，边线明显（2分）；色块中无杂草（1分）[抽查每㎡发现明显杂草1棵即扣1分，扣完为止]；无杂物及积水，修剪当天做好清场（1分）；土壤保持疏松通透湿润（1分）。</w:t>
      </w:r>
    </w:p>
    <w:p w14:paraId="07F2818D">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5.草坪：（4分）（抽查任一项不合格扣0.5分，严重的扣完该项分数）</w:t>
      </w:r>
    </w:p>
    <w:p w14:paraId="116FF014">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草坪青绿无枯黄（1分）[注：枯黄面达5%扣0.5分，10%扣1分，扣完为止]；草坪平整，无起团，边线平整，不超出草坪范围，高度控制在8厘米以下，打草当天及时灌水、打草、打孔当天清场，无裸露地面（1分）[注：有裸露地面1㎡以上即扣一分，扣完为止]；无杂草，杂草高度不超过草平面（1分）[注：抽查10㎡见显眼杂草10棵扣一分，每10㎡酢浆草占5%扣一分，扣完为止]；除草后形成的小洞坑要即用土填平，泥土不散落周边草地，，草坪无烧痕(1分)[每发现一处扣0.5分，面积大的扣完为止]。</w:t>
      </w:r>
    </w:p>
    <w:p w14:paraId="263195F2">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6.病虫害防治：（14分）（抽查任一项不合格扣1分,严重的扣完该项分数)</w:t>
      </w:r>
    </w:p>
    <w:p w14:paraId="0CE3A06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地段出现病虫害初期应及时防治,虫情较严重时应及时向园林绿化所通报（2分）;（2）食叶害虫食叶片最严重的每株控制在5%以下,刺吸害虫明显造成为害的枝条少于8%;蛀干害虫为害的枝条少于3%,病虫害杆侏占总植侏的5%以下 [因工作失职造成病虫蔓廷,或因药害而造成植物生长不良,如草坪200㎡以上,独立乔、灌木10株以上,片植灌木40㎡以上,本项工作0分（6分）；（3）无寄生物危害（6分）（以草坪每10㎡,独立乔、灌木各1株,片植灌木1㎡为单位,每发现一处扣1分，严重的扣完该项分数）。</w:t>
      </w:r>
    </w:p>
    <w:p w14:paraId="5D2B1E0B">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7.绿地卫生（8分）</w:t>
      </w:r>
    </w:p>
    <w:p w14:paraId="17381853">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保持绿地、园路、游园设施干净、整洁，规定时间内清扫干净，保洁期间无垃圾，无枝叶草堆积，无余泥、杂物堆积等，无搭棚和圈占树木，修剪后树叶及垃圾当天清运，严禁在园道上焚烧垃圾、树叶等 （8分），[抽查每10平方米可见垃圾杂物1件扣1分，扣完为止。</w:t>
      </w:r>
    </w:p>
    <w:p w14:paraId="7909A482">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8.其它：（10分）（抽查任一项不合格扣1分,严重的扣完该项分数)</w:t>
      </w:r>
    </w:p>
    <w:p w14:paraId="0B1212E6">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(1)死树、残桩,及时清理填平地面。(1分)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(2)发现破坏绿化或设施的要及时制止,无法处理的及时向园林绿化所反映协商处理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(3)要求保持地被覆盖率大于98%,乔灌木缺株率小于2%,否则要及时补种。(2分)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(4)游园设施及防护设施完好。(2分)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（5）管区内土壤结构良好，对土壤结构较差的，应充分利用植物残体及有机肥不断改良土壤。（2分）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（6）在地段施工期间，</w:t>
      </w:r>
    </w:p>
    <w:p w14:paraId="08A7C76A">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本地段人员应做好配合及善后工作。（1分）</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rPr>
        <w:t>（7）在双方约定检查时间内，承包方到场（1分）。</w:t>
      </w:r>
    </w:p>
    <w:p w14:paraId="576774C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9.植物抗旱：（15分）</w:t>
      </w:r>
    </w:p>
    <w:p w14:paraId="30F315B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保持乔木、灌木、绿篱、色块叶色饱满、枝叶无因缺水萎缩、发黄、脱落，叶片无积尘（15分）。〔以5㎡为单位，发现一项扣1分〕</w:t>
      </w:r>
    </w:p>
    <w:p w14:paraId="19F66CF6">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10.每年要求在春季、秋季施肥两次，施肥品种要求为合格品种，不按施肥要求、规定的次数和数量施肥的，每个季节扣总分10分。</w:t>
      </w:r>
    </w:p>
    <w:p w14:paraId="14FD9D4C">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11.预防霜冻，天气预报呈黄色预警信号时需采取防冻措施，喷洒防冻剂或塑料薄膜包裹等，不完成此项工作</w:t>
      </w:r>
      <w:r>
        <w:rPr>
          <w:rFonts w:hint="eastAsia" w:asciiTheme="minorEastAsia" w:hAnsiTheme="minorEastAsia" w:eastAsiaTheme="minorEastAsia" w:cstheme="minorEastAsia"/>
          <w:bCs/>
          <w:color w:val="auto"/>
          <w:sz w:val="24"/>
          <w:szCs w:val="24"/>
          <w:lang w:eastAsia="zh-CN"/>
        </w:rPr>
        <w:t>致植物受灾</w:t>
      </w:r>
      <w:r>
        <w:rPr>
          <w:rFonts w:hint="eastAsia" w:asciiTheme="minorEastAsia" w:hAnsiTheme="minorEastAsia" w:eastAsiaTheme="minorEastAsia" w:cstheme="minorEastAsia"/>
          <w:bCs/>
          <w:color w:val="auto"/>
          <w:sz w:val="24"/>
          <w:szCs w:val="24"/>
        </w:rPr>
        <w:t>，扣总分2分。</w:t>
      </w:r>
    </w:p>
    <w:p w14:paraId="42E189C3">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（二）考核办法</w:t>
      </w:r>
    </w:p>
    <w:p w14:paraId="06565050">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每月检查</w:t>
      </w:r>
      <w:r>
        <w:rPr>
          <w:rFonts w:hint="eastAsia" w:asciiTheme="minorEastAsia" w:hAnsiTheme="minorEastAsia" w:eastAsiaTheme="minorEastAsia" w:cstheme="minorEastAsia"/>
          <w:bCs/>
          <w:color w:val="auto"/>
          <w:sz w:val="24"/>
          <w:szCs w:val="24"/>
          <w:lang w:val="en-US" w:eastAsia="zh-CN"/>
        </w:rPr>
        <w:t>至少一次</w:t>
      </w:r>
      <w:r>
        <w:rPr>
          <w:rFonts w:hint="eastAsia" w:asciiTheme="minorEastAsia" w:hAnsiTheme="minorEastAsia" w:eastAsiaTheme="minorEastAsia" w:cstheme="minorEastAsia"/>
          <w:bCs/>
          <w:color w:val="auto"/>
          <w:sz w:val="24"/>
          <w:szCs w:val="24"/>
        </w:rPr>
        <w:t>，采取定期与不定期相结合，定期检查至少提前一天通知</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，不定期包括区、市、县领导检查采取临时通知。双方现场实地检查验收，全面检查与抽样检查相结合。</w:t>
      </w:r>
    </w:p>
    <w:p w14:paraId="14392D91">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（三）罚则</w:t>
      </w:r>
    </w:p>
    <w:p w14:paraId="713C29A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w:t>
      </w:r>
      <w:r>
        <w:rPr>
          <w:rFonts w:hint="eastAsia" w:asciiTheme="minorEastAsia" w:hAnsiTheme="minorEastAsia" w:eastAsiaTheme="minorEastAsia" w:cstheme="minorEastAsia"/>
          <w:color w:val="auto"/>
          <w:sz w:val="24"/>
          <w:szCs w:val="24"/>
        </w:rPr>
        <w:t>1、园林考核验收以每扣一分扣100元计，月累计扣罚达</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000元）的给予警告，责令限期整改。如连续两个月累计被扣罚达</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000元以上（含</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000元）的，</w:t>
      </w:r>
      <w:r>
        <w:rPr>
          <w:rFonts w:hint="eastAsia" w:asciiTheme="minorEastAsia" w:hAnsiTheme="minorEastAsia" w:eastAsiaTheme="minorEastAsia" w:cstheme="minorEastAsia"/>
          <w:color w:val="auto"/>
          <w:sz w:val="24"/>
          <w:szCs w:val="24"/>
          <w:lang w:val="en-US" w:eastAsia="zh-CN"/>
        </w:rPr>
        <w:t>县园林绿化管理所则有权</w:t>
      </w:r>
      <w:r>
        <w:rPr>
          <w:rFonts w:hint="eastAsia" w:asciiTheme="minorEastAsia" w:hAnsiTheme="minorEastAsia" w:eastAsiaTheme="minorEastAsia" w:cstheme="minorEastAsia"/>
          <w:color w:val="auto"/>
          <w:sz w:val="24"/>
          <w:szCs w:val="24"/>
        </w:rPr>
        <w:t>取消</w:t>
      </w:r>
      <w:r>
        <w:rPr>
          <w:rFonts w:hint="eastAsia" w:asciiTheme="minorEastAsia" w:hAnsiTheme="minorEastAsia" w:eastAsiaTheme="minorEastAsia" w:cstheme="minorEastAsia"/>
          <w:color w:val="auto"/>
          <w:sz w:val="24"/>
          <w:szCs w:val="24"/>
          <w:lang w:eastAsia="zh-CN"/>
        </w:rPr>
        <w:t>承包方</w:t>
      </w:r>
      <w:r>
        <w:rPr>
          <w:rFonts w:hint="eastAsia" w:asciiTheme="minorEastAsia" w:hAnsiTheme="minorEastAsia" w:eastAsiaTheme="minorEastAsia" w:cstheme="minorEastAsia"/>
          <w:color w:val="auto"/>
          <w:sz w:val="24"/>
          <w:szCs w:val="24"/>
        </w:rPr>
        <w:t>的承包资格。</w:t>
      </w:r>
    </w:p>
    <w:p w14:paraId="230D899A">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 xml:space="preserve">  2.如有</w:t>
      </w:r>
      <w:r>
        <w:rPr>
          <w:rFonts w:hint="eastAsia" w:asciiTheme="minorEastAsia" w:hAnsiTheme="minorEastAsia" w:eastAsiaTheme="minorEastAsia" w:cstheme="minorEastAsia"/>
          <w:bCs/>
          <w:color w:val="auto"/>
          <w:sz w:val="24"/>
          <w:szCs w:val="24"/>
          <w:lang w:eastAsia="zh-CN"/>
        </w:rPr>
        <w:t>居民</w:t>
      </w:r>
      <w:r>
        <w:rPr>
          <w:rFonts w:hint="eastAsia" w:asciiTheme="minorEastAsia" w:hAnsiTheme="minorEastAsia" w:eastAsiaTheme="minorEastAsia" w:cstheme="minorEastAsia"/>
          <w:bCs/>
          <w:color w:val="auto"/>
          <w:sz w:val="24"/>
          <w:szCs w:val="24"/>
        </w:rPr>
        <w:t>对县城绿化问题投诉信或电话投拆</w:t>
      </w:r>
      <w:r>
        <w:rPr>
          <w:rFonts w:hint="eastAsia" w:asciiTheme="minorEastAsia" w:hAnsiTheme="minorEastAsia" w:eastAsiaTheme="minorEastAsia" w:cstheme="minorEastAsia"/>
          <w:bCs/>
          <w:color w:val="auto"/>
          <w:sz w:val="24"/>
          <w:szCs w:val="24"/>
          <w:lang w:eastAsia="zh-CN"/>
        </w:rPr>
        <w:t>、相关部门对养护管理问题检查通报的；</w:t>
      </w:r>
      <w:r>
        <w:rPr>
          <w:rFonts w:hint="eastAsia" w:asciiTheme="minorEastAsia" w:hAnsiTheme="minorEastAsia" w:eastAsiaTheme="minorEastAsia" w:cstheme="minorEastAsia"/>
          <w:bCs/>
          <w:color w:val="auto"/>
          <w:sz w:val="24"/>
          <w:szCs w:val="24"/>
        </w:rPr>
        <w:t>经调查核实，属</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责任范围的</w:t>
      </w:r>
      <w:r>
        <w:rPr>
          <w:rFonts w:hint="eastAsia" w:asciiTheme="minorEastAsia" w:hAnsiTheme="minorEastAsia" w:eastAsiaTheme="minorEastAsia" w:cstheme="minorEastAsia"/>
          <w:bCs/>
          <w:color w:val="auto"/>
          <w:sz w:val="24"/>
          <w:szCs w:val="24"/>
          <w:lang w:eastAsia="zh-CN"/>
        </w:rPr>
        <w:t>；同一问题</w:t>
      </w:r>
      <w:r>
        <w:rPr>
          <w:rFonts w:hint="eastAsia" w:asciiTheme="minorEastAsia" w:hAnsiTheme="minorEastAsia" w:eastAsiaTheme="minorEastAsia" w:cstheme="minorEastAsia"/>
          <w:bCs/>
          <w:color w:val="auto"/>
          <w:sz w:val="24"/>
          <w:szCs w:val="24"/>
        </w:rPr>
        <w:t>一个月内被投诉</w:t>
      </w:r>
      <w:r>
        <w:rPr>
          <w:rFonts w:hint="eastAsia" w:asciiTheme="minorEastAsia" w:hAnsiTheme="minorEastAsia" w:eastAsiaTheme="minorEastAsia" w:cstheme="minorEastAsia"/>
          <w:bCs/>
          <w:color w:val="auto"/>
          <w:sz w:val="24"/>
          <w:szCs w:val="24"/>
          <w:lang w:eastAsia="zh-CN"/>
        </w:rPr>
        <w:t>或通报</w:t>
      </w: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Cs/>
          <w:color w:val="auto"/>
          <w:sz w:val="24"/>
          <w:szCs w:val="24"/>
        </w:rPr>
        <w:t>次，则</w:t>
      </w:r>
      <w:r>
        <w:rPr>
          <w:rFonts w:hint="eastAsia" w:asciiTheme="minorEastAsia" w:hAnsiTheme="minorEastAsia" w:eastAsiaTheme="minorEastAsia" w:cstheme="minorEastAsia"/>
          <w:bCs/>
          <w:color w:val="auto"/>
          <w:sz w:val="24"/>
          <w:szCs w:val="24"/>
          <w:lang w:eastAsia="zh-CN"/>
        </w:rPr>
        <w:t>再</w:t>
      </w:r>
      <w:r>
        <w:rPr>
          <w:rFonts w:hint="eastAsia" w:asciiTheme="minorEastAsia" w:hAnsiTheme="minorEastAsia" w:eastAsiaTheme="minorEastAsia" w:cstheme="minorEastAsia"/>
          <w:bCs/>
          <w:color w:val="auto"/>
          <w:sz w:val="24"/>
          <w:szCs w:val="24"/>
        </w:rPr>
        <w:t>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当月承包费的</w:t>
      </w:r>
      <w:r>
        <w:rPr>
          <w:rFonts w:hint="eastAsia" w:asciiTheme="minorEastAsia" w:hAnsiTheme="minorEastAsia" w:eastAsiaTheme="minorEastAsia" w:cstheme="minorEastAsia"/>
          <w:bCs/>
          <w:color w:val="auto"/>
          <w:sz w:val="24"/>
          <w:szCs w:val="24"/>
          <w:lang w:val="en-US" w:eastAsia="zh-CN"/>
        </w:rPr>
        <w:t>6</w:t>
      </w:r>
      <w:r>
        <w:rPr>
          <w:rFonts w:hint="eastAsia" w:asciiTheme="minorEastAsia" w:hAnsiTheme="minorEastAsia" w:eastAsiaTheme="minorEastAsia" w:cstheme="minorEastAsia"/>
          <w:bCs/>
          <w:color w:val="auto"/>
          <w:sz w:val="24"/>
          <w:szCs w:val="24"/>
        </w:rPr>
        <w:t>%，3次扣罚10%，4次以上（含4次）扣罚20%。</w:t>
      </w:r>
    </w:p>
    <w:p w14:paraId="07AB591F">
      <w:pPr>
        <w:keepNext w:val="0"/>
        <w:keepLines w:val="0"/>
        <w:pageBreakBefore w:val="0"/>
        <w:tabs>
          <w:tab w:val="left" w:pos="180"/>
          <w:tab w:val="left" w:pos="162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3.因工作不到位扣罚</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承包费的，</w:t>
      </w:r>
      <w:r>
        <w:rPr>
          <w:rFonts w:hint="eastAsia" w:asciiTheme="minorEastAsia" w:hAnsiTheme="minorEastAsia" w:eastAsiaTheme="minorEastAsia" w:cstheme="minorEastAsia"/>
          <w:bCs/>
          <w:color w:val="auto"/>
          <w:sz w:val="24"/>
          <w:szCs w:val="24"/>
          <w:lang w:eastAsia="zh-CN"/>
        </w:rPr>
        <w:t>承包方</w:t>
      </w:r>
      <w:r>
        <w:rPr>
          <w:rFonts w:hint="eastAsia" w:asciiTheme="minorEastAsia" w:hAnsiTheme="minorEastAsia" w:eastAsiaTheme="minorEastAsia" w:cstheme="minorEastAsia"/>
          <w:bCs/>
          <w:color w:val="auto"/>
          <w:sz w:val="24"/>
          <w:szCs w:val="24"/>
        </w:rPr>
        <w:t>可对直接责任人给予适当地扣罚,但不能全额扣罚责任人。</w:t>
      </w:r>
    </w:p>
    <w:p w14:paraId="622EA5A6">
      <w:pPr>
        <w:keepNext w:val="0"/>
        <w:keepLines w:val="0"/>
        <w:pageBreakBefore w:val="0"/>
        <w:tabs>
          <w:tab w:val="left" w:pos="180"/>
          <w:tab w:val="left" w:pos="162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Cs/>
          <w:color w:val="auto"/>
          <w:sz w:val="24"/>
          <w:szCs w:val="24"/>
        </w:rPr>
        <w:br w:type="page"/>
      </w:r>
      <w:r>
        <w:rPr>
          <w:rFonts w:hint="eastAsia" w:asciiTheme="minorEastAsia" w:hAnsiTheme="minorEastAsia" w:eastAsiaTheme="minorEastAsia" w:cstheme="minorEastAsia"/>
          <w:color w:val="auto"/>
          <w:sz w:val="24"/>
          <w:szCs w:val="24"/>
          <w:lang w:val="en-US" w:eastAsia="zh-CN"/>
        </w:rPr>
        <w:t>附件5：</w:t>
      </w:r>
    </w:p>
    <w:p w14:paraId="73C72D8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lang w:eastAsia="zh-CN"/>
        </w:rPr>
        <w:t>蒙山县</w:t>
      </w:r>
      <w:r>
        <w:rPr>
          <w:rFonts w:hint="eastAsia" w:asciiTheme="minorEastAsia" w:hAnsiTheme="minorEastAsia" w:eastAsiaTheme="minorEastAsia" w:cstheme="minorEastAsia"/>
          <w:b w:val="0"/>
          <w:bCs w:val="0"/>
          <w:color w:val="auto"/>
          <w:sz w:val="24"/>
          <w:szCs w:val="24"/>
        </w:rPr>
        <w:t>县城园林绿化养护月度检查考核评分表</w:t>
      </w:r>
    </w:p>
    <w:p w14:paraId="281920BE">
      <w:pPr>
        <w:keepNext w:val="0"/>
        <w:keepLines w:val="0"/>
        <w:pageBreakBefore w:val="0"/>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b/>
          <w:color w:val="auto"/>
          <w:sz w:val="24"/>
          <w:szCs w:val="24"/>
        </w:rPr>
        <w:t>(202</w:t>
      </w:r>
      <w:r>
        <w:rPr>
          <w:rFonts w:hint="eastAsia" w:asciiTheme="minorEastAsia" w:hAnsiTheme="minorEastAsia" w:eastAsiaTheme="minorEastAsia" w:cstheme="minorEastAsia"/>
          <w:b/>
          <w:color w:val="auto"/>
          <w:sz w:val="24"/>
          <w:szCs w:val="24"/>
          <w:lang w:val="en-US" w:eastAsia="zh-CN"/>
        </w:rPr>
        <w:t xml:space="preserve">  </w:t>
      </w:r>
      <w:r>
        <w:rPr>
          <w:rFonts w:hint="eastAsia" w:asciiTheme="minorEastAsia" w:hAnsiTheme="minorEastAsia" w:eastAsiaTheme="minorEastAsia" w:cstheme="minorEastAsia"/>
          <w:b/>
          <w:color w:val="auto"/>
          <w:sz w:val="24"/>
          <w:szCs w:val="24"/>
        </w:rPr>
        <w:t>年  月)</w:t>
      </w:r>
    </w:p>
    <w:tbl>
      <w:tblPr>
        <w:tblStyle w:val="47"/>
        <w:tblW w:w="9865" w:type="dxa"/>
        <w:tblInd w:w="0" w:type="dxa"/>
        <w:tblLayout w:type="fixed"/>
        <w:tblCellMar>
          <w:top w:w="0" w:type="dxa"/>
          <w:left w:w="108" w:type="dxa"/>
          <w:bottom w:w="0" w:type="dxa"/>
          <w:right w:w="108" w:type="dxa"/>
        </w:tblCellMar>
      </w:tblPr>
      <w:tblGrid>
        <w:gridCol w:w="664"/>
        <w:gridCol w:w="643"/>
        <w:gridCol w:w="7110"/>
        <w:gridCol w:w="698"/>
        <w:gridCol w:w="750"/>
      </w:tblGrid>
      <w:tr w14:paraId="03A87756">
        <w:tblPrEx>
          <w:tblCellMar>
            <w:top w:w="0" w:type="dxa"/>
            <w:left w:w="108" w:type="dxa"/>
            <w:bottom w:w="0" w:type="dxa"/>
            <w:right w:w="108" w:type="dxa"/>
          </w:tblCellMar>
        </w:tblPrEx>
        <w:trPr>
          <w:trHeight w:val="23" w:hRule="atLeast"/>
          <w:tblHeader/>
        </w:trPr>
        <w:tc>
          <w:tcPr>
            <w:tcW w:w="664" w:type="dxa"/>
            <w:tcBorders>
              <w:top w:val="single" w:color="auto" w:sz="4" w:space="0"/>
              <w:left w:val="single" w:color="auto" w:sz="4" w:space="0"/>
              <w:bottom w:val="single" w:color="auto" w:sz="4" w:space="0"/>
              <w:right w:val="single" w:color="auto" w:sz="4" w:space="0"/>
            </w:tcBorders>
            <w:noWrap w:val="0"/>
            <w:vAlign w:val="center"/>
          </w:tcPr>
          <w:p w14:paraId="2CB15A5D">
            <w:pPr>
              <w:jc w:val="center"/>
              <w:rPr>
                <w:rFonts w:hint="eastAsia"/>
                <w:color w:val="auto"/>
              </w:rPr>
            </w:pPr>
            <w:r>
              <w:rPr>
                <w:rFonts w:hint="eastAsia"/>
                <w:color w:val="auto"/>
              </w:rPr>
              <w:t>专业类别</w:t>
            </w:r>
          </w:p>
        </w:tc>
        <w:tc>
          <w:tcPr>
            <w:tcW w:w="643" w:type="dxa"/>
            <w:tcBorders>
              <w:top w:val="single" w:color="auto" w:sz="4" w:space="0"/>
              <w:left w:val="nil"/>
              <w:bottom w:val="single" w:color="auto" w:sz="4" w:space="0"/>
              <w:right w:val="single" w:color="auto" w:sz="4" w:space="0"/>
            </w:tcBorders>
            <w:noWrap w:val="0"/>
            <w:vAlign w:val="center"/>
          </w:tcPr>
          <w:p w14:paraId="61A4C678">
            <w:pPr>
              <w:jc w:val="center"/>
              <w:rPr>
                <w:rFonts w:hint="eastAsia"/>
                <w:color w:val="auto"/>
              </w:rPr>
            </w:pPr>
            <w:r>
              <w:rPr>
                <w:rFonts w:hint="eastAsia"/>
                <w:color w:val="auto"/>
              </w:rPr>
              <w:t>检查</w:t>
            </w:r>
            <w:r>
              <w:rPr>
                <w:rFonts w:hint="eastAsia"/>
                <w:color w:val="auto"/>
              </w:rPr>
              <w:br w:type="textWrapping"/>
            </w:r>
            <w:r>
              <w:rPr>
                <w:rFonts w:hint="eastAsia"/>
                <w:color w:val="auto"/>
              </w:rPr>
              <w:t>项目</w:t>
            </w:r>
          </w:p>
        </w:tc>
        <w:tc>
          <w:tcPr>
            <w:tcW w:w="7110" w:type="dxa"/>
            <w:tcBorders>
              <w:top w:val="single" w:color="auto" w:sz="4" w:space="0"/>
              <w:left w:val="nil"/>
              <w:bottom w:val="single" w:color="auto" w:sz="4" w:space="0"/>
              <w:right w:val="single" w:color="auto" w:sz="4" w:space="0"/>
            </w:tcBorders>
            <w:noWrap w:val="0"/>
            <w:vAlign w:val="center"/>
          </w:tcPr>
          <w:p w14:paraId="40B574AA">
            <w:pPr>
              <w:jc w:val="center"/>
              <w:rPr>
                <w:rFonts w:hint="eastAsia"/>
                <w:color w:val="auto"/>
              </w:rPr>
            </w:pPr>
            <w:r>
              <w:rPr>
                <w:rFonts w:hint="eastAsia"/>
                <w:color w:val="auto"/>
              </w:rPr>
              <w:t>评分标准</w:t>
            </w:r>
          </w:p>
        </w:tc>
        <w:tc>
          <w:tcPr>
            <w:tcW w:w="698" w:type="dxa"/>
            <w:tcBorders>
              <w:top w:val="single" w:color="auto" w:sz="4" w:space="0"/>
              <w:left w:val="nil"/>
              <w:bottom w:val="single" w:color="auto" w:sz="4" w:space="0"/>
              <w:right w:val="single" w:color="auto" w:sz="4" w:space="0"/>
            </w:tcBorders>
            <w:noWrap w:val="0"/>
            <w:vAlign w:val="center"/>
          </w:tcPr>
          <w:p w14:paraId="18C3C7B4">
            <w:pPr>
              <w:jc w:val="center"/>
              <w:rPr>
                <w:rFonts w:hint="eastAsia"/>
                <w:color w:val="auto"/>
              </w:rPr>
            </w:pPr>
            <w:r>
              <w:rPr>
                <w:rFonts w:hint="eastAsia"/>
                <w:color w:val="auto"/>
              </w:rPr>
              <w:t>单项分值(分)</w:t>
            </w:r>
          </w:p>
        </w:tc>
        <w:tc>
          <w:tcPr>
            <w:tcW w:w="750" w:type="dxa"/>
            <w:tcBorders>
              <w:top w:val="single" w:color="auto" w:sz="4" w:space="0"/>
              <w:left w:val="nil"/>
              <w:bottom w:val="single" w:color="auto" w:sz="4" w:space="0"/>
              <w:right w:val="single" w:color="auto" w:sz="4" w:space="0"/>
            </w:tcBorders>
            <w:noWrap w:val="0"/>
            <w:vAlign w:val="center"/>
          </w:tcPr>
          <w:p w14:paraId="6BA9D7E1">
            <w:pPr>
              <w:jc w:val="center"/>
              <w:rPr>
                <w:rFonts w:hint="eastAsia"/>
                <w:color w:val="auto"/>
              </w:rPr>
            </w:pPr>
            <w:r>
              <w:rPr>
                <w:rFonts w:hint="eastAsia"/>
                <w:color w:val="auto"/>
              </w:rPr>
              <w:t>扣 分</w:t>
            </w:r>
          </w:p>
        </w:tc>
      </w:tr>
      <w:tr w14:paraId="2F1A747D">
        <w:tblPrEx>
          <w:tblCellMar>
            <w:top w:w="0" w:type="dxa"/>
            <w:left w:w="108" w:type="dxa"/>
            <w:bottom w:w="0" w:type="dxa"/>
            <w:right w:w="108" w:type="dxa"/>
          </w:tblCellMar>
        </w:tblPrEx>
        <w:trPr>
          <w:trHeight w:val="23" w:hRule="atLeast"/>
        </w:trPr>
        <w:tc>
          <w:tcPr>
            <w:tcW w:w="664" w:type="dxa"/>
            <w:vMerge w:val="restart"/>
            <w:tcBorders>
              <w:top w:val="nil"/>
              <w:left w:val="single" w:color="auto" w:sz="4" w:space="0"/>
              <w:bottom w:val="single" w:color="auto" w:sz="4" w:space="0"/>
              <w:right w:val="single" w:color="auto" w:sz="4" w:space="0"/>
            </w:tcBorders>
            <w:noWrap w:val="0"/>
            <w:vAlign w:val="center"/>
          </w:tcPr>
          <w:p w14:paraId="134408F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县城园林绿化管养</w:t>
            </w:r>
          </w:p>
        </w:tc>
        <w:tc>
          <w:tcPr>
            <w:tcW w:w="643" w:type="dxa"/>
            <w:vMerge w:val="restart"/>
            <w:tcBorders>
              <w:top w:val="nil"/>
              <w:left w:val="single" w:color="auto" w:sz="4" w:space="0"/>
              <w:bottom w:val="single" w:color="auto" w:sz="4" w:space="0"/>
              <w:right w:val="single" w:color="auto" w:sz="4" w:space="0"/>
            </w:tcBorders>
            <w:noWrap w:val="0"/>
            <w:vAlign w:val="center"/>
          </w:tcPr>
          <w:p w14:paraId="37D172C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修剪</w:t>
            </w:r>
          </w:p>
          <w:p w14:paraId="69975BA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及树</w:t>
            </w:r>
          </w:p>
          <w:p w14:paraId="30D325D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型管</w:t>
            </w:r>
          </w:p>
          <w:p w14:paraId="304E286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理</w:t>
            </w:r>
          </w:p>
        </w:tc>
        <w:tc>
          <w:tcPr>
            <w:tcW w:w="7110" w:type="dxa"/>
            <w:tcBorders>
              <w:top w:val="nil"/>
              <w:left w:val="nil"/>
              <w:bottom w:val="single" w:color="auto" w:sz="4" w:space="0"/>
              <w:right w:val="single" w:color="auto" w:sz="4" w:space="0"/>
            </w:tcBorders>
            <w:noWrap w:val="0"/>
            <w:vAlign w:val="center"/>
          </w:tcPr>
          <w:p w14:paraId="4D86FC8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草坪没按时按要求修剪每平方米扣0.05分。</w:t>
            </w:r>
          </w:p>
        </w:tc>
        <w:tc>
          <w:tcPr>
            <w:tcW w:w="698" w:type="dxa"/>
            <w:tcBorders>
              <w:top w:val="nil"/>
              <w:left w:val="nil"/>
              <w:bottom w:val="single" w:color="auto" w:sz="4" w:space="0"/>
              <w:right w:val="single" w:color="auto" w:sz="4" w:space="0"/>
            </w:tcBorders>
            <w:noWrap w:val="0"/>
            <w:vAlign w:val="center"/>
          </w:tcPr>
          <w:p w14:paraId="7E7811B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11F4766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829E0D2">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4A34BE0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287A295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1D5B144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单植灌木、绿篱及花坛修剪不及时或整形不符合要求，每平米扣0.1分。</w:t>
            </w:r>
          </w:p>
        </w:tc>
        <w:tc>
          <w:tcPr>
            <w:tcW w:w="698" w:type="dxa"/>
            <w:tcBorders>
              <w:top w:val="nil"/>
              <w:left w:val="nil"/>
              <w:bottom w:val="single" w:color="auto" w:sz="4" w:space="0"/>
              <w:right w:val="single" w:color="auto" w:sz="4" w:space="0"/>
            </w:tcBorders>
            <w:noWrap w:val="0"/>
            <w:vAlign w:val="center"/>
          </w:tcPr>
          <w:p w14:paraId="2E852EB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tcBorders>
              <w:top w:val="nil"/>
              <w:left w:val="nil"/>
              <w:bottom w:val="single" w:color="auto" w:sz="4" w:space="0"/>
              <w:right w:val="single" w:color="auto" w:sz="4" w:space="0"/>
            </w:tcBorders>
            <w:noWrap w:val="0"/>
            <w:vAlign w:val="center"/>
          </w:tcPr>
          <w:p w14:paraId="5001100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FE21E98">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9F27CC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7DB0967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01DE6AB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行道树干枝、绿地上的乔木干枝未及时清理，行道树每株扣0.2分，绿地上的乔木干枝0.05分。</w:t>
            </w:r>
          </w:p>
        </w:tc>
        <w:tc>
          <w:tcPr>
            <w:tcW w:w="698" w:type="dxa"/>
            <w:vMerge w:val="restart"/>
            <w:tcBorders>
              <w:top w:val="nil"/>
              <w:left w:val="single" w:color="auto" w:sz="4" w:space="0"/>
              <w:bottom w:val="single" w:color="auto" w:sz="4" w:space="0"/>
              <w:right w:val="single" w:color="auto" w:sz="4" w:space="0"/>
            </w:tcBorders>
            <w:noWrap w:val="0"/>
            <w:vAlign w:val="center"/>
          </w:tcPr>
          <w:p w14:paraId="64CF46E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vMerge w:val="restart"/>
            <w:tcBorders>
              <w:top w:val="nil"/>
              <w:left w:val="single" w:color="auto" w:sz="4" w:space="0"/>
              <w:bottom w:val="single" w:color="auto" w:sz="4" w:space="0"/>
              <w:right w:val="single" w:color="auto" w:sz="4" w:space="0"/>
            </w:tcBorders>
            <w:noWrap w:val="0"/>
            <w:vAlign w:val="center"/>
          </w:tcPr>
          <w:p w14:paraId="5F6483E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46D705F">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39ED653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A01499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F6B2AD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乔木没按要求修剪，严重影响景观和存在安全隐患，行道树每株扣2分，绿地乔木每株扣1分。</w:t>
            </w:r>
          </w:p>
        </w:tc>
        <w:tc>
          <w:tcPr>
            <w:tcW w:w="698" w:type="dxa"/>
            <w:vMerge w:val="continue"/>
            <w:tcBorders>
              <w:top w:val="nil"/>
              <w:left w:val="single" w:color="auto" w:sz="4" w:space="0"/>
              <w:bottom w:val="single" w:color="auto" w:sz="4" w:space="0"/>
              <w:right w:val="single" w:color="auto" w:sz="4" w:space="0"/>
            </w:tcBorders>
            <w:noWrap w:val="0"/>
            <w:vAlign w:val="center"/>
          </w:tcPr>
          <w:p w14:paraId="0C9B979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53C34CE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3A2A80E">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5EE5BD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A49245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2A07E41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行道树树钉（枝桠修剪应尽量靠近主干同时剪口最小）和下缘线以下的萌蘖芽没清除，每株扣0.5分。</w:t>
            </w:r>
          </w:p>
        </w:tc>
        <w:tc>
          <w:tcPr>
            <w:tcW w:w="698" w:type="dxa"/>
            <w:vMerge w:val="continue"/>
            <w:tcBorders>
              <w:top w:val="nil"/>
              <w:left w:val="single" w:color="auto" w:sz="4" w:space="0"/>
              <w:bottom w:val="single" w:color="auto" w:sz="4" w:space="0"/>
              <w:right w:val="single" w:color="auto" w:sz="4" w:space="0"/>
            </w:tcBorders>
            <w:noWrap w:val="0"/>
            <w:vAlign w:val="center"/>
          </w:tcPr>
          <w:p w14:paraId="30A8B3C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7946571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D6B3608">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7F8B094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2DFF502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225588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行道树歪斜必须扶正，如未按要求扶正的，每株扣2分；绿地上乔木歪斜，影响景观的需进行扶正，每株扣1分。</w:t>
            </w:r>
          </w:p>
        </w:tc>
        <w:tc>
          <w:tcPr>
            <w:tcW w:w="698" w:type="dxa"/>
            <w:tcBorders>
              <w:top w:val="nil"/>
              <w:left w:val="nil"/>
              <w:bottom w:val="single" w:color="auto" w:sz="4" w:space="0"/>
              <w:right w:val="single" w:color="auto" w:sz="4" w:space="0"/>
            </w:tcBorders>
            <w:noWrap w:val="0"/>
            <w:vAlign w:val="center"/>
          </w:tcPr>
          <w:p w14:paraId="7B33C41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19B26E3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D0913F1">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72A60D4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7950A04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补植</w:t>
            </w:r>
          </w:p>
        </w:tc>
        <w:tc>
          <w:tcPr>
            <w:tcW w:w="7110" w:type="dxa"/>
            <w:tcBorders>
              <w:top w:val="nil"/>
              <w:left w:val="nil"/>
              <w:bottom w:val="single" w:color="auto" w:sz="4" w:space="0"/>
              <w:right w:val="single" w:color="auto" w:sz="4" w:space="0"/>
            </w:tcBorders>
            <w:noWrap w:val="0"/>
            <w:vAlign w:val="center"/>
          </w:tcPr>
          <w:p w14:paraId="4EF5407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乔、灌木和草地死亡或缺株的，不按管理要求在10天内补植同种同规格（超规格的除外）的苗木的，扣5分，不按要求补种或补植规格达不到要求和补草覆盖率小于80%的，扣</w:t>
            </w:r>
            <w:r>
              <w:rPr>
                <w:rFonts w:hint="eastAsia" w:asciiTheme="minorEastAsia" w:hAnsiTheme="minorEastAsia" w:eastAsiaTheme="minorEastAsia" w:cstheme="minorEastAsia"/>
                <w:color w:val="auto"/>
                <w:kern w:val="0"/>
                <w:sz w:val="24"/>
                <w:szCs w:val="24"/>
                <w:lang w:val="en-US" w:eastAsia="zh-CN"/>
              </w:rPr>
              <w:t>3</w:t>
            </w:r>
            <w:r>
              <w:rPr>
                <w:rFonts w:hint="eastAsia" w:asciiTheme="minorEastAsia" w:hAnsiTheme="minorEastAsia" w:eastAsiaTheme="minorEastAsia" w:cstheme="minorEastAsia"/>
                <w:color w:val="auto"/>
                <w:kern w:val="0"/>
                <w:sz w:val="24"/>
                <w:szCs w:val="24"/>
              </w:rPr>
              <w:t>分。</w:t>
            </w:r>
          </w:p>
        </w:tc>
        <w:tc>
          <w:tcPr>
            <w:tcW w:w="698" w:type="dxa"/>
            <w:vMerge w:val="restart"/>
            <w:tcBorders>
              <w:top w:val="nil"/>
              <w:left w:val="single" w:color="auto" w:sz="4" w:space="0"/>
              <w:bottom w:val="single" w:color="auto" w:sz="4" w:space="0"/>
              <w:right w:val="single" w:color="auto" w:sz="4" w:space="0"/>
            </w:tcBorders>
            <w:noWrap w:val="0"/>
            <w:vAlign w:val="center"/>
          </w:tcPr>
          <w:p w14:paraId="5BD9E16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w:t>
            </w:r>
          </w:p>
        </w:tc>
        <w:tc>
          <w:tcPr>
            <w:tcW w:w="750" w:type="dxa"/>
            <w:vMerge w:val="restart"/>
            <w:tcBorders>
              <w:top w:val="nil"/>
              <w:left w:val="single" w:color="auto" w:sz="4" w:space="0"/>
              <w:bottom w:val="single" w:color="000000" w:sz="4" w:space="0"/>
              <w:right w:val="single" w:color="auto" w:sz="4" w:space="0"/>
            </w:tcBorders>
            <w:noWrap w:val="0"/>
            <w:vAlign w:val="center"/>
          </w:tcPr>
          <w:p w14:paraId="20F30DD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4FF2D6D1">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3F5E3C8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3769E13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086EF1C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补植操作不符合要求的，乔木和单株灌木每株扣1分，灌木和草本花坛每平方米扣0.5分，地被每平方米扣0.2分。</w:t>
            </w:r>
          </w:p>
        </w:tc>
        <w:tc>
          <w:tcPr>
            <w:tcW w:w="698" w:type="dxa"/>
            <w:vMerge w:val="continue"/>
            <w:tcBorders>
              <w:top w:val="nil"/>
              <w:left w:val="single" w:color="auto" w:sz="4" w:space="0"/>
              <w:bottom w:val="single" w:color="auto" w:sz="4" w:space="0"/>
              <w:right w:val="single" w:color="auto" w:sz="4" w:space="0"/>
            </w:tcBorders>
            <w:noWrap w:val="0"/>
            <w:vAlign w:val="center"/>
          </w:tcPr>
          <w:p w14:paraId="033C9CC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21B3F9D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8BE11C0">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3993D78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80112C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6BB336C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死树和树桩没及时挖掉，每株扣4分。</w:t>
            </w:r>
          </w:p>
        </w:tc>
        <w:tc>
          <w:tcPr>
            <w:tcW w:w="698" w:type="dxa"/>
            <w:vMerge w:val="continue"/>
            <w:tcBorders>
              <w:top w:val="nil"/>
              <w:left w:val="single" w:color="auto" w:sz="4" w:space="0"/>
              <w:bottom w:val="single" w:color="auto" w:sz="4" w:space="0"/>
              <w:right w:val="single" w:color="auto" w:sz="4" w:space="0"/>
            </w:tcBorders>
            <w:noWrap w:val="0"/>
            <w:vAlign w:val="center"/>
          </w:tcPr>
          <w:p w14:paraId="104B21B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42A79CC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DAAAD05">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0AF6D0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7600ECD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病虫</w:t>
            </w:r>
          </w:p>
          <w:p w14:paraId="271D6D13">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害防</w:t>
            </w:r>
          </w:p>
          <w:p w14:paraId="6D39A46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治</w:t>
            </w:r>
          </w:p>
        </w:tc>
        <w:tc>
          <w:tcPr>
            <w:tcW w:w="7110" w:type="dxa"/>
            <w:tcBorders>
              <w:top w:val="nil"/>
              <w:left w:val="nil"/>
              <w:bottom w:val="single" w:color="auto" w:sz="4" w:space="0"/>
              <w:right w:val="single" w:color="auto" w:sz="4" w:space="0"/>
            </w:tcBorders>
            <w:noWrap w:val="0"/>
            <w:vAlign w:val="center"/>
          </w:tcPr>
          <w:p w14:paraId="530915C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未按要求防治病虫害并发现病虫害受害程度达20％，或发现检疫性病虫害，乔木每株扣1分。</w:t>
            </w:r>
          </w:p>
        </w:tc>
        <w:tc>
          <w:tcPr>
            <w:tcW w:w="698" w:type="dxa"/>
            <w:vMerge w:val="restart"/>
            <w:tcBorders>
              <w:top w:val="nil"/>
              <w:left w:val="single" w:color="auto" w:sz="4" w:space="0"/>
              <w:bottom w:val="single" w:color="auto" w:sz="4" w:space="0"/>
              <w:right w:val="single" w:color="auto" w:sz="4" w:space="0"/>
            </w:tcBorders>
            <w:noWrap w:val="0"/>
            <w:vAlign w:val="center"/>
          </w:tcPr>
          <w:p w14:paraId="27BBD1E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w:t>
            </w:r>
          </w:p>
        </w:tc>
        <w:tc>
          <w:tcPr>
            <w:tcW w:w="750" w:type="dxa"/>
            <w:vMerge w:val="restart"/>
            <w:tcBorders>
              <w:top w:val="nil"/>
              <w:left w:val="single" w:color="auto" w:sz="4" w:space="0"/>
              <w:bottom w:val="single" w:color="000000" w:sz="4" w:space="0"/>
              <w:right w:val="single" w:color="auto" w:sz="4" w:space="0"/>
            </w:tcBorders>
            <w:noWrap w:val="0"/>
            <w:vAlign w:val="center"/>
          </w:tcPr>
          <w:p w14:paraId="4D68528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55386E7">
        <w:tblPrEx>
          <w:tblCellMar>
            <w:top w:w="0" w:type="dxa"/>
            <w:left w:w="108" w:type="dxa"/>
            <w:bottom w:w="0" w:type="dxa"/>
            <w:right w:w="108" w:type="dxa"/>
          </w:tblCellMar>
        </w:tblPrEx>
        <w:trPr>
          <w:trHeight w:val="505"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41C1166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2171AC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6A85A2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单植灌木每株扣0.5分；绿篱、花坛灌木花卉每平方米扣0.2分；地被每平方米扣0.15分；行道树每株扣2分；病虫害虽已治理，但造成植物损害程度达70%的，执行上述扣罚。</w:t>
            </w:r>
          </w:p>
        </w:tc>
        <w:tc>
          <w:tcPr>
            <w:tcW w:w="698" w:type="dxa"/>
            <w:vMerge w:val="continue"/>
            <w:tcBorders>
              <w:top w:val="nil"/>
              <w:left w:val="single" w:color="auto" w:sz="4" w:space="0"/>
              <w:bottom w:val="single" w:color="auto" w:sz="4" w:space="0"/>
              <w:right w:val="single" w:color="auto" w:sz="4" w:space="0"/>
            </w:tcBorders>
            <w:noWrap w:val="0"/>
            <w:vAlign w:val="center"/>
          </w:tcPr>
          <w:p w14:paraId="5A6992B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5297E53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C8B202A">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1BF3CC8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48C5CBF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6F162E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乔木的树洞应及时填灰保护，直径在4厘米以上的伤口要涂防腐层和保护层处理，保护层的颜色必须与树干颜色相一致，不影响景观。未达到上述要求的每株扣2分。</w:t>
            </w:r>
          </w:p>
        </w:tc>
        <w:tc>
          <w:tcPr>
            <w:tcW w:w="698" w:type="dxa"/>
            <w:tcBorders>
              <w:top w:val="nil"/>
              <w:left w:val="nil"/>
              <w:bottom w:val="single" w:color="auto" w:sz="4" w:space="0"/>
              <w:right w:val="single" w:color="auto" w:sz="4" w:space="0"/>
            </w:tcBorders>
            <w:noWrap w:val="0"/>
            <w:vAlign w:val="center"/>
          </w:tcPr>
          <w:p w14:paraId="0C46BD9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7CBCB46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06ED960">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130D64E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6D879B3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基础</w:t>
            </w:r>
          </w:p>
          <w:p w14:paraId="7C1F9D6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管养</w:t>
            </w:r>
          </w:p>
        </w:tc>
        <w:tc>
          <w:tcPr>
            <w:tcW w:w="7110" w:type="dxa"/>
            <w:tcBorders>
              <w:top w:val="nil"/>
              <w:left w:val="nil"/>
              <w:bottom w:val="single" w:color="auto" w:sz="4" w:space="0"/>
              <w:right w:val="single" w:color="auto" w:sz="4" w:space="0"/>
            </w:tcBorders>
            <w:noWrap w:val="0"/>
            <w:vAlign w:val="center"/>
          </w:tcPr>
          <w:p w14:paraId="4295563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要求除草松土的花坛、绿篱，没除草、没松土或松土不合格，每平方米花坛、绿篱扣0.2分；种植草花绿地内的单株灌木及新种植2年以内的乔木应进行松土，没松土或松土不合格（松土沟宽度应小于或等于30厘米），每株乔木扣0.2分，单株灌木扣0.1分，行道树每株扣0.5分。</w:t>
            </w:r>
          </w:p>
        </w:tc>
        <w:tc>
          <w:tcPr>
            <w:tcW w:w="698" w:type="dxa"/>
            <w:tcBorders>
              <w:top w:val="nil"/>
              <w:left w:val="nil"/>
              <w:bottom w:val="single" w:color="auto" w:sz="4" w:space="0"/>
              <w:right w:val="single" w:color="auto" w:sz="4" w:space="0"/>
            </w:tcBorders>
            <w:noWrap w:val="0"/>
            <w:vAlign w:val="center"/>
          </w:tcPr>
          <w:p w14:paraId="3FEAAA52">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w:t>
            </w:r>
          </w:p>
        </w:tc>
        <w:tc>
          <w:tcPr>
            <w:tcW w:w="750" w:type="dxa"/>
            <w:tcBorders>
              <w:top w:val="nil"/>
              <w:left w:val="nil"/>
              <w:bottom w:val="single" w:color="auto" w:sz="4" w:space="0"/>
              <w:right w:val="single" w:color="auto" w:sz="4" w:space="0"/>
            </w:tcBorders>
            <w:noWrap w:val="0"/>
            <w:vAlign w:val="center"/>
          </w:tcPr>
          <w:p w14:paraId="043C240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p w14:paraId="7C85187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p w14:paraId="5E84CE1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5BC78C3">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063572E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31DD5D7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2DC44A5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2平方米以下的草地凹凸不平（包括树坑、车轮印、管沟等），高差大于或等于5厘米，或长期积水的每平方米扣0.15分。</w:t>
            </w:r>
          </w:p>
        </w:tc>
        <w:tc>
          <w:tcPr>
            <w:tcW w:w="698" w:type="dxa"/>
            <w:tcBorders>
              <w:top w:val="nil"/>
              <w:left w:val="nil"/>
              <w:bottom w:val="single" w:color="auto" w:sz="4" w:space="0"/>
              <w:right w:val="single" w:color="auto" w:sz="4" w:space="0"/>
            </w:tcBorders>
            <w:noWrap w:val="0"/>
            <w:vAlign w:val="center"/>
          </w:tcPr>
          <w:p w14:paraId="76A77EB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0B889D7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A44EF1E">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6A7525C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6CD6B3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6935EAF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乔、灌木因管理不善明显缺水的，乔木和单株灌木每株、绿篱和花坛灌木花卉每平方米扣0.2分，行道树每株扣0.5分，悬挂绿化每株扣0.3分；草坪枯黄、生长不良，每平方米扣0.01分。</w:t>
            </w:r>
          </w:p>
        </w:tc>
        <w:tc>
          <w:tcPr>
            <w:tcW w:w="698" w:type="dxa"/>
            <w:tcBorders>
              <w:top w:val="nil"/>
              <w:left w:val="nil"/>
              <w:bottom w:val="single" w:color="auto" w:sz="4" w:space="0"/>
              <w:right w:val="single" w:color="auto" w:sz="4" w:space="0"/>
            </w:tcBorders>
            <w:noWrap w:val="0"/>
            <w:vAlign w:val="center"/>
          </w:tcPr>
          <w:p w14:paraId="27EE864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750" w:type="dxa"/>
            <w:tcBorders>
              <w:top w:val="nil"/>
              <w:left w:val="nil"/>
              <w:bottom w:val="single" w:color="auto" w:sz="4" w:space="0"/>
              <w:right w:val="single" w:color="auto" w:sz="4" w:space="0"/>
            </w:tcBorders>
            <w:noWrap w:val="0"/>
            <w:vAlign w:val="center"/>
          </w:tcPr>
          <w:p w14:paraId="6A151244">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CD6B303">
        <w:tblPrEx>
          <w:tblCellMar>
            <w:top w:w="0" w:type="dxa"/>
            <w:left w:w="108" w:type="dxa"/>
            <w:bottom w:w="0" w:type="dxa"/>
            <w:right w:w="108" w:type="dxa"/>
          </w:tblCellMar>
        </w:tblPrEx>
        <w:trPr>
          <w:trHeight w:val="23" w:hRule="atLeast"/>
        </w:trPr>
        <w:tc>
          <w:tcPr>
            <w:tcW w:w="664" w:type="dxa"/>
            <w:vMerge w:val="continue"/>
            <w:tcBorders>
              <w:top w:val="nil"/>
              <w:left w:val="single" w:color="auto" w:sz="4" w:space="0"/>
              <w:bottom w:val="single" w:color="auto" w:sz="4" w:space="0"/>
              <w:right w:val="single" w:color="auto" w:sz="4" w:space="0"/>
            </w:tcBorders>
            <w:noWrap w:val="0"/>
            <w:vAlign w:val="center"/>
          </w:tcPr>
          <w:p w14:paraId="2AC719A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67022DC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608A0F6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绿地受人为破坏未及时整治的每平方米扣0.3分。</w:t>
            </w:r>
          </w:p>
        </w:tc>
        <w:tc>
          <w:tcPr>
            <w:tcW w:w="698" w:type="dxa"/>
            <w:tcBorders>
              <w:top w:val="nil"/>
              <w:left w:val="nil"/>
              <w:bottom w:val="single" w:color="auto" w:sz="4" w:space="0"/>
              <w:right w:val="single" w:color="auto" w:sz="4" w:space="0"/>
            </w:tcBorders>
            <w:noWrap w:val="0"/>
            <w:vAlign w:val="center"/>
          </w:tcPr>
          <w:p w14:paraId="6C87AC1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0C5B4DF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E258AC4">
        <w:tblPrEx>
          <w:tblCellMar>
            <w:top w:w="0" w:type="dxa"/>
            <w:left w:w="108" w:type="dxa"/>
            <w:bottom w:w="0" w:type="dxa"/>
            <w:right w:w="108" w:type="dxa"/>
          </w:tblCellMar>
        </w:tblPrEx>
        <w:trPr>
          <w:trHeight w:val="23" w:hRule="atLeast"/>
        </w:trPr>
        <w:tc>
          <w:tcPr>
            <w:tcW w:w="664" w:type="dxa"/>
            <w:vMerge w:val="restart"/>
            <w:tcBorders>
              <w:top w:val="single" w:color="auto" w:sz="4" w:space="0"/>
              <w:left w:val="single" w:color="auto" w:sz="4" w:space="0"/>
              <w:right w:val="single" w:color="auto" w:sz="4" w:space="0"/>
            </w:tcBorders>
            <w:noWrap w:val="0"/>
            <w:vAlign w:val="center"/>
          </w:tcPr>
          <w:p w14:paraId="0F6757B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县城园林绿化管养</w:t>
            </w:r>
          </w:p>
        </w:tc>
        <w:tc>
          <w:tcPr>
            <w:tcW w:w="643" w:type="dxa"/>
            <w:vMerge w:val="restart"/>
            <w:tcBorders>
              <w:top w:val="single" w:color="auto" w:sz="4" w:space="0"/>
              <w:left w:val="single" w:color="auto" w:sz="4" w:space="0"/>
              <w:bottom w:val="single" w:color="auto" w:sz="4" w:space="0"/>
              <w:right w:val="single" w:color="auto" w:sz="4" w:space="0"/>
            </w:tcBorders>
            <w:noWrap w:val="0"/>
            <w:vAlign w:val="center"/>
          </w:tcPr>
          <w:p w14:paraId="7C4975E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施肥</w:t>
            </w:r>
          </w:p>
        </w:tc>
        <w:tc>
          <w:tcPr>
            <w:tcW w:w="7110" w:type="dxa"/>
            <w:tcBorders>
              <w:top w:val="single" w:color="auto" w:sz="4" w:space="0"/>
              <w:left w:val="nil"/>
              <w:bottom w:val="single" w:color="auto" w:sz="4" w:space="0"/>
              <w:right w:val="single" w:color="auto" w:sz="4" w:space="0"/>
            </w:tcBorders>
            <w:noWrap w:val="0"/>
            <w:vAlign w:val="center"/>
          </w:tcPr>
          <w:p w14:paraId="615E03E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乔、灌木及藤本植物生长不良的，乔木和单植灌木每株扣0.5分，行道树扣1.5分，灌木花坛每平方米扣0.02分。</w:t>
            </w:r>
          </w:p>
        </w:tc>
        <w:tc>
          <w:tcPr>
            <w:tcW w:w="698" w:type="dxa"/>
            <w:vMerge w:val="restart"/>
            <w:tcBorders>
              <w:top w:val="single" w:color="auto" w:sz="4" w:space="0"/>
              <w:left w:val="single" w:color="auto" w:sz="4" w:space="0"/>
              <w:bottom w:val="single" w:color="auto" w:sz="4" w:space="0"/>
              <w:right w:val="single" w:color="auto" w:sz="4" w:space="0"/>
            </w:tcBorders>
            <w:noWrap w:val="0"/>
            <w:vAlign w:val="center"/>
          </w:tcPr>
          <w:p w14:paraId="326A5E6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w:t>
            </w:r>
          </w:p>
        </w:tc>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14:paraId="50F0CFF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40C361B">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68BEBF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single" w:color="auto" w:sz="4" w:space="0"/>
              <w:left w:val="single" w:color="auto" w:sz="4" w:space="0"/>
              <w:bottom w:val="single" w:color="auto" w:sz="4" w:space="0"/>
              <w:right w:val="single" w:color="auto" w:sz="4" w:space="0"/>
            </w:tcBorders>
            <w:noWrap w:val="0"/>
            <w:vAlign w:val="center"/>
          </w:tcPr>
          <w:p w14:paraId="0BD73D3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2DA557B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施肥不符合要求，乔木和单株灌木每株扣0.5分，灌木和草本花坛每平方米扣0.5分。</w:t>
            </w:r>
          </w:p>
        </w:tc>
        <w:tc>
          <w:tcPr>
            <w:tcW w:w="698" w:type="dxa"/>
            <w:vMerge w:val="continue"/>
            <w:tcBorders>
              <w:top w:val="single" w:color="auto" w:sz="4" w:space="0"/>
              <w:left w:val="single" w:color="auto" w:sz="4" w:space="0"/>
              <w:bottom w:val="single" w:color="auto" w:sz="4" w:space="0"/>
              <w:right w:val="single" w:color="auto" w:sz="4" w:space="0"/>
            </w:tcBorders>
            <w:noWrap w:val="0"/>
            <w:vAlign w:val="center"/>
          </w:tcPr>
          <w:p w14:paraId="0D333D5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2F7172C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2AF1F37D">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B27952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0E1A717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设施</w:t>
            </w:r>
          </w:p>
          <w:p w14:paraId="13BE635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维护</w:t>
            </w:r>
          </w:p>
        </w:tc>
        <w:tc>
          <w:tcPr>
            <w:tcW w:w="7110" w:type="dxa"/>
            <w:tcBorders>
              <w:top w:val="nil"/>
              <w:left w:val="nil"/>
              <w:bottom w:val="single" w:color="auto" w:sz="4" w:space="0"/>
              <w:right w:val="single" w:color="auto" w:sz="4" w:space="0"/>
            </w:tcBorders>
            <w:noWrap w:val="0"/>
            <w:vAlign w:val="center"/>
          </w:tcPr>
          <w:p w14:paraId="16C06BA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护树设施安装不当或损坏不及时恢复，每株扣1分。</w:t>
            </w:r>
          </w:p>
        </w:tc>
        <w:tc>
          <w:tcPr>
            <w:tcW w:w="698" w:type="dxa"/>
            <w:tcBorders>
              <w:top w:val="nil"/>
              <w:left w:val="nil"/>
              <w:bottom w:val="single" w:color="auto" w:sz="4" w:space="0"/>
              <w:right w:val="single" w:color="auto" w:sz="4" w:space="0"/>
            </w:tcBorders>
            <w:noWrap w:val="0"/>
            <w:vAlign w:val="center"/>
          </w:tcPr>
          <w:p w14:paraId="2665EC4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nil"/>
              <w:left w:val="nil"/>
              <w:bottom w:val="single" w:color="auto" w:sz="4" w:space="0"/>
              <w:right w:val="single" w:color="auto" w:sz="4" w:space="0"/>
            </w:tcBorders>
            <w:noWrap w:val="0"/>
            <w:vAlign w:val="center"/>
          </w:tcPr>
          <w:p w14:paraId="740D5BC3">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782B4DC">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385111C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single" w:color="auto" w:sz="4" w:space="0"/>
              <w:left w:val="single" w:color="auto" w:sz="4" w:space="0"/>
              <w:bottom w:val="single" w:color="auto" w:sz="4" w:space="0"/>
              <w:right w:val="single" w:color="auto" w:sz="4" w:space="0"/>
            </w:tcBorders>
            <w:noWrap w:val="0"/>
            <w:vAlign w:val="center"/>
          </w:tcPr>
          <w:p w14:paraId="6A386DF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nil"/>
              <w:bottom w:val="single" w:color="auto" w:sz="4" w:space="0"/>
              <w:right w:val="single" w:color="auto" w:sz="4" w:space="0"/>
            </w:tcBorders>
            <w:noWrap w:val="0"/>
            <w:vAlign w:val="center"/>
          </w:tcPr>
          <w:p w14:paraId="65ABF06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为防止人流践踏而在绿地上设置的围护设施必须整齐、安全、文明，不得使用有刺铁线。违反上述规定设置围护设施的，每米扣0.2分。</w:t>
            </w:r>
          </w:p>
        </w:tc>
        <w:tc>
          <w:tcPr>
            <w:tcW w:w="698" w:type="dxa"/>
            <w:tcBorders>
              <w:top w:val="single" w:color="auto" w:sz="4" w:space="0"/>
              <w:left w:val="nil"/>
              <w:bottom w:val="single" w:color="auto" w:sz="4" w:space="0"/>
              <w:right w:val="single" w:color="auto" w:sz="4" w:space="0"/>
            </w:tcBorders>
            <w:noWrap w:val="0"/>
            <w:vAlign w:val="center"/>
          </w:tcPr>
          <w:p w14:paraId="0333339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50" w:type="dxa"/>
            <w:tcBorders>
              <w:top w:val="single" w:color="auto" w:sz="4" w:space="0"/>
              <w:left w:val="nil"/>
              <w:bottom w:val="single" w:color="auto" w:sz="4" w:space="0"/>
              <w:right w:val="single" w:color="auto" w:sz="4" w:space="0"/>
            </w:tcBorders>
            <w:noWrap w:val="0"/>
            <w:vAlign w:val="center"/>
          </w:tcPr>
          <w:p w14:paraId="4BC184E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AB8B617">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0F8682E3">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bottom w:val="single" w:color="auto" w:sz="4" w:space="0"/>
              <w:right w:val="single" w:color="auto" w:sz="4" w:space="0"/>
            </w:tcBorders>
            <w:noWrap w:val="0"/>
            <w:vAlign w:val="center"/>
          </w:tcPr>
          <w:p w14:paraId="713A647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w:t>
            </w:r>
          </w:p>
          <w:p w14:paraId="296DA1B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保洁</w:t>
            </w:r>
          </w:p>
        </w:tc>
        <w:tc>
          <w:tcPr>
            <w:tcW w:w="7110" w:type="dxa"/>
            <w:tcBorders>
              <w:top w:val="nil"/>
              <w:left w:val="nil"/>
              <w:bottom w:val="single" w:color="auto" w:sz="4" w:space="0"/>
              <w:right w:val="single" w:color="auto" w:sz="4" w:space="0"/>
            </w:tcBorders>
            <w:noWrap w:val="0"/>
            <w:vAlign w:val="center"/>
          </w:tcPr>
          <w:p w14:paraId="478AF9A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保洁时间内（每天的8：00-18：00）绿地上有垃圾杂物或影响景观的落叶未清理的，每件或每平方米扣0.05分。粪便、呕吐物及动物尸体严重影响环境、景观未清理扣0.3分。行道树上有垃圾杂物和明显断掉枝每件扣0.2分。</w:t>
            </w:r>
          </w:p>
        </w:tc>
        <w:tc>
          <w:tcPr>
            <w:tcW w:w="698" w:type="dxa"/>
            <w:tcBorders>
              <w:top w:val="nil"/>
              <w:left w:val="nil"/>
              <w:bottom w:val="single" w:color="auto" w:sz="4" w:space="0"/>
              <w:right w:val="single" w:color="auto" w:sz="4" w:space="0"/>
            </w:tcBorders>
            <w:noWrap w:val="0"/>
            <w:vAlign w:val="center"/>
          </w:tcPr>
          <w:p w14:paraId="0A47F9D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6.5</w:t>
            </w:r>
          </w:p>
        </w:tc>
        <w:tc>
          <w:tcPr>
            <w:tcW w:w="750" w:type="dxa"/>
            <w:tcBorders>
              <w:top w:val="nil"/>
              <w:left w:val="nil"/>
              <w:bottom w:val="single" w:color="auto" w:sz="4" w:space="0"/>
              <w:right w:val="single" w:color="auto" w:sz="4" w:space="0"/>
            </w:tcBorders>
            <w:noWrap w:val="0"/>
            <w:vAlign w:val="center"/>
          </w:tcPr>
          <w:p w14:paraId="39B2923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7A052E7">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486272F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408BBAB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7EAF8CD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w w:val="90"/>
                <w:kern w:val="0"/>
                <w:sz w:val="24"/>
                <w:szCs w:val="24"/>
              </w:rPr>
            </w:pPr>
            <w:r>
              <w:rPr>
                <w:rFonts w:hint="eastAsia" w:asciiTheme="minorEastAsia" w:hAnsiTheme="minorEastAsia" w:eastAsiaTheme="minorEastAsia" w:cstheme="minorEastAsia"/>
                <w:color w:val="auto"/>
                <w:kern w:val="0"/>
                <w:sz w:val="24"/>
                <w:szCs w:val="24"/>
              </w:rPr>
              <w:t>垃圾没按要求当天清运走,每堆扣0.25分，行道树修剪的枝条和清理的死树没按要求当天清走的,每堆扣2分。</w:t>
            </w:r>
          </w:p>
        </w:tc>
        <w:tc>
          <w:tcPr>
            <w:tcW w:w="698" w:type="dxa"/>
            <w:tcBorders>
              <w:top w:val="nil"/>
              <w:left w:val="nil"/>
              <w:bottom w:val="single" w:color="auto" w:sz="4" w:space="0"/>
              <w:right w:val="single" w:color="auto" w:sz="4" w:space="0"/>
            </w:tcBorders>
            <w:noWrap w:val="0"/>
            <w:vAlign w:val="center"/>
          </w:tcPr>
          <w:p w14:paraId="0C6B960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1B80480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8265967">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753AAE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05AF7BE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050AAC53">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焚烧垃圾每次每处扣2分。</w:t>
            </w:r>
          </w:p>
        </w:tc>
        <w:tc>
          <w:tcPr>
            <w:tcW w:w="698" w:type="dxa"/>
            <w:tcBorders>
              <w:top w:val="nil"/>
              <w:left w:val="nil"/>
              <w:bottom w:val="single" w:color="auto" w:sz="4" w:space="0"/>
              <w:right w:val="single" w:color="auto" w:sz="4" w:space="0"/>
            </w:tcBorders>
            <w:noWrap w:val="0"/>
            <w:vAlign w:val="center"/>
          </w:tcPr>
          <w:p w14:paraId="3812350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50" w:type="dxa"/>
            <w:tcBorders>
              <w:top w:val="nil"/>
              <w:left w:val="nil"/>
              <w:bottom w:val="single" w:color="auto" w:sz="4" w:space="0"/>
              <w:right w:val="single" w:color="auto" w:sz="4" w:space="0"/>
            </w:tcBorders>
            <w:noWrap w:val="0"/>
            <w:vAlign w:val="center"/>
          </w:tcPr>
          <w:p w14:paraId="3677176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492995FC">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483D105">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79F2AAD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27D4183C">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绿地上发现老鼠洞和死老鼠的，每个扣1分，鼠迹每处扣0.5分；蚊蝇滋生地，每处扣0.5分。</w:t>
            </w:r>
          </w:p>
        </w:tc>
        <w:tc>
          <w:tcPr>
            <w:tcW w:w="698" w:type="dxa"/>
            <w:tcBorders>
              <w:top w:val="nil"/>
              <w:left w:val="nil"/>
              <w:bottom w:val="single" w:color="auto" w:sz="4" w:space="0"/>
              <w:right w:val="single" w:color="auto" w:sz="4" w:space="0"/>
            </w:tcBorders>
            <w:noWrap w:val="0"/>
            <w:vAlign w:val="center"/>
          </w:tcPr>
          <w:p w14:paraId="3876A47E">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50" w:type="dxa"/>
            <w:tcBorders>
              <w:top w:val="nil"/>
              <w:left w:val="nil"/>
              <w:bottom w:val="single" w:color="auto" w:sz="4" w:space="0"/>
              <w:right w:val="single" w:color="auto" w:sz="4" w:space="0"/>
            </w:tcBorders>
            <w:noWrap w:val="0"/>
            <w:vAlign w:val="center"/>
          </w:tcPr>
          <w:p w14:paraId="408265D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737B2450">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D1BAB5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top w:val="nil"/>
              <w:left w:val="single" w:color="auto" w:sz="4" w:space="0"/>
              <w:bottom w:val="single" w:color="auto" w:sz="4" w:space="0"/>
              <w:right w:val="single" w:color="auto" w:sz="4" w:space="0"/>
            </w:tcBorders>
            <w:noWrap w:val="0"/>
            <w:vAlign w:val="center"/>
          </w:tcPr>
          <w:p w14:paraId="1BE0722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75CB01D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绿地有涂写张贴和悬挂未经批准的广告，晾衣服杂物等情况每处扣0.5分。</w:t>
            </w:r>
          </w:p>
        </w:tc>
        <w:tc>
          <w:tcPr>
            <w:tcW w:w="698" w:type="dxa"/>
            <w:tcBorders>
              <w:top w:val="nil"/>
              <w:left w:val="nil"/>
              <w:bottom w:val="single" w:color="auto" w:sz="4" w:space="0"/>
              <w:right w:val="single" w:color="auto" w:sz="4" w:space="0"/>
            </w:tcBorders>
            <w:noWrap w:val="0"/>
            <w:vAlign w:val="center"/>
          </w:tcPr>
          <w:p w14:paraId="43B1CE6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0.5</w:t>
            </w:r>
          </w:p>
        </w:tc>
        <w:tc>
          <w:tcPr>
            <w:tcW w:w="750" w:type="dxa"/>
            <w:tcBorders>
              <w:top w:val="nil"/>
              <w:left w:val="nil"/>
              <w:bottom w:val="single" w:color="auto" w:sz="4" w:space="0"/>
              <w:right w:val="single" w:color="auto" w:sz="4" w:space="0"/>
            </w:tcBorders>
            <w:noWrap w:val="0"/>
            <w:vAlign w:val="center"/>
          </w:tcPr>
          <w:p w14:paraId="04232FB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64206642">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91E099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restart"/>
            <w:tcBorders>
              <w:top w:val="nil"/>
              <w:left w:val="single" w:color="auto" w:sz="4" w:space="0"/>
              <w:right w:val="single" w:color="auto" w:sz="4" w:space="0"/>
            </w:tcBorders>
            <w:noWrap w:val="0"/>
            <w:vAlign w:val="center"/>
          </w:tcPr>
          <w:p w14:paraId="4A7AE868">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其他</w:t>
            </w:r>
          </w:p>
          <w:p w14:paraId="384A008D">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工作</w:t>
            </w:r>
          </w:p>
        </w:tc>
        <w:tc>
          <w:tcPr>
            <w:tcW w:w="7110" w:type="dxa"/>
            <w:tcBorders>
              <w:top w:val="nil"/>
              <w:left w:val="nil"/>
              <w:bottom w:val="single" w:color="auto" w:sz="4" w:space="0"/>
              <w:right w:val="single" w:color="auto" w:sz="4" w:space="0"/>
            </w:tcBorders>
            <w:noWrap w:val="0"/>
            <w:vAlign w:val="center"/>
          </w:tcPr>
          <w:p w14:paraId="6579AC0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上班时对人为损坏设施、破坏花草树木的行为不及时制止，作业造成设施及花草树木损坏的，每次扣2分；对行道树和绿地内设施及花草树木损坏的，要求当天对现场进行处理并在5天内修复或补植，如不按时完成，按修复费用加倍罚款，当天未对现场进行处理的，绿地每处或行道树每株扣2分。</w:t>
            </w:r>
          </w:p>
        </w:tc>
        <w:tc>
          <w:tcPr>
            <w:tcW w:w="698" w:type="dxa"/>
            <w:vMerge w:val="restart"/>
            <w:tcBorders>
              <w:top w:val="nil"/>
              <w:left w:val="single" w:color="auto" w:sz="4" w:space="0"/>
              <w:right w:val="single" w:color="auto" w:sz="4" w:space="0"/>
            </w:tcBorders>
            <w:noWrap w:val="0"/>
            <w:vAlign w:val="center"/>
          </w:tcPr>
          <w:p w14:paraId="18BB865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w:t>
            </w:r>
          </w:p>
        </w:tc>
        <w:tc>
          <w:tcPr>
            <w:tcW w:w="750" w:type="dxa"/>
            <w:vMerge w:val="restart"/>
            <w:tcBorders>
              <w:top w:val="nil"/>
              <w:left w:val="single" w:color="auto" w:sz="4" w:space="0"/>
              <w:right w:val="single" w:color="auto" w:sz="4" w:space="0"/>
            </w:tcBorders>
            <w:noWrap w:val="0"/>
            <w:vAlign w:val="center"/>
          </w:tcPr>
          <w:p w14:paraId="34C83456">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159B5285">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7BA52A59">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4459FF7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3CEE2F5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对非法占用绿地红线的行为不制止，对上级批准临时占用绿地有超出规定范围的情况没及时上报，绿地每平方米扣1分，乔木每株扣5分。</w:t>
            </w:r>
          </w:p>
        </w:tc>
        <w:tc>
          <w:tcPr>
            <w:tcW w:w="698" w:type="dxa"/>
            <w:vMerge w:val="continue"/>
            <w:tcBorders>
              <w:left w:val="single" w:color="auto" w:sz="4" w:space="0"/>
              <w:right w:val="single" w:color="auto" w:sz="4" w:space="0"/>
            </w:tcBorders>
            <w:noWrap w:val="0"/>
            <w:vAlign w:val="center"/>
          </w:tcPr>
          <w:p w14:paraId="4FBE266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11425869">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C637A16">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BE18311">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6F9D8852">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69B6CDC6">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紧急情况不积极组织抢险，造成交通阻塞或使损失加大，每次扣5分。</w:t>
            </w:r>
          </w:p>
        </w:tc>
        <w:tc>
          <w:tcPr>
            <w:tcW w:w="698" w:type="dxa"/>
            <w:vMerge w:val="continue"/>
            <w:tcBorders>
              <w:left w:val="single" w:color="auto" w:sz="4" w:space="0"/>
              <w:right w:val="single" w:color="auto" w:sz="4" w:space="0"/>
            </w:tcBorders>
            <w:noWrap w:val="0"/>
            <w:vAlign w:val="center"/>
          </w:tcPr>
          <w:p w14:paraId="34E590BC">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33CD0AB5">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7060928">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1DBC678D">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0D20AF9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nil"/>
              <w:left w:val="nil"/>
              <w:bottom w:val="single" w:color="auto" w:sz="4" w:space="0"/>
              <w:right w:val="single" w:color="auto" w:sz="4" w:space="0"/>
            </w:tcBorders>
            <w:noWrap w:val="0"/>
            <w:vAlign w:val="center"/>
          </w:tcPr>
          <w:p w14:paraId="455B3048">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对绿地内的安全隐患，未及时消除或采取有效防患措施，每处扣5分。</w:t>
            </w:r>
          </w:p>
        </w:tc>
        <w:tc>
          <w:tcPr>
            <w:tcW w:w="698" w:type="dxa"/>
            <w:vMerge w:val="continue"/>
            <w:tcBorders>
              <w:left w:val="single" w:color="auto" w:sz="4" w:space="0"/>
              <w:right w:val="single" w:color="auto" w:sz="4" w:space="0"/>
            </w:tcBorders>
            <w:noWrap w:val="0"/>
            <w:vAlign w:val="center"/>
          </w:tcPr>
          <w:p w14:paraId="334F7AC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6EA89C8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3EE07560">
        <w:tblPrEx>
          <w:tblCellMar>
            <w:top w:w="0" w:type="dxa"/>
            <w:left w:w="108" w:type="dxa"/>
            <w:bottom w:w="0" w:type="dxa"/>
            <w:right w:w="108" w:type="dxa"/>
          </w:tblCellMar>
        </w:tblPrEx>
        <w:trPr>
          <w:trHeight w:val="23" w:hRule="atLeast"/>
        </w:trPr>
        <w:tc>
          <w:tcPr>
            <w:tcW w:w="664" w:type="dxa"/>
            <w:vMerge w:val="continue"/>
            <w:tcBorders>
              <w:left w:val="single" w:color="auto" w:sz="4" w:space="0"/>
              <w:right w:val="single" w:color="auto" w:sz="4" w:space="0"/>
            </w:tcBorders>
            <w:noWrap w:val="0"/>
            <w:vAlign w:val="center"/>
          </w:tcPr>
          <w:p w14:paraId="69AF4A3A">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right w:val="single" w:color="auto" w:sz="4" w:space="0"/>
            </w:tcBorders>
            <w:noWrap w:val="0"/>
            <w:vAlign w:val="center"/>
          </w:tcPr>
          <w:p w14:paraId="517E3CCB">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6300E280">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养护</w:t>
            </w:r>
            <w:r>
              <w:rPr>
                <w:rFonts w:hint="eastAsia" w:asciiTheme="minorEastAsia" w:hAnsiTheme="minorEastAsia" w:eastAsiaTheme="minorEastAsia" w:cstheme="minorEastAsia"/>
                <w:color w:val="auto"/>
                <w:sz w:val="24"/>
                <w:szCs w:val="24"/>
              </w:rPr>
              <w:t>一线工作人员要求着统一工作服、穿戴反光衣或反光袖</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一线工作人员未按要求着装的，当月评分每人次扣</w:t>
            </w:r>
            <w:r>
              <w:rPr>
                <w:rFonts w:hint="eastAsia" w:asciiTheme="minorEastAsia" w:hAnsiTheme="minorEastAsia" w:eastAsiaTheme="minorEastAsia" w:cstheme="minorEastAsia"/>
                <w:color w:val="auto"/>
                <w:sz w:val="24"/>
                <w:szCs w:val="24"/>
                <w:lang w:val="en-US" w:eastAsia="zh-CN"/>
              </w:rPr>
              <w:t>0.2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kern w:val="0"/>
                <w:sz w:val="24"/>
                <w:szCs w:val="24"/>
              </w:rPr>
              <w:t>养护</w:t>
            </w:r>
            <w:r>
              <w:rPr>
                <w:rFonts w:hint="eastAsia" w:asciiTheme="minorEastAsia" w:hAnsiTheme="minorEastAsia" w:eastAsiaTheme="minorEastAsia" w:cstheme="minorEastAsia"/>
                <w:color w:val="auto"/>
                <w:sz w:val="24"/>
                <w:szCs w:val="24"/>
              </w:rPr>
              <w:t>一线工作人员</w:t>
            </w:r>
            <w:r>
              <w:rPr>
                <w:rFonts w:hint="eastAsia" w:asciiTheme="minorEastAsia" w:hAnsiTheme="minorEastAsia" w:eastAsiaTheme="minorEastAsia" w:cstheme="minorEastAsia"/>
                <w:color w:val="auto"/>
                <w:kern w:val="0"/>
                <w:sz w:val="24"/>
                <w:szCs w:val="24"/>
              </w:rPr>
              <w:t>工作时佩戴必要的防护用具，不按要求戴护具每次扣2分，造成安全生产事故的，当月考核不合格。</w:t>
            </w:r>
          </w:p>
        </w:tc>
        <w:tc>
          <w:tcPr>
            <w:tcW w:w="698" w:type="dxa"/>
            <w:vMerge w:val="continue"/>
            <w:tcBorders>
              <w:left w:val="single" w:color="auto" w:sz="4" w:space="0"/>
              <w:right w:val="single" w:color="auto" w:sz="4" w:space="0"/>
            </w:tcBorders>
            <w:noWrap w:val="0"/>
            <w:vAlign w:val="center"/>
          </w:tcPr>
          <w:p w14:paraId="4DA2F7D0">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right w:val="single" w:color="auto" w:sz="4" w:space="0"/>
            </w:tcBorders>
            <w:noWrap w:val="0"/>
            <w:vAlign w:val="center"/>
          </w:tcPr>
          <w:p w14:paraId="4CEA0D31">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04956AE7">
        <w:tblPrEx>
          <w:tblCellMar>
            <w:top w:w="0" w:type="dxa"/>
            <w:left w:w="108" w:type="dxa"/>
            <w:bottom w:w="0" w:type="dxa"/>
            <w:right w:w="108" w:type="dxa"/>
          </w:tblCellMar>
        </w:tblPrEx>
        <w:trPr>
          <w:trHeight w:val="23" w:hRule="atLeast"/>
        </w:trPr>
        <w:tc>
          <w:tcPr>
            <w:tcW w:w="664" w:type="dxa"/>
            <w:vMerge w:val="continue"/>
            <w:tcBorders>
              <w:left w:val="single" w:color="auto" w:sz="4" w:space="0"/>
              <w:bottom w:val="single" w:color="auto" w:sz="4" w:space="0"/>
              <w:right w:val="single" w:color="auto" w:sz="4" w:space="0"/>
            </w:tcBorders>
            <w:noWrap w:val="0"/>
            <w:vAlign w:val="center"/>
          </w:tcPr>
          <w:p w14:paraId="7A795B0E">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vMerge w:val="continue"/>
            <w:tcBorders>
              <w:left w:val="single" w:color="auto" w:sz="4" w:space="0"/>
              <w:bottom w:val="single" w:color="auto" w:sz="4" w:space="0"/>
              <w:right w:val="single" w:color="auto" w:sz="4" w:space="0"/>
            </w:tcBorders>
            <w:noWrap w:val="0"/>
            <w:vAlign w:val="center"/>
          </w:tcPr>
          <w:p w14:paraId="5376D6A4">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1E906227">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有居民对县城绿化问题进行投诉，经调查情况属实的，每次扣5分。</w:t>
            </w:r>
            <w:r>
              <w:rPr>
                <w:rFonts w:hint="eastAsia" w:asciiTheme="minorEastAsia" w:hAnsiTheme="minorEastAsia" w:eastAsiaTheme="minorEastAsia" w:cstheme="minorEastAsia"/>
                <w:color w:val="auto"/>
                <w:sz w:val="24"/>
                <w:szCs w:val="24"/>
              </w:rPr>
              <w:t>养护管理出现问题被相关部门检查通报的，每宗扣</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tc>
        <w:tc>
          <w:tcPr>
            <w:tcW w:w="698" w:type="dxa"/>
            <w:vMerge w:val="continue"/>
            <w:tcBorders>
              <w:left w:val="single" w:color="auto" w:sz="4" w:space="0"/>
              <w:bottom w:val="single" w:color="auto" w:sz="4" w:space="0"/>
              <w:right w:val="single" w:color="auto" w:sz="4" w:space="0"/>
            </w:tcBorders>
            <w:noWrap w:val="0"/>
            <w:vAlign w:val="center"/>
          </w:tcPr>
          <w:p w14:paraId="08F9CE4B">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c>
          <w:tcPr>
            <w:tcW w:w="750" w:type="dxa"/>
            <w:vMerge w:val="continue"/>
            <w:tcBorders>
              <w:left w:val="single" w:color="auto" w:sz="4" w:space="0"/>
              <w:bottom w:val="single" w:color="auto" w:sz="4" w:space="0"/>
              <w:right w:val="single" w:color="auto" w:sz="4" w:space="0"/>
            </w:tcBorders>
            <w:noWrap w:val="0"/>
            <w:vAlign w:val="center"/>
          </w:tcPr>
          <w:p w14:paraId="352F59EA">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kern w:val="0"/>
                <w:sz w:val="24"/>
                <w:szCs w:val="24"/>
              </w:rPr>
            </w:pPr>
          </w:p>
        </w:tc>
      </w:tr>
      <w:tr w14:paraId="51E3AA30">
        <w:tblPrEx>
          <w:tblCellMar>
            <w:top w:w="0" w:type="dxa"/>
            <w:left w:w="108" w:type="dxa"/>
            <w:bottom w:w="0" w:type="dxa"/>
            <w:right w:w="108" w:type="dxa"/>
          </w:tblCellMar>
        </w:tblPrEx>
        <w:trPr>
          <w:trHeight w:val="23" w:hRule="atLeast"/>
        </w:trPr>
        <w:tc>
          <w:tcPr>
            <w:tcW w:w="664" w:type="dxa"/>
            <w:tcBorders>
              <w:left w:val="single" w:color="auto" w:sz="4" w:space="0"/>
              <w:bottom w:val="single" w:color="auto" w:sz="4" w:space="0"/>
              <w:right w:val="single" w:color="auto" w:sz="4" w:space="0"/>
            </w:tcBorders>
            <w:noWrap w:val="0"/>
            <w:vAlign w:val="center"/>
          </w:tcPr>
          <w:p w14:paraId="618A36E2">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643" w:type="dxa"/>
            <w:tcBorders>
              <w:left w:val="single" w:color="auto" w:sz="4" w:space="0"/>
              <w:bottom w:val="single" w:color="auto" w:sz="4" w:space="0"/>
              <w:right w:val="single" w:color="auto" w:sz="4" w:space="0"/>
            </w:tcBorders>
            <w:noWrap w:val="0"/>
            <w:vAlign w:val="center"/>
          </w:tcPr>
          <w:p w14:paraId="667542DF">
            <w:pPr>
              <w:keepNext w:val="0"/>
              <w:keepLines w:val="0"/>
              <w:pageBreakBefore w:val="0"/>
              <w:widowControl/>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kern w:val="0"/>
                <w:sz w:val="24"/>
                <w:szCs w:val="24"/>
              </w:rPr>
            </w:pPr>
          </w:p>
        </w:tc>
        <w:tc>
          <w:tcPr>
            <w:tcW w:w="7110" w:type="dxa"/>
            <w:tcBorders>
              <w:top w:val="single" w:color="auto" w:sz="4" w:space="0"/>
              <w:left w:val="single" w:color="auto" w:sz="4" w:space="0"/>
              <w:bottom w:val="single" w:color="auto" w:sz="4" w:space="0"/>
              <w:right w:val="single" w:color="auto" w:sz="4" w:space="0"/>
            </w:tcBorders>
            <w:noWrap w:val="0"/>
            <w:vAlign w:val="center"/>
          </w:tcPr>
          <w:p w14:paraId="6D945B3F">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b/>
                <w:bCs/>
                <w:color w:val="auto"/>
                <w:kern w:val="0"/>
                <w:sz w:val="24"/>
                <w:szCs w:val="24"/>
                <w:lang w:eastAsia="zh-CN"/>
              </w:rPr>
            </w:pPr>
            <w:r>
              <w:rPr>
                <w:rFonts w:hint="eastAsia" w:asciiTheme="minorEastAsia" w:hAnsiTheme="minorEastAsia" w:eastAsiaTheme="minorEastAsia" w:cstheme="minorEastAsia"/>
                <w:b/>
                <w:bCs/>
                <w:color w:val="auto"/>
                <w:kern w:val="0"/>
                <w:sz w:val="24"/>
                <w:szCs w:val="24"/>
                <w:lang w:eastAsia="zh-CN"/>
              </w:rPr>
              <w:t>合计</w:t>
            </w:r>
          </w:p>
        </w:tc>
        <w:tc>
          <w:tcPr>
            <w:tcW w:w="1448" w:type="dxa"/>
            <w:gridSpan w:val="2"/>
            <w:tcBorders>
              <w:left w:val="single" w:color="auto" w:sz="4" w:space="0"/>
              <w:bottom w:val="single" w:color="auto" w:sz="4" w:space="0"/>
              <w:right w:val="single" w:color="auto" w:sz="4" w:space="0"/>
            </w:tcBorders>
            <w:noWrap w:val="0"/>
            <w:vAlign w:val="center"/>
          </w:tcPr>
          <w:p w14:paraId="7AE995A7">
            <w:pPr>
              <w:keepNext w:val="0"/>
              <w:keepLines w:val="0"/>
              <w:pageBreakBefore w:val="0"/>
              <w:widowControl/>
              <w:kinsoku/>
              <w:wordWrap/>
              <w:overflowPunct/>
              <w:topLinePunct w:val="0"/>
              <w:autoSpaceDE/>
              <w:autoSpaceDN/>
              <w:bidi w:val="0"/>
              <w:adjustRightInd/>
              <w:snapToGrid/>
              <w:spacing w:line="236" w:lineRule="auto"/>
              <w:jc w:val="center"/>
              <w:textAlignment w:val="auto"/>
              <w:rPr>
                <w:rFonts w:hint="eastAsia" w:asciiTheme="minorEastAsia" w:hAnsiTheme="minorEastAsia" w:eastAsiaTheme="minorEastAsia" w:cstheme="minorEastAsia"/>
                <w:color w:val="auto"/>
                <w:sz w:val="24"/>
                <w:szCs w:val="24"/>
              </w:rPr>
            </w:pPr>
          </w:p>
          <w:p w14:paraId="0EAC7816">
            <w:pPr>
              <w:pStyle w:val="2"/>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sz w:val="24"/>
                <w:szCs w:val="24"/>
              </w:rPr>
            </w:pPr>
          </w:p>
        </w:tc>
      </w:tr>
      <w:tr w14:paraId="05381794">
        <w:tblPrEx>
          <w:tblCellMar>
            <w:top w:w="0" w:type="dxa"/>
            <w:left w:w="108" w:type="dxa"/>
            <w:bottom w:w="0" w:type="dxa"/>
            <w:right w:w="108" w:type="dxa"/>
          </w:tblCellMar>
        </w:tblPrEx>
        <w:trPr>
          <w:trHeight w:val="23" w:hRule="atLeast"/>
        </w:trPr>
        <w:tc>
          <w:tcPr>
            <w:tcW w:w="9865" w:type="dxa"/>
            <w:gridSpan w:val="5"/>
            <w:tcBorders>
              <w:top w:val="single" w:color="auto" w:sz="4" w:space="0"/>
              <w:left w:val="nil"/>
              <w:bottom w:val="nil"/>
              <w:right w:val="nil"/>
            </w:tcBorders>
            <w:noWrap w:val="0"/>
            <w:vAlign w:val="center"/>
          </w:tcPr>
          <w:p w14:paraId="053440B5">
            <w:pPr>
              <w:keepNext w:val="0"/>
              <w:keepLines w:val="0"/>
              <w:pageBreakBefore w:val="0"/>
              <w:widowControl/>
              <w:kinsoku/>
              <w:wordWrap/>
              <w:overflowPunct/>
              <w:topLinePunct w:val="0"/>
              <w:autoSpaceDE/>
              <w:autoSpaceDN/>
              <w:bidi w:val="0"/>
              <w:adjustRightInd/>
              <w:snapToGrid/>
              <w:spacing w:line="236" w:lineRule="auto"/>
              <w:ind w:left="945" w:hanging="1080" w:hangingChars="450"/>
              <w:textAlignment w:val="auto"/>
              <w:rPr>
                <w:rFonts w:hint="eastAsia" w:asciiTheme="minorEastAsia" w:hAnsiTheme="minorEastAsia" w:eastAsiaTheme="minorEastAsia" w:cstheme="minorEastAsia"/>
                <w:color w:val="auto"/>
                <w:kern w:val="0"/>
                <w:sz w:val="24"/>
                <w:szCs w:val="24"/>
              </w:rPr>
            </w:pPr>
          </w:p>
          <w:p w14:paraId="524B6E5B">
            <w:pPr>
              <w:keepNext w:val="0"/>
              <w:keepLines w:val="0"/>
              <w:pageBreakBefore w:val="0"/>
              <w:widowControl/>
              <w:kinsoku/>
              <w:wordWrap/>
              <w:overflowPunct/>
              <w:topLinePunct w:val="0"/>
              <w:autoSpaceDE/>
              <w:autoSpaceDN/>
              <w:bidi w:val="0"/>
              <w:adjustRightInd/>
              <w:snapToGrid/>
              <w:spacing w:line="236" w:lineRule="auto"/>
              <w:ind w:left="945" w:hanging="1080" w:hangingChars="45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说明：1.每个考评内容，在考评时该项工作不在季节，不必进行，那么仍列入考评内容，只是此项不考评，但被考评单位该项目计全分。</w:t>
            </w:r>
          </w:p>
        </w:tc>
      </w:tr>
      <w:tr w14:paraId="2AC3A976">
        <w:tblPrEx>
          <w:tblCellMar>
            <w:top w:w="0" w:type="dxa"/>
            <w:left w:w="108" w:type="dxa"/>
            <w:bottom w:w="0" w:type="dxa"/>
            <w:right w:w="108" w:type="dxa"/>
          </w:tblCellMar>
        </w:tblPrEx>
        <w:trPr>
          <w:trHeight w:val="23" w:hRule="atLeast"/>
        </w:trPr>
        <w:tc>
          <w:tcPr>
            <w:tcW w:w="9865" w:type="dxa"/>
            <w:gridSpan w:val="5"/>
            <w:tcBorders>
              <w:top w:val="nil"/>
              <w:left w:val="nil"/>
              <w:bottom w:val="nil"/>
              <w:right w:val="nil"/>
            </w:tcBorders>
            <w:noWrap w:val="0"/>
            <w:vAlign w:val="center"/>
          </w:tcPr>
          <w:p w14:paraId="4BD90BF2">
            <w:pPr>
              <w:keepNext w:val="0"/>
              <w:keepLines w:val="0"/>
              <w:pageBreakBefore w:val="0"/>
              <w:widowControl/>
              <w:kinsoku/>
              <w:wordWrap/>
              <w:overflowPunct/>
              <w:topLinePunct w:val="0"/>
              <w:autoSpaceDE/>
              <w:autoSpaceDN/>
              <w:bidi w:val="0"/>
              <w:adjustRightInd/>
              <w:snapToGrid/>
              <w:spacing w:line="236" w:lineRule="auto"/>
              <w:ind w:firstLine="720" w:firstLineChars="3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2.每个考评内容发生扣分，只扣单项分，扣完为止，不另计负分。</w:t>
            </w:r>
          </w:p>
        </w:tc>
      </w:tr>
    </w:tbl>
    <w:p w14:paraId="3F0DDC90">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3D654D30">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b/>
          <w:bCs/>
          <w:color w:val="auto"/>
          <w:sz w:val="24"/>
          <w:szCs w:val="24"/>
        </w:rPr>
      </w:pPr>
    </w:p>
    <w:p w14:paraId="380026DD">
      <w:pPr>
        <w:keepNext w:val="0"/>
        <w:keepLines w:val="0"/>
        <w:pageBreakBefore w:val="0"/>
        <w:kinsoku/>
        <w:wordWrap/>
        <w:overflowPunct/>
        <w:topLinePunct w:val="0"/>
        <w:autoSpaceDE/>
        <w:autoSpaceDN/>
        <w:bidi w:val="0"/>
        <w:adjustRightInd/>
        <w:snapToGrid/>
        <w:spacing w:line="236" w:lineRule="auto"/>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bCs/>
          <w:color w:val="auto"/>
          <w:sz w:val="24"/>
          <w:szCs w:val="24"/>
          <w:lang w:eastAsia="zh-CN"/>
        </w:rPr>
        <w:t>发包方</w:t>
      </w:r>
      <w:r>
        <w:rPr>
          <w:rFonts w:hint="eastAsia" w:asciiTheme="minorEastAsia" w:hAnsiTheme="minorEastAsia" w:eastAsiaTheme="minorEastAsia" w:cstheme="minorEastAsia"/>
          <w:b/>
          <w:bCs/>
          <w:color w:val="auto"/>
          <w:sz w:val="24"/>
          <w:szCs w:val="24"/>
        </w:rPr>
        <w:t xml:space="preserve">考核人员：                     </w:t>
      </w:r>
      <w:r>
        <w:rPr>
          <w:rFonts w:hint="eastAsia" w:asciiTheme="minorEastAsia" w:hAnsiTheme="minorEastAsia" w:eastAsiaTheme="minorEastAsia" w:cstheme="minorEastAsia"/>
          <w:b/>
          <w:color w:val="auto"/>
          <w:sz w:val="24"/>
          <w:szCs w:val="24"/>
        </w:rPr>
        <w:t>考核</w:t>
      </w:r>
      <w:r>
        <w:rPr>
          <w:rFonts w:hint="eastAsia" w:asciiTheme="minorEastAsia" w:hAnsiTheme="minorEastAsia" w:eastAsiaTheme="minorEastAsia" w:cstheme="minorEastAsia"/>
          <w:b/>
          <w:color w:val="auto"/>
          <w:sz w:val="24"/>
          <w:szCs w:val="24"/>
          <w:lang w:eastAsia="zh-CN"/>
        </w:rPr>
        <w:t>日期</w:t>
      </w:r>
      <w:r>
        <w:rPr>
          <w:rFonts w:hint="eastAsia" w:asciiTheme="minorEastAsia" w:hAnsiTheme="minorEastAsia" w:eastAsiaTheme="minorEastAsia" w:cstheme="minorEastAsia"/>
          <w:b/>
          <w:bCs/>
          <w:color w:val="auto"/>
          <w:sz w:val="24"/>
          <w:szCs w:val="24"/>
        </w:rPr>
        <w:t xml:space="preserve">：     </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br w:type="page"/>
      </w:r>
      <w:r>
        <w:rPr>
          <w:rFonts w:hint="eastAsia" w:asciiTheme="minorEastAsia" w:hAnsiTheme="minorEastAsia" w:eastAsiaTheme="minorEastAsia" w:cstheme="minorEastAsia"/>
          <w:bCs/>
          <w:color w:val="auto"/>
          <w:sz w:val="24"/>
          <w:szCs w:val="24"/>
        </w:rPr>
        <w:t>附件</w:t>
      </w:r>
      <w:r>
        <w:rPr>
          <w:rFonts w:hint="eastAsia" w:asciiTheme="minorEastAsia" w:hAnsiTheme="minorEastAsia" w:eastAsiaTheme="minorEastAsia" w:cstheme="minorEastAsia"/>
          <w:bCs/>
          <w:color w:val="auto"/>
          <w:sz w:val="24"/>
          <w:szCs w:val="24"/>
          <w:lang w:val="en-US" w:eastAsia="zh-CN"/>
        </w:rPr>
        <w:t>6：</w:t>
      </w:r>
    </w:p>
    <w:p w14:paraId="4BECE521">
      <w:pPr>
        <w:spacing w:line="360" w:lineRule="auto"/>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蒙山县园林绿化管理所</w:t>
      </w:r>
      <w:r>
        <w:rPr>
          <w:rFonts w:hint="eastAsia" w:asciiTheme="minorEastAsia" w:hAnsiTheme="minorEastAsia" w:eastAsiaTheme="minorEastAsia" w:cstheme="minorEastAsia"/>
          <w:b/>
          <w:bCs/>
          <w:color w:val="auto"/>
          <w:sz w:val="24"/>
          <w:szCs w:val="24"/>
        </w:rPr>
        <w:t>绿化作业安全管理办法</w:t>
      </w:r>
    </w:p>
    <w:p w14:paraId="1925C450">
      <w:pPr>
        <w:spacing w:line="360" w:lineRule="auto"/>
        <w:rPr>
          <w:rFonts w:hint="eastAsia" w:asciiTheme="minorEastAsia" w:hAnsiTheme="minorEastAsia" w:eastAsiaTheme="minorEastAsia" w:cstheme="minorEastAsia"/>
          <w:color w:val="auto"/>
          <w:sz w:val="24"/>
          <w:szCs w:val="24"/>
        </w:rPr>
      </w:pPr>
    </w:p>
    <w:p w14:paraId="04299043">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一、总则</w:t>
      </w:r>
    </w:p>
    <w:p w14:paraId="1A889B69">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人必须对生产作业一线人员进行生产作业的安全教育和培训，保证作业人员具备必要的安全生产作业知识，熟悉有关的安全生产作业规章制度和安全操作规程，掌握本岗位的安全操作技能，经安全教育和培训并考试合格后方可上岗。</w:t>
      </w:r>
    </w:p>
    <w:p w14:paraId="68DCC32F">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二、绿化作业人员作业规范 （含植保、整形）</w:t>
      </w:r>
    </w:p>
    <w:p w14:paraId="799C8EF7">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（一）养护人员在进行养护工作时必须穿统一的工作服。</w:t>
      </w:r>
    </w:p>
    <w:p w14:paraId="6E98D20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（二）使用打草机及绿篱修剪机、油锯等机械时，首先必须检查好器械的性能，使用前对草地及色块进行检查，清理石块、铁线等杂物，戴好防护眼镜、安全帽等防护用具，并做好警示标志。</w:t>
      </w:r>
    </w:p>
    <w:p w14:paraId="2FC686A8">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（三）植保工作，触及农药时，必须戴好胶手套、口罩、眼镜等防护品。</w:t>
      </w:r>
    </w:p>
    <w:p w14:paraId="3D09514A">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（四）高大乔木整形、修剪工作时，必须戴好安全帽，在高枝车上或上树后系好安全绳。</w:t>
      </w:r>
    </w:p>
    <w:p w14:paraId="40E5DB36">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（五）水车淋水工、植保工在车上作业时必须穿安全防护服，戴安全帽。如工作需要登上水箱，必须系好安全绳。</w:t>
      </w:r>
    </w:p>
    <w:p w14:paraId="379D51D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（六）使用锄、铲、斧等工具前要先检查其是否牢固，操作时要注意周围，避免对面和交叉作业。</w:t>
      </w:r>
    </w:p>
    <w:p w14:paraId="63A03871">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 反光安全锥、警示牌的放置</w:t>
      </w:r>
    </w:p>
    <w:p w14:paraId="16FB012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1.工作范围应放置反光安全锥或警示带包围。警示牌应放置在安全锥前方20米处，并确保稳固。</w:t>
      </w:r>
    </w:p>
    <w:p w14:paraId="4852C96A">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2.在园路上作业时，应在醒目处放置“绿化作业，小心绕行”的警示牌。</w:t>
      </w:r>
    </w:p>
    <w:p w14:paraId="6483AE2B">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三、农药的保存、出库、配比及喷用作业规范</w:t>
      </w:r>
    </w:p>
    <w:p w14:paraId="497FC273">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（一）农药保存过程中，要在仓库贴好明显的警示标志，使用或搬运过程中，要轻拿轻放，泄露的药物应及时清理。</w:t>
      </w:r>
    </w:p>
    <w:p w14:paraId="7D7ACF3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（二）完善出库登记制度，用完后的空药瓶应丢放在指定地点，剩余药品及时放回仓库。</w:t>
      </w:r>
    </w:p>
    <w:p w14:paraId="0E355B8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（三）配药时应严格按说明书进行配比，用药量准确，不发生药害。</w:t>
      </w:r>
    </w:p>
    <w:p w14:paraId="35C5B6EC">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（四）喷施农药过程中，要注意观察风向和周围环境，尽量避开行人、居民、车辆、各类物品，确定安全后方能进行。</w:t>
      </w:r>
    </w:p>
    <w:p w14:paraId="6E59B46E">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（五）在农药车作业时，应配备三个人，一人先就有可能喷到农药的范围内说服</w:t>
      </w:r>
      <w:r>
        <w:rPr>
          <w:rFonts w:hint="eastAsia" w:asciiTheme="minorEastAsia" w:hAnsiTheme="minorEastAsia" w:eastAsiaTheme="minorEastAsia" w:cstheme="minorEastAsia"/>
          <w:color w:val="auto"/>
          <w:sz w:val="24"/>
          <w:szCs w:val="24"/>
          <w:lang w:eastAsia="zh-CN"/>
        </w:rPr>
        <w:t>行人</w:t>
      </w:r>
      <w:r>
        <w:rPr>
          <w:rFonts w:hint="eastAsia" w:asciiTheme="minorEastAsia" w:hAnsiTheme="minorEastAsia" w:eastAsiaTheme="minorEastAsia" w:cstheme="minorEastAsia"/>
          <w:color w:val="auto"/>
          <w:sz w:val="24"/>
          <w:szCs w:val="24"/>
        </w:rPr>
        <w:t>及时撤离，一人操控喷头，一人观察操控过程的安全问题及喷雾是否到位。</w:t>
      </w:r>
    </w:p>
    <w:p w14:paraId="2EED000A">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四、车辆使用基本规定</w:t>
      </w:r>
    </w:p>
    <w:p w14:paraId="525BD950">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（一）严厉禁止酒后驾车、无证驾驶等违规行为。司机驾驶车辆时应集中精力并慢行。</w:t>
      </w:r>
    </w:p>
    <w:p w14:paraId="0788314D">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（二）汽车发动前要绕车检查车辆一周，检查好车况。</w:t>
      </w:r>
    </w:p>
    <w:p w14:paraId="1A928CA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（三）水车、喷药车等在作业时，应响警示音乐。</w:t>
      </w:r>
    </w:p>
    <w:p w14:paraId="35501516">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使用高空作业车、吊车时，必须在施工范围内设置警示标志，起吊重物要有必要的防护措施。吊车使用过程中，要确保吊车的正常负荷，提升吊物时，应确保提绳角度均匀。吊车起吊时绳缆要牢固；统一指挥，信号明确；吊臂下严禁站人。</w:t>
      </w:r>
    </w:p>
    <w:p w14:paraId="4AEEB8FE">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五、高大乔木整形、修剪及在供电线路勾枝作业规范</w:t>
      </w:r>
    </w:p>
    <w:p w14:paraId="589FAC54">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（一）操作时必须听从专人指挥。</w:t>
      </w:r>
    </w:p>
    <w:p w14:paraId="65D0B733">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（二）下树、打枝前必须做好险情鉴定后方能进行操作。要有专人维护现场，设安全锥或警示带围合，阻止</w:t>
      </w:r>
      <w:r>
        <w:rPr>
          <w:rFonts w:hint="eastAsia" w:asciiTheme="minorEastAsia" w:hAnsiTheme="minorEastAsia" w:eastAsiaTheme="minorEastAsia" w:cstheme="minorEastAsia"/>
          <w:color w:val="auto"/>
          <w:sz w:val="24"/>
          <w:szCs w:val="24"/>
          <w:lang w:eastAsia="zh-CN"/>
        </w:rPr>
        <w:t>人员</w:t>
      </w:r>
      <w:r>
        <w:rPr>
          <w:rFonts w:hint="eastAsia" w:asciiTheme="minorEastAsia" w:hAnsiTheme="minorEastAsia" w:eastAsiaTheme="minorEastAsia" w:cstheme="minorEastAsia"/>
          <w:color w:val="auto"/>
          <w:sz w:val="24"/>
          <w:szCs w:val="24"/>
        </w:rPr>
        <w:t>进入。</w:t>
      </w:r>
    </w:p>
    <w:p w14:paraId="23F7D427">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操作时思想集中，不许打闹谈笑，上树前不许饮酒；上大树的梯子必须牢固、立稳，单面梯将上部横档与树身捆住，人字梯中腰栓绳，角度开张适当；五级以上大风不可上树；截除大枝要由有经验的专人指挥操作。有高血压及心脏病者，不准上树；修剪工具要坚固耐用，防止误伤或影响工作；不得从一棵树跳到另一棵树上，必须下树重上。</w:t>
      </w:r>
    </w:p>
    <w:p w14:paraId="1FC8BD36">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六、突发事故应急处理</w:t>
      </w:r>
    </w:p>
    <w:p w14:paraId="74F5F3DE">
      <w:pPr>
        <w:numPr>
          <w:ilvl w:val="0"/>
          <w:numId w:val="0"/>
        </w:numPr>
        <w:spacing w:line="400" w:lineRule="exact"/>
        <w:outlineLvl w:val="9"/>
        <w:rPr>
          <w:rFonts w:hint="eastAsia" w:ascii="宋体" w:hAnsi="宋体" w:cs="宋体"/>
          <w:b/>
          <w:color w:val="auto"/>
          <w:sz w:val="21"/>
          <w:szCs w:val="21"/>
        </w:rPr>
      </w:pPr>
      <w:r>
        <w:rPr>
          <w:rFonts w:hint="eastAsia" w:asciiTheme="minorEastAsia" w:hAnsiTheme="minorEastAsia" w:eastAsiaTheme="minorEastAsia" w:cstheme="minorEastAsia"/>
          <w:color w:val="auto"/>
          <w:sz w:val="24"/>
          <w:szCs w:val="24"/>
        </w:rPr>
        <w:t>做好事故前期的应急处理，及时上报并快速反应，及时、果断、妥善处置</w:t>
      </w:r>
    </w:p>
    <w:bookmarkEnd w:id="199"/>
    <w:bookmarkEnd w:id="200"/>
    <w:bookmarkEnd w:id="201"/>
    <w:bookmarkEnd w:id="202"/>
    <w:bookmarkEnd w:id="203"/>
    <w:bookmarkEnd w:id="204"/>
    <w:bookmarkEnd w:id="205"/>
    <w:p w14:paraId="3966C892">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sectPr>
          <w:footerReference r:id="rId26" w:type="default"/>
          <w:pgSz w:w="11906" w:h="16838"/>
          <w:pgMar w:top="1247" w:right="1247" w:bottom="1247" w:left="1247" w:header="851" w:footer="992" w:gutter="0"/>
          <w:pgNumType w:fmt="decimal"/>
          <w:cols w:space="720" w:num="1"/>
          <w:titlePg/>
          <w:docGrid w:linePitch="312" w:charSpace="0"/>
        </w:sectPr>
      </w:pPr>
      <w:bookmarkStart w:id="207" w:name="_Toc27434"/>
      <w:bookmarkStart w:id="208" w:name="_Toc15053"/>
      <w:bookmarkStart w:id="209" w:name="_Toc18485"/>
      <w:bookmarkStart w:id="210" w:name="_Toc10994"/>
      <w:bookmarkStart w:id="211" w:name="_Toc23062"/>
      <w:bookmarkStart w:id="212" w:name="_Toc19811"/>
      <w:bookmarkStart w:id="213" w:name="_Toc17923"/>
      <w:bookmarkStart w:id="214" w:name="_Toc27421"/>
    </w:p>
    <w:p w14:paraId="07B7874D">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highlight w:val="none"/>
        </w:rPr>
        <w:t>第六章</w:t>
      </w:r>
      <w:r>
        <w:rPr>
          <w:rFonts w:hint="eastAsia" w:ascii="宋体" w:hAnsi="宋体" w:cs="宋体"/>
          <w:color w:val="auto"/>
          <w:highlight w:val="none"/>
          <w:lang w:val="en-US" w:eastAsia="zh-CN"/>
        </w:rPr>
        <w:t xml:space="preserve">  </w:t>
      </w:r>
      <w:r>
        <w:rPr>
          <w:rFonts w:hint="eastAsia" w:ascii="宋体" w:hAnsi="宋体" w:cs="宋体"/>
          <w:color w:val="auto"/>
          <w:highlight w:val="none"/>
        </w:rPr>
        <w:t>投标文件格式</w:t>
      </w:r>
      <w:bookmarkEnd w:id="207"/>
      <w:bookmarkEnd w:id="208"/>
      <w:bookmarkEnd w:id="209"/>
      <w:bookmarkEnd w:id="210"/>
      <w:bookmarkEnd w:id="211"/>
      <w:bookmarkEnd w:id="212"/>
      <w:bookmarkEnd w:id="213"/>
      <w:bookmarkEnd w:id="214"/>
      <w:bookmarkStart w:id="215" w:name="_Toc254970557"/>
      <w:bookmarkStart w:id="216" w:name="_Toc254970698"/>
    </w:p>
    <w:p w14:paraId="1D3230DB">
      <w:pPr>
        <w:spacing w:line="800" w:lineRule="exact"/>
        <w:jc w:val="left"/>
        <w:rPr>
          <w:rFonts w:hint="eastAsia" w:ascii="宋体" w:hAnsi="宋体" w:cs="宋体"/>
          <w:b/>
          <w:color w:val="auto"/>
          <w:sz w:val="32"/>
          <w:szCs w:val="32"/>
          <w:highlight w:val="none"/>
        </w:rPr>
      </w:pPr>
      <w:bookmarkStart w:id="217" w:name="_Toc19686837"/>
      <w:r>
        <w:rPr>
          <w:rFonts w:hint="eastAsia" w:ascii="宋体" w:hAnsi="宋体" w:cs="宋体"/>
          <w:b/>
          <w:color w:val="auto"/>
          <w:sz w:val="32"/>
          <w:szCs w:val="32"/>
          <w:highlight w:val="none"/>
        </w:rPr>
        <w:t>一、资格证明文件部分格式</w:t>
      </w:r>
      <w:bookmarkEnd w:id="215"/>
      <w:bookmarkEnd w:id="216"/>
      <w:bookmarkEnd w:id="217"/>
    </w:p>
    <w:p w14:paraId="24BDD5B1">
      <w:pPr>
        <w:numPr>
          <w:ilvl w:val="2"/>
          <w:numId w:val="0"/>
        </w:num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471DD902">
      <w:pPr>
        <w:snapToGrid w:val="0"/>
        <w:spacing w:before="120" w:beforeLines="50" w:after="50"/>
        <w:jc w:val="center"/>
        <w:rPr>
          <w:rFonts w:hint="eastAsia" w:ascii="宋体" w:hAnsi="宋体" w:cs="宋体"/>
          <w:bCs/>
          <w:color w:val="auto"/>
          <w:sz w:val="48"/>
          <w:szCs w:val="48"/>
          <w:highlight w:val="none"/>
        </w:rPr>
      </w:pPr>
    </w:p>
    <w:p w14:paraId="0FB09870">
      <w:pPr>
        <w:snapToGrid w:val="0"/>
        <w:spacing w:before="120" w:beforeLines="50" w:after="50"/>
        <w:jc w:val="center"/>
        <w:rPr>
          <w:rFonts w:hint="eastAsia" w:ascii="宋体" w:hAnsi="宋体" w:cs="宋体"/>
          <w:bCs/>
          <w:color w:val="auto"/>
          <w:sz w:val="48"/>
          <w:szCs w:val="48"/>
          <w:highlight w:val="none"/>
        </w:rPr>
      </w:pPr>
    </w:p>
    <w:p w14:paraId="521B2F87">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85BFD5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149634D8">
      <w:pPr>
        <w:snapToGrid w:val="0"/>
        <w:spacing w:before="120" w:beforeLines="50" w:after="50"/>
        <w:jc w:val="center"/>
        <w:outlineLvl w:val="1"/>
        <w:rPr>
          <w:rFonts w:hint="eastAsia" w:ascii="宋体" w:hAnsi="宋体" w:cs="宋体"/>
          <w:b/>
          <w:color w:val="auto"/>
          <w:sz w:val="32"/>
          <w:szCs w:val="32"/>
          <w:highlight w:val="none"/>
        </w:rPr>
      </w:pPr>
      <w:bookmarkStart w:id="218" w:name="_Toc19149"/>
      <w:bookmarkStart w:id="219" w:name="_Toc18416"/>
      <w:bookmarkStart w:id="220" w:name="_Toc7560"/>
      <w:bookmarkStart w:id="221" w:name="_Toc15907"/>
      <w:bookmarkStart w:id="222" w:name="_Toc19386"/>
      <w:bookmarkStart w:id="223" w:name="_Toc14799"/>
      <w:bookmarkStart w:id="224" w:name="_Toc20082"/>
    </w:p>
    <w:p w14:paraId="744EBB59">
      <w:pPr>
        <w:keepNext w:val="0"/>
        <w:keepLines w:val="0"/>
        <w:pageBreakBefore w:val="0"/>
        <w:widowControl w:val="0"/>
        <w:kinsoku/>
        <w:wordWrap/>
        <w:overflowPunct/>
        <w:topLinePunct w:val="0"/>
        <w:autoSpaceDE/>
        <w:autoSpaceDN/>
        <w:bidi w:val="0"/>
        <w:adjustRightInd/>
        <w:snapToGrid w:val="0"/>
        <w:spacing w:before="120" w:beforeLines="50" w:after="50"/>
        <w:jc w:val="center"/>
        <w:textAlignment w:val="auto"/>
        <w:outlineLvl w:val="9"/>
        <w:rPr>
          <w:rFonts w:hint="eastAsia" w:ascii="宋体" w:hAnsi="宋体" w:cs="宋体"/>
          <w:b/>
          <w:color w:val="auto"/>
          <w:sz w:val="24"/>
          <w:szCs w:val="20"/>
          <w:highlight w:val="none"/>
        </w:rPr>
      </w:pPr>
      <w:bookmarkStart w:id="225" w:name="_Toc11901"/>
      <w:bookmarkStart w:id="226" w:name="_Toc26094"/>
      <w:r>
        <w:rPr>
          <w:rFonts w:hint="eastAsia" w:ascii="宋体" w:hAnsi="宋体" w:cs="宋体"/>
          <w:b/>
          <w:color w:val="auto"/>
          <w:sz w:val="32"/>
          <w:szCs w:val="32"/>
          <w:highlight w:val="none"/>
        </w:rPr>
        <w:t>资格证明文件</w:t>
      </w:r>
      <w:bookmarkEnd w:id="218"/>
      <w:bookmarkEnd w:id="219"/>
      <w:bookmarkEnd w:id="220"/>
      <w:bookmarkEnd w:id="221"/>
      <w:bookmarkEnd w:id="222"/>
      <w:bookmarkEnd w:id="223"/>
      <w:bookmarkEnd w:id="224"/>
      <w:bookmarkEnd w:id="225"/>
      <w:bookmarkEnd w:id="226"/>
    </w:p>
    <w:p w14:paraId="21AB413B">
      <w:pPr>
        <w:snapToGrid w:val="0"/>
        <w:spacing w:before="120" w:beforeLines="50" w:after="50"/>
        <w:rPr>
          <w:rFonts w:hint="eastAsia" w:ascii="宋体" w:hAnsi="宋体" w:cs="宋体"/>
          <w:bCs/>
          <w:color w:val="auto"/>
          <w:sz w:val="24"/>
          <w:szCs w:val="20"/>
          <w:highlight w:val="none"/>
        </w:rPr>
      </w:pPr>
    </w:p>
    <w:p w14:paraId="0FE9503B">
      <w:pPr>
        <w:snapToGrid w:val="0"/>
        <w:spacing w:before="120" w:beforeLines="50" w:after="50"/>
        <w:rPr>
          <w:rFonts w:hint="eastAsia" w:ascii="宋体" w:hAnsi="宋体" w:cs="宋体"/>
          <w:bCs/>
          <w:color w:val="auto"/>
          <w:sz w:val="24"/>
          <w:szCs w:val="20"/>
          <w:highlight w:val="none"/>
        </w:rPr>
      </w:pPr>
    </w:p>
    <w:p w14:paraId="24522EC7">
      <w:pPr>
        <w:snapToGrid w:val="0"/>
        <w:spacing w:before="120" w:beforeLines="50" w:after="50"/>
        <w:rPr>
          <w:rFonts w:hint="eastAsia" w:ascii="宋体" w:hAnsi="宋体" w:cs="宋体"/>
          <w:bCs/>
          <w:color w:val="auto"/>
          <w:sz w:val="24"/>
          <w:szCs w:val="20"/>
          <w:highlight w:val="none"/>
        </w:rPr>
      </w:pPr>
    </w:p>
    <w:p w14:paraId="1495315F">
      <w:pPr>
        <w:snapToGrid w:val="0"/>
        <w:spacing w:before="120" w:beforeLines="50" w:after="50"/>
        <w:rPr>
          <w:rFonts w:hint="eastAsia" w:ascii="宋体" w:hAnsi="宋体" w:cs="宋体"/>
          <w:bCs/>
          <w:color w:val="auto"/>
          <w:sz w:val="24"/>
          <w:szCs w:val="20"/>
          <w:highlight w:val="none"/>
        </w:rPr>
      </w:pPr>
    </w:p>
    <w:p w14:paraId="08BF183E">
      <w:pPr>
        <w:snapToGrid w:val="0"/>
        <w:spacing w:before="120" w:beforeLines="50" w:after="50"/>
        <w:rPr>
          <w:rFonts w:hint="eastAsia" w:ascii="宋体" w:hAnsi="宋体" w:cs="宋体"/>
          <w:bCs/>
          <w:color w:val="auto"/>
          <w:sz w:val="24"/>
          <w:szCs w:val="20"/>
          <w:highlight w:val="none"/>
        </w:rPr>
      </w:pPr>
    </w:p>
    <w:p w14:paraId="2302BB3E">
      <w:pPr>
        <w:snapToGrid w:val="0"/>
        <w:spacing w:before="120" w:beforeLines="50" w:after="50"/>
        <w:rPr>
          <w:rFonts w:hint="eastAsia" w:ascii="宋体" w:hAnsi="宋体" w:cs="宋体"/>
          <w:bCs/>
          <w:color w:val="auto"/>
          <w:sz w:val="24"/>
          <w:szCs w:val="20"/>
          <w:highlight w:val="none"/>
        </w:rPr>
      </w:pPr>
    </w:p>
    <w:p w14:paraId="188B510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ACA7695">
      <w:pPr>
        <w:snapToGrid w:val="0"/>
        <w:spacing w:before="120" w:beforeLines="50" w:after="50"/>
        <w:ind w:firstLine="540" w:firstLineChars="225"/>
        <w:rPr>
          <w:rFonts w:hint="eastAsia" w:ascii="宋体" w:hAnsi="宋体" w:cs="宋体"/>
          <w:bCs/>
          <w:color w:val="auto"/>
          <w:sz w:val="24"/>
          <w:szCs w:val="20"/>
          <w:highlight w:val="none"/>
        </w:rPr>
      </w:pPr>
    </w:p>
    <w:p w14:paraId="3188557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65AE1CC0">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1B44CCE">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所投分标（如有）：</w:t>
      </w:r>
    </w:p>
    <w:p w14:paraId="63C72B68">
      <w:pPr>
        <w:snapToGrid w:val="0"/>
        <w:spacing w:before="120" w:beforeLines="50" w:after="50"/>
        <w:ind w:firstLine="540" w:firstLineChars="225"/>
        <w:rPr>
          <w:rFonts w:hint="eastAsia" w:ascii="宋体" w:hAnsi="宋体" w:cs="宋体"/>
          <w:bCs/>
          <w:color w:val="auto"/>
          <w:sz w:val="24"/>
          <w:szCs w:val="20"/>
          <w:highlight w:val="none"/>
        </w:rPr>
      </w:pPr>
    </w:p>
    <w:p w14:paraId="2F0B0C23">
      <w:pPr>
        <w:pStyle w:val="8"/>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743140B9">
      <w:pPr>
        <w:pStyle w:val="8"/>
        <w:snapToGrid w:val="0"/>
        <w:spacing w:before="50" w:after="50"/>
        <w:ind w:firstLine="540" w:firstLineChars="225"/>
        <w:rPr>
          <w:rFonts w:hint="eastAsia" w:ascii="宋体" w:hAnsi="宋体" w:cs="宋体"/>
          <w:bCs/>
          <w:color w:val="auto"/>
          <w:sz w:val="24"/>
          <w:szCs w:val="24"/>
          <w:highlight w:val="none"/>
        </w:rPr>
      </w:pPr>
    </w:p>
    <w:p w14:paraId="59BCD081">
      <w:pPr>
        <w:pStyle w:val="8"/>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3AA835A6">
      <w:pPr>
        <w:pStyle w:val="8"/>
        <w:snapToGrid w:val="0"/>
        <w:spacing w:before="50" w:after="50"/>
        <w:ind w:firstLine="960" w:firstLineChars="400"/>
        <w:rPr>
          <w:rFonts w:hint="eastAsia" w:ascii="宋体" w:hAnsi="宋体" w:cs="宋体"/>
          <w:bCs/>
          <w:color w:val="auto"/>
          <w:sz w:val="24"/>
          <w:szCs w:val="24"/>
          <w:highlight w:val="none"/>
        </w:rPr>
      </w:pPr>
    </w:p>
    <w:p w14:paraId="3C283F53">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0704154">
      <w:pPr>
        <w:numPr>
          <w:ilvl w:val="2"/>
          <w:numId w:val="0"/>
        </w:numPr>
        <w:snapToGrid w:val="0"/>
        <w:spacing w:before="120" w:beforeLines="50" w:after="50" w:line="360" w:lineRule="auto"/>
        <w:jc w:val="center"/>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32"/>
          <w:szCs w:val="32"/>
          <w:highlight w:val="none"/>
        </w:rPr>
        <w:t>2.资格证明文件目录</w:t>
      </w:r>
    </w:p>
    <w:p w14:paraId="2CA39ABA">
      <w:pPr>
        <w:snapToGrid w:val="0"/>
        <w:spacing w:line="360" w:lineRule="auto"/>
        <w:ind w:firstLine="480" w:firstLineChars="200"/>
        <w:jc w:val="left"/>
        <w:rPr>
          <w:rFonts w:hint="eastAsia" w:ascii="宋体" w:hAnsi="宋体" w:cs="宋体"/>
          <w:color w:val="auto"/>
          <w:sz w:val="24"/>
          <w:highlight w:val="none"/>
        </w:rPr>
      </w:pPr>
    </w:p>
    <w:p w14:paraId="07A95737">
      <w:pPr>
        <w:snapToGrid w:val="0"/>
        <w:spacing w:line="360" w:lineRule="auto"/>
        <w:ind w:firstLine="1260" w:firstLineChars="600"/>
        <w:jc w:val="center"/>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60E2E7C8">
      <w:pPr>
        <w:snapToGrid w:val="0"/>
        <w:spacing w:before="50" w:after="120" w:afterLines="50"/>
        <w:jc w:val="left"/>
        <w:rPr>
          <w:rFonts w:hint="eastAsia" w:ascii="宋体" w:hAnsi="宋体" w:cs="宋体"/>
          <w:color w:val="auto"/>
          <w:sz w:val="24"/>
          <w:highlight w:val="none"/>
        </w:rPr>
      </w:pPr>
    </w:p>
    <w:p w14:paraId="4E538743">
      <w:pPr>
        <w:snapToGrid w:val="0"/>
        <w:spacing w:before="50" w:after="120" w:afterLines="50"/>
        <w:jc w:val="left"/>
        <w:rPr>
          <w:rFonts w:hint="eastAsia" w:ascii="宋体" w:hAnsi="宋体" w:cs="宋体"/>
          <w:color w:val="auto"/>
          <w:sz w:val="24"/>
          <w:highlight w:val="none"/>
        </w:rPr>
      </w:pPr>
    </w:p>
    <w:p w14:paraId="6469F156">
      <w:pPr>
        <w:snapToGrid w:val="0"/>
        <w:spacing w:line="360" w:lineRule="auto"/>
        <w:ind w:right="480"/>
        <w:jc w:val="left"/>
        <w:rPr>
          <w:rFonts w:hint="eastAsia" w:ascii="宋体" w:hAnsi="宋体" w:cs="宋体"/>
          <w:b/>
          <w:color w:val="auto"/>
          <w:sz w:val="32"/>
          <w:szCs w:val="32"/>
          <w:highlight w:val="none"/>
        </w:rPr>
      </w:pPr>
      <w:r>
        <w:rPr>
          <w:rFonts w:hint="eastAsia" w:ascii="宋体" w:hAnsi="宋体" w:cs="宋体"/>
          <w:b/>
          <w:color w:val="auto"/>
          <w:sz w:val="24"/>
          <w:szCs w:val="20"/>
          <w:highlight w:val="none"/>
        </w:rPr>
        <w:br w:type="page"/>
      </w:r>
      <w:r>
        <w:rPr>
          <w:rFonts w:hint="eastAsia" w:ascii="宋体" w:hAnsi="宋体" w:cs="宋体"/>
          <w:b/>
          <w:color w:val="auto"/>
          <w:sz w:val="32"/>
          <w:szCs w:val="32"/>
          <w:highlight w:val="none"/>
        </w:rPr>
        <w:t>3.投标声明</w:t>
      </w:r>
    </w:p>
    <w:p w14:paraId="7B18A794">
      <w:pPr>
        <w:snapToGrid w:val="0"/>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投标声明</w:t>
      </w:r>
    </w:p>
    <w:p w14:paraId="379466F4">
      <w:pPr>
        <w:spacing w:line="48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2663AF0E">
      <w:pPr>
        <w:spacing w:line="480" w:lineRule="exact"/>
        <w:ind w:firstLine="457" w:firstLineChars="218"/>
        <w:contextualSpacing/>
        <w:jc w:val="left"/>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2C1C1F67">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3A936D6">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2A1DD185">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26E7BB95">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0CD7A1AB">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3339A6AE">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729C66AB">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66CDD2B6">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41D55D1D">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BE21A1F">
      <w:pPr>
        <w:spacing w:line="48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3D8959F9">
      <w:pPr>
        <w:spacing w:line="48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5700AEDF">
      <w:pPr>
        <w:spacing w:line="480" w:lineRule="exact"/>
        <w:contextualSpacing/>
        <w:jc w:val="left"/>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法定代表人（签字或者盖章或者电子签名）：</w:t>
      </w:r>
    </w:p>
    <w:p w14:paraId="6752A9F7">
      <w:pPr>
        <w:spacing w:line="48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3B13B1AF">
      <w:pPr>
        <w:spacing w:line="48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5CBFA48">
      <w:pPr>
        <w:spacing w:line="480" w:lineRule="exact"/>
        <w:contextualSpacing/>
        <w:rPr>
          <w:rFonts w:hint="eastAsia" w:ascii="宋体" w:hAnsi="宋体" w:cs="宋体"/>
          <w:b/>
          <w:color w:val="auto"/>
          <w:szCs w:val="21"/>
          <w:highlight w:val="none"/>
        </w:rPr>
      </w:pPr>
    </w:p>
    <w:p w14:paraId="20FC02C4">
      <w:pPr>
        <w:numPr>
          <w:ilvl w:val="2"/>
          <w:numId w:val="0"/>
        </w:numPr>
        <w:snapToGrid w:val="0"/>
        <w:spacing w:line="500" w:lineRule="exact"/>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4.投标人直接控股、管理关系信息表</w:t>
      </w:r>
    </w:p>
    <w:p w14:paraId="63F903D3">
      <w:pPr>
        <w:snapToGrid w:val="0"/>
        <w:spacing w:before="50" w:after="120" w:afterLines="50"/>
        <w:jc w:val="center"/>
        <w:rPr>
          <w:rFonts w:hint="eastAsia" w:ascii="宋体" w:hAnsi="宋体" w:cs="宋体"/>
          <w:b/>
          <w:color w:val="auto"/>
          <w:sz w:val="28"/>
          <w:szCs w:val="28"/>
          <w:highlight w:val="none"/>
        </w:rPr>
      </w:pPr>
    </w:p>
    <w:p w14:paraId="602A77E5">
      <w:pPr>
        <w:snapToGrid w:val="0"/>
        <w:spacing w:before="50" w:after="120" w:afterLines="50"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  投标人直接控股股东信息表</w:t>
      </w:r>
    </w:p>
    <w:tbl>
      <w:tblPr>
        <w:tblStyle w:val="47"/>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D7D2D3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F9F1B2">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6BAEBA">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354419">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7284182">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65F7678">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B1A6E5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0D3F2">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492E10">
            <w:pPr>
              <w:spacing w:line="500" w:lineRule="exact"/>
              <w:jc w:val="center"/>
              <w:rPr>
                <w:rFonts w:hint="eastAsia"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80996A">
            <w:pPr>
              <w:spacing w:line="500" w:lineRule="exact"/>
              <w:jc w:val="center"/>
              <w:rPr>
                <w:rFonts w:hint="eastAsia"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F6393B">
            <w:pPr>
              <w:spacing w:line="500" w:lineRule="exact"/>
              <w:jc w:val="center"/>
              <w:rPr>
                <w:rFonts w:hint="eastAsia"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2EC876">
            <w:pPr>
              <w:spacing w:line="500" w:lineRule="exact"/>
              <w:jc w:val="center"/>
              <w:rPr>
                <w:rFonts w:hint="eastAsia" w:ascii="宋体" w:hAnsi="宋体" w:cs="宋体"/>
                <w:color w:val="auto"/>
                <w:kern w:val="0"/>
                <w:szCs w:val="21"/>
                <w:highlight w:val="none"/>
              </w:rPr>
            </w:pPr>
          </w:p>
        </w:tc>
      </w:tr>
      <w:tr w14:paraId="39E1C63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6353FF">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A54566">
            <w:pPr>
              <w:spacing w:line="500" w:lineRule="exact"/>
              <w:jc w:val="center"/>
              <w:rPr>
                <w:rFonts w:hint="eastAsia"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386D8">
            <w:pPr>
              <w:spacing w:line="500" w:lineRule="exact"/>
              <w:jc w:val="center"/>
              <w:rPr>
                <w:rFonts w:hint="eastAsia"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2C025C">
            <w:pPr>
              <w:spacing w:line="500" w:lineRule="exact"/>
              <w:jc w:val="center"/>
              <w:rPr>
                <w:rFonts w:hint="eastAsia"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8753DF">
            <w:pPr>
              <w:spacing w:line="500" w:lineRule="exact"/>
              <w:jc w:val="center"/>
              <w:rPr>
                <w:rFonts w:hint="eastAsia" w:ascii="宋体" w:hAnsi="宋体" w:cs="宋体"/>
                <w:color w:val="auto"/>
                <w:kern w:val="0"/>
                <w:szCs w:val="21"/>
                <w:highlight w:val="none"/>
              </w:rPr>
            </w:pPr>
          </w:p>
        </w:tc>
      </w:tr>
      <w:tr w14:paraId="30999AE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B184AC">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CB5494">
            <w:pPr>
              <w:spacing w:line="500" w:lineRule="exact"/>
              <w:jc w:val="center"/>
              <w:rPr>
                <w:rFonts w:hint="eastAsia"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654E3">
            <w:pPr>
              <w:spacing w:line="500" w:lineRule="exact"/>
              <w:jc w:val="center"/>
              <w:rPr>
                <w:rFonts w:hint="eastAsia"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1B51EB">
            <w:pPr>
              <w:spacing w:line="500" w:lineRule="exact"/>
              <w:jc w:val="center"/>
              <w:rPr>
                <w:rFonts w:hint="eastAsia"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84EB7B">
            <w:pPr>
              <w:spacing w:line="500" w:lineRule="exact"/>
              <w:jc w:val="center"/>
              <w:rPr>
                <w:rFonts w:hint="eastAsia" w:ascii="宋体" w:hAnsi="宋体" w:cs="宋体"/>
                <w:color w:val="auto"/>
                <w:kern w:val="0"/>
                <w:szCs w:val="21"/>
                <w:highlight w:val="none"/>
              </w:rPr>
            </w:pPr>
          </w:p>
        </w:tc>
      </w:tr>
      <w:tr w14:paraId="7B56622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89CE5">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A5D945">
            <w:pPr>
              <w:spacing w:line="500" w:lineRule="exact"/>
              <w:jc w:val="center"/>
              <w:rPr>
                <w:rFonts w:hint="eastAsia"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A34FA3">
            <w:pPr>
              <w:spacing w:line="500" w:lineRule="exact"/>
              <w:jc w:val="center"/>
              <w:rPr>
                <w:rFonts w:hint="eastAsia"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94248C">
            <w:pPr>
              <w:spacing w:line="500" w:lineRule="exact"/>
              <w:jc w:val="center"/>
              <w:rPr>
                <w:rFonts w:hint="eastAsia"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3B813E">
            <w:pPr>
              <w:spacing w:line="500" w:lineRule="exact"/>
              <w:jc w:val="center"/>
              <w:rPr>
                <w:rFonts w:hint="eastAsia" w:ascii="宋体" w:hAnsi="宋体" w:cs="宋体"/>
                <w:color w:val="auto"/>
                <w:kern w:val="0"/>
                <w:szCs w:val="21"/>
                <w:highlight w:val="none"/>
              </w:rPr>
            </w:pPr>
          </w:p>
        </w:tc>
      </w:tr>
    </w:tbl>
    <w:p w14:paraId="1DB5F996">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74098566">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38C9DC">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219D0681">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3.供应商不存在直接控股股东的，则在“</w:t>
      </w:r>
      <w:r>
        <w:rPr>
          <w:rFonts w:hint="eastAsia" w:ascii="宋体" w:hAnsi="宋体" w:cs="宋体"/>
          <w:b/>
          <w:bCs/>
          <w:color w:val="auto"/>
          <w:kern w:val="0"/>
          <w:szCs w:val="21"/>
          <w:highlight w:val="none"/>
        </w:rPr>
        <w:t>直接控股股东名称</w:t>
      </w:r>
      <w:r>
        <w:rPr>
          <w:rFonts w:hint="eastAsia" w:ascii="宋体" w:hAnsi="宋体" w:cs="宋体"/>
          <w:color w:val="auto"/>
          <w:szCs w:val="21"/>
          <w:highlight w:val="none"/>
        </w:rPr>
        <w:t>”中填“无”。</w:t>
      </w:r>
    </w:p>
    <w:p w14:paraId="7428670C">
      <w:pPr>
        <w:snapToGrid w:val="0"/>
        <w:spacing w:line="500" w:lineRule="exact"/>
        <w:jc w:val="left"/>
        <w:rPr>
          <w:rFonts w:hint="eastAsia" w:ascii="宋体" w:hAnsi="宋体" w:cs="宋体"/>
          <w:color w:val="auto"/>
          <w:szCs w:val="21"/>
          <w:highlight w:val="none"/>
        </w:rPr>
      </w:pPr>
    </w:p>
    <w:p w14:paraId="337B7CE8">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5ED789F">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159EC36">
      <w:pPr>
        <w:snapToGrid w:val="0"/>
        <w:spacing w:before="120" w:beforeLines="50" w:after="50" w:line="360" w:lineRule="auto"/>
        <w:ind w:right="480"/>
        <w:jc w:val="center"/>
        <w:rPr>
          <w:rFonts w:hint="eastAsia" w:ascii="宋体" w:hAnsi="宋体" w:cs="宋体"/>
          <w:color w:val="auto"/>
          <w:sz w:val="32"/>
          <w:szCs w:val="32"/>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 xml:space="preserve">       </w:t>
      </w:r>
      <w:r>
        <w:rPr>
          <w:rFonts w:hint="eastAsia" w:ascii="宋体" w:hAnsi="宋体" w:cs="宋体"/>
          <w:b/>
          <w:color w:val="auto"/>
          <w:sz w:val="32"/>
          <w:szCs w:val="32"/>
          <w:highlight w:val="none"/>
        </w:rPr>
        <w:t>投标人直接管理关系信息表</w:t>
      </w:r>
    </w:p>
    <w:tbl>
      <w:tblPr>
        <w:tblStyle w:val="47"/>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30447F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6EC6E2">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F7B9AC">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DAFC4BE">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453C27">
            <w:pPr>
              <w:spacing w:line="50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2B20265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7550F0">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2A2C39">
            <w:pPr>
              <w:spacing w:line="500" w:lineRule="exact"/>
              <w:jc w:val="center"/>
              <w:rPr>
                <w:rFonts w:hint="eastAsia" w:ascii="宋体" w:hAnsi="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A91FD5">
            <w:pPr>
              <w:spacing w:line="500" w:lineRule="exact"/>
              <w:jc w:val="center"/>
              <w:rPr>
                <w:rFonts w:hint="eastAsia" w:ascii="宋体" w:hAnsi="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168A69">
            <w:pPr>
              <w:spacing w:line="500" w:lineRule="exact"/>
              <w:jc w:val="center"/>
              <w:rPr>
                <w:rFonts w:hint="eastAsia" w:ascii="宋体" w:hAnsi="宋体" w:cs="宋体"/>
                <w:color w:val="auto"/>
                <w:kern w:val="0"/>
                <w:szCs w:val="21"/>
                <w:highlight w:val="none"/>
              </w:rPr>
            </w:pPr>
          </w:p>
        </w:tc>
      </w:tr>
      <w:tr w14:paraId="028E4AA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13C732">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A85D1D">
            <w:pPr>
              <w:spacing w:line="500" w:lineRule="exact"/>
              <w:jc w:val="center"/>
              <w:rPr>
                <w:rFonts w:hint="eastAsia" w:ascii="宋体" w:hAnsi="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23BECF">
            <w:pPr>
              <w:spacing w:line="500" w:lineRule="exact"/>
              <w:jc w:val="center"/>
              <w:rPr>
                <w:rFonts w:hint="eastAsia" w:ascii="宋体" w:hAnsi="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5F0889">
            <w:pPr>
              <w:spacing w:line="500" w:lineRule="exact"/>
              <w:jc w:val="center"/>
              <w:rPr>
                <w:rFonts w:hint="eastAsia" w:ascii="宋体" w:hAnsi="宋体" w:cs="宋体"/>
                <w:color w:val="auto"/>
                <w:kern w:val="0"/>
                <w:szCs w:val="21"/>
                <w:highlight w:val="none"/>
              </w:rPr>
            </w:pPr>
          </w:p>
        </w:tc>
      </w:tr>
      <w:tr w14:paraId="1DCC954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A6B9D4">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AFFBBE">
            <w:pPr>
              <w:spacing w:line="500" w:lineRule="exact"/>
              <w:jc w:val="center"/>
              <w:rPr>
                <w:rFonts w:hint="eastAsia" w:ascii="宋体" w:hAnsi="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F535F8">
            <w:pPr>
              <w:spacing w:line="500" w:lineRule="exact"/>
              <w:jc w:val="center"/>
              <w:rPr>
                <w:rFonts w:hint="eastAsia" w:ascii="宋体" w:hAnsi="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76C9E1">
            <w:pPr>
              <w:spacing w:line="500" w:lineRule="exact"/>
              <w:jc w:val="center"/>
              <w:rPr>
                <w:rFonts w:hint="eastAsia" w:ascii="宋体" w:hAnsi="宋体" w:cs="宋体"/>
                <w:color w:val="auto"/>
                <w:kern w:val="0"/>
                <w:szCs w:val="21"/>
                <w:highlight w:val="none"/>
              </w:rPr>
            </w:pPr>
          </w:p>
        </w:tc>
      </w:tr>
      <w:tr w14:paraId="31C98F5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BA303B">
            <w:pPr>
              <w:spacing w:line="5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443207">
            <w:pPr>
              <w:spacing w:line="500" w:lineRule="exact"/>
              <w:jc w:val="center"/>
              <w:rPr>
                <w:rFonts w:hint="eastAsia" w:ascii="宋体" w:hAnsi="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B35FF7">
            <w:pPr>
              <w:spacing w:line="500" w:lineRule="exact"/>
              <w:jc w:val="center"/>
              <w:rPr>
                <w:rFonts w:hint="eastAsia" w:ascii="宋体" w:hAnsi="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9140C4">
            <w:pPr>
              <w:spacing w:line="500" w:lineRule="exact"/>
              <w:jc w:val="center"/>
              <w:rPr>
                <w:rFonts w:hint="eastAsia" w:ascii="宋体" w:hAnsi="宋体" w:cs="宋体"/>
                <w:color w:val="auto"/>
                <w:kern w:val="0"/>
                <w:szCs w:val="21"/>
                <w:highlight w:val="none"/>
              </w:rPr>
            </w:pPr>
          </w:p>
        </w:tc>
      </w:tr>
    </w:tbl>
    <w:p w14:paraId="0C775E2F">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7BB9AE1C">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376747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3889E405">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3.供应商不存在直接管理关系的，则在“</w:t>
      </w:r>
      <w:r>
        <w:rPr>
          <w:rFonts w:hint="eastAsia" w:ascii="宋体" w:hAnsi="宋体" w:cs="宋体"/>
          <w:b/>
          <w:bCs/>
          <w:color w:val="auto"/>
          <w:kern w:val="0"/>
          <w:szCs w:val="21"/>
          <w:highlight w:val="none"/>
        </w:rPr>
        <w:t>直接管理关系单位名称</w:t>
      </w:r>
      <w:r>
        <w:rPr>
          <w:rFonts w:hint="eastAsia" w:ascii="宋体" w:hAnsi="宋体" w:cs="宋体"/>
          <w:color w:val="auto"/>
          <w:szCs w:val="21"/>
          <w:highlight w:val="none"/>
        </w:rPr>
        <w:t>”中填“无”。</w:t>
      </w:r>
    </w:p>
    <w:p w14:paraId="17874A95">
      <w:pPr>
        <w:snapToGrid w:val="0"/>
        <w:spacing w:line="500" w:lineRule="exact"/>
        <w:jc w:val="left"/>
        <w:rPr>
          <w:rFonts w:hint="eastAsia" w:ascii="宋体" w:hAnsi="宋体" w:cs="宋体"/>
          <w:color w:val="auto"/>
          <w:szCs w:val="21"/>
          <w:highlight w:val="none"/>
        </w:rPr>
      </w:pPr>
    </w:p>
    <w:p w14:paraId="2AA4FF7F">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BD3C143">
      <w:pPr>
        <w:snapToGrid w:val="0"/>
        <w:spacing w:line="500" w:lineRule="exact"/>
        <w:ind w:right="480" w:firstLine="210" w:firstLineChars="100"/>
        <w:jc w:val="left"/>
        <w:rPr>
          <w:rFonts w:hint="eastAsia" w:ascii="宋体" w:hAnsi="宋体" w:cs="宋体"/>
          <w:color w:val="auto"/>
          <w:sz w:val="24"/>
          <w:highlight w:val="none"/>
        </w:rPr>
      </w:pPr>
      <w:r>
        <w:rPr>
          <w:rFonts w:hint="eastAsia" w:ascii="宋体" w:hAnsi="宋体" w:cs="宋体"/>
          <w:color w:val="auto"/>
          <w:szCs w:val="21"/>
          <w:highlight w:val="none"/>
        </w:rPr>
        <w:t xml:space="preserve">                                                  日期：    年   月   日</w:t>
      </w:r>
    </w:p>
    <w:p w14:paraId="767460A3">
      <w:pPr>
        <w:pStyle w:val="8"/>
        <w:overflowPunct w:val="0"/>
        <w:spacing w:line="360" w:lineRule="auto"/>
        <w:ind w:firstLineChars="175"/>
        <w:contextualSpacing/>
        <w:rPr>
          <w:rFonts w:hint="eastAsia" w:ascii="宋体" w:hAnsi="宋体" w:cs="宋体"/>
          <w:b/>
          <w:color w:val="auto"/>
          <w:sz w:val="32"/>
          <w:szCs w:val="32"/>
          <w:highlight w:val="none"/>
        </w:rPr>
      </w:pPr>
      <w:r>
        <w:rPr>
          <w:rFonts w:hint="eastAsia" w:ascii="宋体" w:hAnsi="宋体" w:cs="宋体"/>
          <w:color w:val="auto"/>
          <w:sz w:val="24"/>
          <w:highlight w:val="none"/>
        </w:rPr>
        <w:br w:type="page"/>
      </w:r>
      <w:bookmarkStart w:id="227" w:name="_Toc19686838"/>
      <w:r>
        <w:rPr>
          <w:rFonts w:hint="eastAsia" w:ascii="宋体" w:hAnsi="宋体" w:cs="宋体"/>
          <w:b/>
          <w:color w:val="auto"/>
          <w:sz w:val="32"/>
          <w:szCs w:val="32"/>
          <w:highlight w:val="none"/>
        </w:rPr>
        <w:t>二、商务技术文件部分格式</w:t>
      </w:r>
      <w:bookmarkEnd w:id="227"/>
    </w:p>
    <w:p w14:paraId="0B956E44">
      <w:pPr>
        <w:snapToGrid w:val="0"/>
        <w:spacing w:before="120" w:beforeLines="50" w:after="50" w:line="360" w:lineRule="auto"/>
        <w:ind w:firstLine="643" w:firstLineChars="2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1.商务文件封面格式： </w:t>
      </w:r>
    </w:p>
    <w:p w14:paraId="5C561933">
      <w:pPr>
        <w:snapToGrid w:val="0"/>
        <w:spacing w:before="120" w:beforeLines="50" w:after="50"/>
        <w:jc w:val="center"/>
        <w:rPr>
          <w:rFonts w:hint="eastAsia" w:ascii="宋体" w:hAnsi="宋体" w:cs="宋体"/>
          <w:bCs/>
          <w:color w:val="auto"/>
          <w:sz w:val="48"/>
          <w:szCs w:val="48"/>
          <w:highlight w:val="none"/>
        </w:rPr>
      </w:pPr>
    </w:p>
    <w:p w14:paraId="3C83C65F">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56655F97">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50C198AD">
      <w:pPr>
        <w:snapToGrid w:val="0"/>
        <w:spacing w:before="120" w:beforeLines="50" w:after="50"/>
        <w:jc w:val="center"/>
        <w:outlineLvl w:val="1"/>
        <w:rPr>
          <w:rFonts w:hint="eastAsia" w:ascii="宋体" w:hAnsi="宋体" w:cs="宋体"/>
          <w:b/>
          <w:color w:val="auto"/>
          <w:sz w:val="32"/>
          <w:szCs w:val="32"/>
          <w:highlight w:val="none"/>
        </w:rPr>
      </w:pPr>
      <w:bookmarkStart w:id="228" w:name="_Toc30127"/>
      <w:bookmarkStart w:id="229" w:name="_Toc20190"/>
      <w:bookmarkStart w:id="230" w:name="_Toc32717"/>
      <w:bookmarkStart w:id="231" w:name="_Toc29222"/>
      <w:bookmarkStart w:id="232" w:name="_Toc23455"/>
      <w:bookmarkStart w:id="233" w:name="_Toc25713"/>
      <w:bookmarkStart w:id="234" w:name="_Toc9192"/>
    </w:p>
    <w:p w14:paraId="2C469F06">
      <w:pPr>
        <w:keepNext w:val="0"/>
        <w:keepLines w:val="0"/>
        <w:pageBreakBefore w:val="0"/>
        <w:widowControl w:val="0"/>
        <w:kinsoku/>
        <w:wordWrap/>
        <w:overflowPunct/>
        <w:topLinePunct w:val="0"/>
        <w:autoSpaceDE/>
        <w:autoSpaceDN/>
        <w:bidi w:val="0"/>
        <w:adjustRightInd/>
        <w:snapToGrid w:val="0"/>
        <w:spacing w:before="120" w:beforeLines="50" w:after="50"/>
        <w:jc w:val="center"/>
        <w:textAlignment w:val="auto"/>
        <w:outlineLvl w:val="9"/>
        <w:rPr>
          <w:rFonts w:hint="eastAsia" w:ascii="宋体" w:hAnsi="宋体" w:cs="宋体"/>
          <w:b/>
          <w:color w:val="auto"/>
          <w:sz w:val="24"/>
          <w:szCs w:val="20"/>
          <w:highlight w:val="none"/>
        </w:rPr>
      </w:pPr>
      <w:bookmarkStart w:id="235" w:name="_Toc22221"/>
      <w:bookmarkStart w:id="236" w:name="_Toc14107"/>
      <w:r>
        <w:rPr>
          <w:rFonts w:hint="eastAsia" w:ascii="宋体" w:hAnsi="宋体" w:cs="宋体"/>
          <w:b/>
          <w:color w:val="auto"/>
          <w:sz w:val="32"/>
          <w:szCs w:val="32"/>
          <w:highlight w:val="none"/>
        </w:rPr>
        <w:t>商务文件</w:t>
      </w:r>
      <w:bookmarkEnd w:id="228"/>
      <w:bookmarkEnd w:id="229"/>
      <w:bookmarkEnd w:id="230"/>
      <w:bookmarkEnd w:id="231"/>
      <w:bookmarkEnd w:id="232"/>
      <w:bookmarkEnd w:id="233"/>
      <w:bookmarkEnd w:id="234"/>
      <w:bookmarkEnd w:id="235"/>
      <w:bookmarkEnd w:id="236"/>
    </w:p>
    <w:p w14:paraId="6B069F67">
      <w:pPr>
        <w:snapToGrid w:val="0"/>
        <w:spacing w:before="120" w:beforeLines="50" w:after="50"/>
        <w:rPr>
          <w:rFonts w:hint="eastAsia" w:ascii="宋体" w:hAnsi="宋体" w:cs="宋体"/>
          <w:bCs/>
          <w:color w:val="auto"/>
          <w:sz w:val="24"/>
          <w:szCs w:val="20"/>
          <w:highlight w:val="none"/>
        </w:rPr>
      </w:pPr>
    </w:p>
    <w:p w14:paraId="2B74301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A7ADCCA">
      <w:pPr>
        <w:snapToGrid w:val="0"/>
        <w:spacing w:before="120" w:beforeLines="50" w:after="50"/>
        <w:ind w:firstLine="540" w:firstLineChars="225"/>
        <w:rPr>
          <w:rFonts w:hint="eastAsia" w:ascii="宋体" w:hAnsi="宋体" w:cs="宋体"/>
          <w:bCs/>
          <w:color w:val="auto"/>
          <w:sz w:val="24"/>
          <w:szCs w:val="20"/>
          <w:highlight w:val="none"/>
        </w:rPr>
      </w:pPr>
    </w:p>
    <w:p w14:paraId="0B0D9221">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6EA87651">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152223A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所投分标（如有）：</w:t>
      </w:r>
    </w:p>
    <w:p w14:paraId="12AF2122">
      <w:pPr>
        <w:snapToGrid w:val="0"/>
        <w:spacing w:before="120" w:beforeLines="50" w:after="50"/>
        <w:ind w:firstLine="540" w:firstLineChars="225"/>
        <w:rPr>
          <w:rFonts w:hint="eastAsia" w:ascii="宋体" w:hAnsi="宋体" w:cs="宋体"/>
          <w:bCs/>
          <w:color w:val="auto"/>
          <w:sz w:val="24"/>
          <w:szCs w:val="20"/>
          <w:highlight w:val="none"/>
        </w:rPr>
      </w:pPr>
    </w:p>
    <w:p w14:paraId="1C2F61F1">
      <w:pPr>
        <w:pStyle w:val="8"/>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215B2E5">
      <w:pPr>
        <w:pStyle w:val="8"/>
        <w:snapToGrid w:val="0"/>
        <w:spacing w:before="50" w:after="50"/>
        <w:ind w:firstLine="540" w:firstLineChars="225"/>
        <w:rPr>
          <w:rFonts w:hint="eastAsia" w:ascii="宋体" w:hAnsi="宋体" w:cs="宋体"/>
          <w:bCs/>
          <w:color w:val="auto"/>
          <w:sz w:val="24"/>
          <w:szCs w:val="24"/>
          <w:highlight w:val="none"/>
        </w:rPr>
      </w:pPr>
    </w:p>
    <w:p w14:paraId="18F2B316">
      <w:pPr>
        <w:pStyle w:val="8"/>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11A2C7D1">
      <w:pPr>
        <w:pStyle w:val="8"/>
        <w:snapToGrid w:val="0"/>
        <w:spacing w:before="50" w:after="50"/>
        <w:ind w:firstLine="960" w:firstLineChars="400"/>
        <w:rPr>
          <w:rFonts w:hint="eastAsia" w:ascii="宋体" w:hAnsi="宋体" w:cs="宋体"/>
          <w:bCs/>
          <w:color w:val="auto"/>
          <w:sz w:val="24"/>
          <w:szCs w:val="24"/>
          <w:highlight w:val="none"/>
        </w:rPr>
      </w:pPr>
    </w:p>
    <w:p w14:paraId="780AED98">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DE1EF4E">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F6CFE42">
      <w:pPr>
        <w:snapToGrid w:val="0"/>
        <w:spacing w:line="360" w:lineRule="auto"/>
        <w:jc w:val="left"/>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32"/>
          <w:szCs w:val="32"/>
          <w:highlight w:val="none"/>
        </w:rPr>
        <w:t>2.商务文件目录</w:t>
      </w:r>
    </w:p>
    <w:p w14:paraId="6388E554">
      <w:pPr>
        <w:snapToGrid w:val="0"/>
        <w:spacing w:before="50" w:after="120" w:afterLines="50" w:line="360" w:lineRule="auto"/>
        <w:jc w:val="center"/>
        <w:rPr>
          <w:rFonts w:hint="eastAsia" w:ascii="宋体" w:hAnsi="宋体" w:cs="宋体"/>
          <w:color w:val="auto"/>
          <w:sz w:val="24"/>
          <w:highlight w:val="none"/>
        </w:rPr>
      </w:pPr>
    </w:p>
    <w:p w14:paraId="3A044605">
      <w:pPr>
        <w:snapToGrid w:val="0"/>
        <w:spacing w:before="50" w:after="120" w:afterLines="50" w:line="360" w:lineRule="auto"/>
        <w:jc w:val="center"/>
        <w:rPr>
          <w:rFonts w:hint="eastAsia" w:ascii="宋体" w:hAnsi="宋体" w:cs="宋体"/>
          <w:b/>
          <w:bCs/>
          <w:color w:val="auto"/>
          <w:szCs w:val="21"/>
          <w:highlight w:val="none"/>
        </w:rPr>
      </w:pPr>
      <w:r>
        <w:rPr>
          <w:rFonts w:hint="eastAsia" w:ascii="宋体" w:hAnsi="宋体" w:cs="宋体"/>
          <w:color w:val="auto"/>
          <w:szCs w:val="21"/>
          <w:highlight w:val="none"/>
        </w:rPr>
        <w:t>根据招标文件规定及投标人提供的材料自行编写目录。</w:t>
      </w:r>
    </w:p>
    <w:p w14:paraId="437C1A79">
      <w:pPr>
        <w:snapToGrid w:val="0"/>
        <w:spacing w:before="50" w:after="120" w:afterLines="50"/>
        <w:jc w:val="left"/>
        <w:rPr>
          <w:rFonts w:hint="eastAsia" w:ascii="宋体" w:hAnsi="宋体" w:cs="宋体"/>
          <w:color w:val="auto"/>
          <w:highlight w:val="none"/>
        </w:rPr>
      </w:pPr>
    </w:p>
    <w:p w14:paraId="3A25109B">
      <w:pPr>
        <w:snapToGrid w:val="0"/>
        <w:spacing w:before="120" w:beforeLines="50" w:after="50"/>
        <w:jc w:val="left"/>
        <w:rPr>
          <w:rFonts w:hint="eastAsia" w:ascii="宋体" w:hAnsi="宋体" w:cs="宋体"/>
          <w:b/>
          <w:color w:val="auto"/>
          <w:sz w:val="32"/>
          <w:szCs w:val="32"/>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3.无串通投标行为的承诺函</w:t>
      </w:r>
    </w:p>
    <w:p w14:paraId="387F978E">
      <w:pPr>
        <w:snapToGrid w:val="0"/>
        <w:spacing w:before="120" w:beforeLines="50" w:after="50"/>
        <w:jc w:val="left"/>
        <w:rPr>
          <w:rFonts w:hint="eastAsia" w:ascii="宋体" w:hAnsi="宋体" w:cs="宋体"/>
          <w:b/>
          <w:color w:val="auto"/>
          <w:sz w:val="24"/>
          <w:highlight w:val="none"/>
        </w:rPr>
      </w:pPr>
    </w:p>
    <w:p w14:paraId="0EA9818A">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无串通投标行为的承诺函</w:t>
      </w:r>
    </w:p>
    <w:p w14:paraId="6BE3C04D">
      <w:pPr>
        <w:spacing w:line="500" w:lineRule="exact"/>
        <w:ind w:firstLine="422" w:firstLineChars="200"/>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08CCA740">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r>
        <w:rPr>
          <w:rFonts w:hint="eastAsia"/>
          <w:color w:val="auto"/>
          <w:highlight w:val="none"/>
        </w:rPr>
        <w:t>或者不同供应商报名的IP地址一致的；</w:t>
      </w:r>
    </w:p>
    <w:p w14:paraId="2FC0C815">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7C3D4DDF">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250A81A7">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557CD46D">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5D27ECF">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59C479E7">
      <w:pPr>
        <w:spacing w:line="500" w:lineRule="exact"/>
        <w:ind w:firstLine="422" w:firstLineChars="200"/>
        <w:contextualSpacing/>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79A2A33B">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08B2740C">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0ADD3F82">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583E43CD">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01E6F72A">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3F1CC47C">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32D6F665">
      <w:pPr>
        <w:spacing w:line="50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1E7C7E9C">
      <w:pPr>
        <w:spacing w:line="500" w:lineRule="exact"/>
        <w:ind w:firstLine="413" w:firstLineChars="196"/>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2502BF99">
      <w:pPr>
        <w:pStyle w:val="24"/>
        <w:spacing w:line="500" w:lineRule="exact"/>
        <w:contextualSpacing/>
        <w:jc w:val="center"/>
        <w:rPr>
          <w:rFonts w:hint="eastAsia" w:hAnsi="宋体" w:cs="宋体"/>
          <w:color w:val="auto"/>
          <w:sz w:val="21"/>
          <w:highlight w:val="none"/>
        </w:rPr>
      </w:pPr>
      <w:r>
        <w:rPr>
          <w:rFonts w:hint="eastAsia" w:hAnsi="宋体" w:cs="宋体"/>
          <w:color w:val="auto"/>
          <w:sz w:val="21"/>
          <w:highlight w:val="none"/>
        </w:rPr>
        <w:t xml:space="preserve">                                      投标人名称（电子签章）：</w:t>
      </w:r>
    </w:p>
    <w:p w14:paraId="0BE2BA0C">
      <w:pPr>
        <w:pStyle w:val="24"/>
        <w:spacing w:line="500" w:lineRule="exact"/>
        <w:contextualSpacing/>
        <w:rPr>
          <w:rFonts w:hint="eastAsia" w:hAnsi="宋体" w:cs="宋体"/>
          <w:color w:val="auto"/>
          <w:sz w:val="21"/>
          <w:highlight w:val="none"/>
        </w:rPr>
      </w:pPr>
      <w:r>
        <w:rPr>
          <w:rFonts w:hint="eastAsia" w:hAnsi="宋体" w:cs="宋体"/>
          <w:color w:val="auto"/>
          <w:sz w:val="21"/>
          <w:highlight w:val="none"/>
        </w:rPr>
        <w:t xml:space="preserve">                                                  日期：      年    月     日</w:t>
      </w:r>
    </w:p>
    <w:p w14:paraId="5F00840F">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4.法定代表人身份证明</w:t>
      </w:r>
    </w:p>
    <w:p w14:paraId="188D83CF">
      <w:pPr>
        <w:spacing w:before="240" w:beforeLines="100" w:after="120" w:afterLines="50"/>
        <w:ind w:left="540"/>
        <w:jc w:val="center"/>
        <w:rPr>
          <w:rFonts w:hint="eastAsia" w:ascii="宋体" w:hAnsi="宋体" w:cs="宋体"/>
          <w:b/>
          <w:color w:val="auto"/>
          <w:sz w:val="32"/>
          <w:szCs w:val="32"/>
          <w:highlight w:val="none"/>
        </w:rPr>
      </w:pPr>
    </w:p>
    <w:p w14:paraId="6DF2BE85">
      <w:pPr>
        <w:spacing w:before="240" w:beforeLines="100" w:after="120" w:afterLines="50"/>
        <w:ind w:left="54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法定代表人身份证明</w:t>
      </w:r>
    </w:p>
    <w:p w14:paraId="163B3E07">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58A89060">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2AAE3FBE">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p>
    <w:p w14:paraId="294468FE">
      <w:pPr>
        <w:spacing w:line="500" w:lineRule="exact"/>
        <w:ind w:left="540"/>
        <w:rPr>
          <w:rFonts w:hint="eastAsia" w:ascii="宋体" w:hAnsi="宋体" w:cs="宋体"/>
          <w:color w:val="auto"/>
          <w:szCs w:val="21"/>
          <w:highlight w:val="none"/>
          <w:u w:val="singl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2A28B38C">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70DBE147">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1C9CEBF1">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特此证明。</w:t>
      </w:r>
    </w:p>
    <w:p w14:paraId="6C51A845">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附件：法定代表人有效身份证正反面扫描件</w:t>
      </w:r>
    </w:p>
    <w:p w14:paraId="72496D03">
      <w:pPr>
        <w:spacing w:line="500" w:lineRule="exact"/>
        <w:ind w:left="540"/>
        <w:rPr>
          <w:rFonts w:hint="eastAsia" w:ascii="宋体" w:hAnsi="宋体" w:cs="宋体"/>
          <w:color w:val="auto"/>
          <w:szCs w:val="21"/>
          <w:highlight w:val="none"/>
        </w:rPr>
      </w:pPr>
    </w:p>
    <w:p w14:paraId="1E166FBF">
      <w:pPr>
        <w:pStyle w:val="24"/>
        <w:spacing w:line="500" w:lineRule="exact"/>
        <w:contextualSpacing/>
        <w:jc w:val="center"/>
        <w:rPr>
          <w:rFonts w:hint="eastAsia" w:hAnsi="宋体" w:cs="宋体"/>
          <w:color w:val="auto"/>
          <w:sz w:val="21"/>
          <w:highlight w:val="none"/>
        </w:rPr>
      </w:pPr>
      <w:r>
        <w:rPr>
          <w:rFonts w:hint="eastAsia" w:hAnsi="宋体" w:cs="宋体"/>
          <w:color w:val="auto"/>
          <w:sz w:val="21"/>
          <w:highlight w:val="none"/>
        </w:rPr>
        <w:t xml:space="preserve">                                      投标人名称（电子签章）：</w:t>
      </w:r>
    </w:p>
    <w:p w14:paraId="0AF32966">
      <w:pPr>
        <w:pStyle w:val="24"/>
        <w:spacing w:line="500" w:lineRule="exact"/>
        <w:contextualSpacing/>
        <w:rPr>
          <w:rFonts w:hint="eastAsia" w:hAnsi="宋体" w:cs="宋体"/>
          <w:color w:val="auto"/>
          <w:sz w:val="21"/>
          <w:highlight w:val="none"/>
        </w:rPr>
      </w:pPr>
      <w:r>
        <w:rPr>
          <w:rFonts w:hint="eastAsia" w:hAnsi="宋体" w:cs="宋体"/>
          <w:color w:val="auto"/>
          <w:sz w:val="21"/>
          <w:highlight w:val="none"/>
        </w:rPr>
        <w:t xml:space="preserve">                                                  日期：      年    月     日</w:t>
      </w:r>
    </w:p>
    <w:p w14:paraId="541B07DE">
      <w:pPr>
        <w:snapToGrid w:val="0"/>
        <w:spacing w:before="120" w:beforeLines="50" w:after="50"/>
        <w:jc w:val="center"/>
        <w:rPr>
          <w:rFonts w:hint="eastAsia" w:ascii="宋体" w:hAnsi="宋体" w:cs="宋体"/>
          <w:b/>
          <w:color w:val="auto"/>
          <w:szCs w:val="21"/>
          <w:highlight w:val="none"/>
        </w:rPr>
      </w:pPr>
    </w:p>
    <w:p w14:paraId="598B61EC">
      <w:pPr>
        <w:snapToGrid w:val="0"/>
        <w:spacing w:before="120" w:beforeLines="50" w:after="50"/>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6C03AB5F">
      <w:pPr>
        <w:snapToGrid w:val="0"/>
        <w:spacing w:before="120" w:beforeLines="50" w:after="50"/>
        <w:jc w:val="left"/>
        <w:rPr>
          <w:rFonts w:hint="eastAsia" w:ascii="宋体" w:hAnsi="宋体" w:cs="宋体"/>
          <w:b/>
          <w:color w:val="auto"/>
          <w:sz w:val="32"/>
          <w:szCs w:val="32"/>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5.授权委托书格式</w:t>
      </w:r>
    </w:p>
    <w:p w14:paraId="5D27FE55">
      <w:pPr>
        <w:snapToGrid w:val="0"/>
        <w:spacing w:before="120" w:beforeLines="50" w:after="50"/>
        <w:jc w:val="center"/>
        <w:rPr>
          <w:rFonts w:hint="eastAsia" w:ascii="宋体" w:hAnsi="宋体" w:cs="宋体"/>
          <w:b/>
          <w:color w:val="auto"/>
          <w:sz w:val="32"/>
          <w:szCs w:val="32"/>
          <w:highlight w:val="none"/>
        </w:rPr>
      </w:pPr>
    </w:p>
    <w:p w14:paraId="664A96AD">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授权委托书（如有委托时）</w:t>
      </w:r>
    </w:p>
    <w:p w14:paraId="2CF5CE39">
      <w:pPr>
        <w:spacing w:line="500" w:lineRule="exact"/>
        <w:contextualSpacing/>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0B7C0094">
      <w:pPr>
        <w:spacing w:line="50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9EF0436">
      <w:pPr>
        <w:spacing w:line="50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我方对委托代理人的签字或者电子签名事项负全部责任。</w:t>
      </w:r>
    </w:p>
    <w:p w14:paraId="14B6955B">
      <w:pPr>
        <w:spacing w:line="50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1F375942">
      <w:pPr>
        <w:spacing w:line="50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DD9D183">
      <w:pPr>
        <w:spacing w:line="500" w:lineRule="exact"/>
        <w:ind w:firstLine="480"/>
        <w:contextualSpacing/>
        <w:rPr>
          <w:rFonts w:hint="eastAsia" w:ascii="宋体" w:hAnsi="宋体" w:cs="宋体"/>
          <w:color w:val="auto"/>
          <w:kern w:val="0"/>
          <w:szCs w:val="21"/>
          <w:highlight w:val="none"/>
        </w:rPr>
      </w:pPr>
      <w:r>
        <w:rPr>
          <w:rFonts w:hint="eastAsia" w:ascii="宋体" w:hAnsi="宋体" w:cs="宋体"/>
          <w:color w:val="auto"/>
          <w:szCs w:val="21"/>
          <w:highlight w:val="none"/>
        </w:rPr>
        <w:t>附：法定代表人身份证明及</w:t>
      </w:r>
      <w:r>
        <w:rPr>
          <w:rFonts w:hint="eastAsia" w:ascii="宋体" w:hAnsi="宋体" w:cs="宋体"/>
          <w:color w:val="auto"/>
          <w:kern w:val="0"/>
          <w:szCs w:val="21"/>
          <w:highlight w:val="none"/>
        </w:rPr>
        <w:t>委托代理人有效身份证正反面扫描件。</w:t>
      </w:r>
    </w:p>
    <w:p w14:paraId="5ACBEB57">
      <w:pPr>
        <w:spacing w:line="500" w:lineRule="exact"/>
        <w:contextualSpacing/>
        <w:rPr>
          <w:rFonts w:hint="eastAsia" w:ascii="宋体" w:hAnsi="宋体" w:cs="宋体"/>
          <w:color w:val="auto"/>
          <w:szCs w:val="21"/>
          <w:highlight w:val="none"/>
        </w:rPr>
      </w:pPr>
    </w:p>
    <w:p w14:paraId="1317AF6F">
      <w:pPr>
        <w:spacing w:line="5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DF8B285">
      <w:pPr>
        <w:spacing w:line="50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0DC1708F">
      <w:pPr>
        <w:spacing w:line="50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0CFC6FB4">
      <w:pPr>
        <w:spacing w:line="5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21ABCE4">
      <w:pPr>
        <w:spacing w:line="500" w:lineRule="exact"/>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44B3C1C">
      <w:pPr>
        <w:spacing w:line="500" w:lineRule="exact"/>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6CF1E4F9">
      <w:pPr>
        <w:spacing w:line="5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注：1.</w:t>
      </w:r>
      <w:bookmarkStart w:id="237" w:name="_Hlk65851555"/>
      <w:bookmarkStart w:id="238" w:name="_Hlk65851620"/>
      <w:r>
        <w:rPr>
          <w:rFonts w:hint="eastAsia" w:ascii="宋体" w:hAnsi="宋体" w:cs="宋体"/>
          <w:color w:val="auto"/>
          <w:szCs w:val="21"/>
          <w:highlight w:val="none"/>
        </w:rPr>
        <w:t>法定代表人必须在授权委托书上签字或者盖章或者电子签名，</w:t>
      </w:r>
      <w:bookmarkEnd w:id="237"/>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38"/>
    </w:p>
    <w:p w14:paraId="690E7BD8">
      <w:pPr>
        <w:spacing w:line="50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4417A93E">
      <w:pPr>
        <w:spacing w:line="440" w:lineRule="exact"/>
        <w:contextualSpacing/>
        <w:jc w:val="left"/>
        <w:rPr>
          <w:rFonts w:hint="eastAsia" w:ascii="宋体" w:hAnsi="宋体" w:cs="宋体"/>
          <w:color w:val="auto"/>
          <w:sz w:val="24"/>
          <w:highlight w:val="none"/>
        </w:rPr>
        <w:sectPr>
          <w:pgSz w:w="11906" w:h="16838"/>
          <w:pgMar w:top="1247" w:right="1247" w:bottom="1247" w:left="1247" w:header="851" w:footer="992" w:gutter="0"/>
          <w:pgNumType w:fmt="decimal"/>
          <w:cols w:space="720" w:num="1"/>
          <w:titlePg/>
          <w:docGrid w:linePitch="312" w:charSpace="0"/>
        </w:sectPr>
      </w:pPr>
      <w:bookmarkStart w:id="239" w:name="_Hlk65852658"/>
    </w:p>
    <w:bookmarkEnd w:id="239"/>
    <w:p w14:paraId="3145D9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6.商务要求偏离表格式（注：按项目需求表具体项目修改）</w:t>
      </w:r>
    </w:p>
    <w:p w14:paraId="558D4645">
      <w:pPr>
        <w:snapToGrid w:val="0"/>
        <w:spacing w:before="50"/>
        <w:jc w:val="left"/>
        <w:rPr>
          <w:rFonts w:hint="eastAsia" w:ascii="宋体" w:hAnsi="宋体" w:cs="宋体"/>
          <w:color w:val="auto"/>
          <w:sz w:val="24"/>
          <w:highlight w:val="none"/>
        </w:rPr>
      </w:pPr>
    </w:p>
    <w:p w14:paraId="5F8E61B9">
      <w:pPr>
        <w:pStyle w:val="24"/>
        <w:spacing w:line="500" w:lineRule="exact"/>
        <w:rPr>
          <w:rFonts w:hint="eastAsia"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47"/>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5F74C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206F3836">
            <w:pPr>
              <w:snapToGrid w:val="0"/>
              <w:spacing w:before="120" w:before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7056CF0">
            <w:pPr>
              <w:snapToGrid w:val="0"/>
              <w:spacing w:before="120" w:before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招标文件商务条款要求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790ED664">
            <w:pPr>
              <w:snapToGrid w:val="0"/>
              <w:spacing w:before="120" w:before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615779AC">
            <w:pPr>
              <w:snapToGrid w:val="0"/>
              <w:spacing w:before="120" w:before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2209CE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0BB2DE06">
            <w:pPr>
              <w:spacing w:line="500" w:lineRule="exact"/>
              <w:jc w:val="center"/>
              <w:rPr>
                <w:rFonts w:hint="eastAsia" w:ascii="宋体" w:hAnsi="宋体" w:cs="宋体"/>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center"/>
          </w:tcPr>
          <w:p w14:paraId="2B82B7F0">
            <w:pPr>
              <w:spacing w:line="50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0B5BFC76">
            <w:pPr>
              <w:snapToGrid w:val="0"/>
              <w:spacing w:before="120" w:beforeLines="50" w:line="500" w:lineRule="exact"/>
              <w:jc w:val="center"/>
              <w:rPr>
                <w:rFonts w:hint="eastAsia" w:ascii="宋体" w:hAnsi="宋体" w:cs="宋体"/>
                <w:color w:val="auto"/>
                <w:szCs w:val="21"/>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AD20890">
            <w:pPr>
              <w:snapToGrid w:val="0"/>
              <w:spacing w:before="120" w:beforeLines="50" w:line="500" w:lineRule="exact"/>
              <w:jc w:val="center"/>
              <w:rPr>
                <w:rFonts w:hint="eastAsia" w:ascii="宋体" w:hAnsi="宋体" w:cs="宋体"/>
                <w:color w:val="auto"/>
                <w:szCs w:val="21"/>
                <w:highlight w:val="none"/>
              </w:rPr>
            </w:pPr>
          </w:p>
        </w:tc>
      </w:tr>
      <w:tr w14:paraId="46CCF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032276AA">
            <w:pPr>
              <w:spacing w:line="500" w:lineRule="exact"/>
              <w:jc w:val="center"/>
              <w:rPr>
                <w:rFonts w:hint="eastAsia" w:ascii="宋体" w:hAnsi="宋体" w:cs="宋体"/>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center"/>
          </w:tcPr>
          <w:p w14:paraId="36BA92FC">
            <w:pPr>
              <w:spacing w:line="50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297BE15">
            <w:pPr>
              <w:snapToGrid w:val="0"/>
              <w:spacing w:before="120" w:beforeLines="50" w:line="500" w:lineRule="exact"/>
              <w:ind w:left="43"/>
              <w:jc w:val="center"/>
              <w:rPr>
                <w:rFonts w:hint="eastAsia" w:ascii="宋体" w:hAnsi="宋体" w:cs="宋体"/>
                <w:color w:val="auto"/>
                <w:szCs w:val="21"/>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466B1BD">
            <w:pPr>
              <w:snapToGrid w:val="0"/>
              <w:spacing w:before="120" w:beforeLines="50" w:line="500" w:lineRule="exact"/>
              <w:ind w:left="43"/>
              <w:jc w:val="center"/>
              <w:rPr>
                <w:rFonts w:hint="eastAsia" w:ascii="宋体" w:hAnsi="宋体" w:cs="宋体"/>
                <w:color w:val="auto"/>
                <w:szCs w:val="21"/>
                <w:highlight w:val="none"/>
              </w:rPr>
            </w:pPr>
          </w:p>
        </w:tc>
      </w:tr>
      <w:tr w14:paraId="40EDD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5C3CD94B">
            <w:pPr>
              <w:snapToGrid w:val="0"/>
              <w:spacing w:before="120" w:before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DB5FF8C">
            <w:pPr>
              <w:snapToGrid w:val="0"/>
              <w:spacing w:before="120" w:beforeLines="50" w:line="50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2B982B3">
            <w:pPr>
              <w:snapToGrid w:val="0"/>
              <w:spacing w:before="120" w:beforeLines="50" w:line="500" w:lineRule="exact"/>
              <w:jc w:val="center"/>
              <w:rPr>
                <w:rFonts w:hint="eastAsia" w:ascii="宋体" w:hAnsi="宋体" w:cs="宋体"/>
                <w:color w:val="auto"/>
                <w:szCs w:val="21"/>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0897B7A">
            <w:pPr>
              <w:snapToGrid w:val="0"/>
              <w:spacing w:before="120" w:beforeLines="50" w:line="500" w:lineRule="exact"/>
              <w:jc w:val="center"/>
              <w:rPr>
                <w:rFonts w:hint="eastAsia" w:ascii="宋体" w:hAnsi="宋体" w:cs="宋体"/>
                <w:color w:val="auto"/>
                <w:szCs w:val="21"/>
                <w:highlight w:val="none"/>
              </w:rPr>
            </w:pPr>
          </w:p>
        </w:tc>
      </w:tr>
    </w:tbl>
    <w:p w14:paraId="6BB0F699">
      <w:pPr>
        <w:pStyle w:val="18"/>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20BCBCE0">
      <w:pPr>
        <w:pStyle w:val="19"/>
        <w:spacing w:line="5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1.说明：应对照招标文件“第二章 采购需求”中的商务条款要求逐条作明确的投标响应，并作出偏离说明。</w:t>
      </w:r>
    </w:p>
    <w:p w14:paraId="6C887020">
      <w:pPr>
        <w:pStyle w:val="18"/>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2.投标人应根据自身的承诺，对照招标文件要求在“偏离说明”中注明“</w:t>
      </w:r>
      <w:r>
        <w:rPr>
          <w:rFonts w:hint="eastAsia" w:ascii="宋体" w:hAnsi="宋体" w:cs="宋体"/>
          <w:color w:val="auto"/>
          <w:sz w:val="21"/>
          <w:szCs w:val="21"/>
          <w:highlight w:val="none"/>
        </w:rPr>
        <w:t>正偏离”“负偏离</w:t>
      </w:r>
      <w:r>
        <w:rPr>
          <w:rFonts w:hint="eastAsia" w:ascii="宋体" w:hAnsi="宋体" w:cs="宋体"/>
          <w:b w:val="0"/>
          <w:bCs w:val="0"/>
          <w:color w:val="auto"/>
          <w:sz w:val="21"/>
          <w:szCs w:val="21"/>
          <w:highlight w:val="none"/>
        </w:rPr>
        <w:t>”或者“</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”。既不属于“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”也不属于“</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”即为“</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w:t>
      </w:r>
    </w:p>
    <w:p w14:paraId="41E091CD">
      <w:pPr>
        <w:snapToGrid w:val="0"/>
        <w:spacing w:before="50" w:after="50" w:line="500" w:lineRule="exact"/>
        <w:rPr>
          <w:rFonts w:hint="eastAsia" w:ascii="宋体" w:hAnsi="宋体" w:cs="宋体"/>
          <w:color w:val="auto"/>
          <w:szCs w:val="21"/>
          <w:highlight w:val="none"/>
        </w:rPr>
      </w:pPr>
    </w:p>
    <w:p w14:paraId="5F8DE3A1">
      <w:pPr>
        <w:snapToGrid w:val="0"/>
        <w:spacing w:before="50" w:after="50" w:line="500" w:lineRule="exact"/>
        <w:ind w:firstLine="3360" w:firstLineChars="1600"/>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p>
    <w:p w14:paraId="4CA8AE17">
      <w:pPr>
        <w:snapToGrid w:val="0"/>
        <w:spacing w:before="120" w:beforeLines="50" w:line="500" w:lineRule="exact"/>
        <w:ind w:firstLine="3357" w:firstLineChars="1343"/>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p>
    <w:p w14:paraId="3D98F703">
      <w:pPr>
        <w:snapToGrid w:val="0"/>
        <w:spacing w:before="120" w:beforeLines="50" w:line="50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171B2D0">
      <w:pPr>
        <w:snapToGrid w:val="0"/>
        <w:spacing w:before="120" w:beforeLines="50" w:after="50"/>
        <w:jc w:val="left"/>
        <w:rPr>
          <w:rFonts w:hint="eastAsia" w:ascii="宋体" w:hAnsi="宋体" w:cs="宋体"/>
          <w:color w:val="auto"/>
          <w:szCs w:val="21"/>
          <w:highlight w:val="none"/>
        </w:rPr>
        <w:sectPr>
          <w:footerReference r:id="rId30" w:type="first"/>
          <w:headerReference r:id="rId27" w:type="default"/>
          <w:footerReference r:id="rId28" w:type="default"/>
          <w:footerReference r:id="rId29" w:type="even"/>
          <w:pgSz w:w="11906" w:h="16838"/>
          <w:pgMar w:top="1440" w:right="1797" w:bottom="1440" w:left="1797" w:header="851" w:footer="992" w:gutter="0"/>
          <w:pgNumType w:fmt="decimal"/>
          <w:cols w:space="720" w:num="1"/>
          <w:docGrid w:linePitch="312" w:charSpace="0"/>
        </w:sectPr>
      </w:pPr>
    </w:p>
    <w:p w14:paraId="40557032">
      <w:pPr>
        <w:snapToGrid w:val="0"/>
        <w:spacing w:before="120" w:beforeLines="50" w:after="5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7.投标人业绩证明材料</w:t>
      </w:r>
    </w:p>
    <w:p w14:paraId="2C821927">
      <w:pPr>
        <w:pStyle w:val="34"/>
        <w:snapToGrid w:val="0"/>
        <w:ind w:left="480" w:hanging="480"/>
        <w:rPr>
          <w:rFonts w:hint="eastAsia" w:ascii="宋体" w:hAnsi="宋体" w:cs="宋体"/>
          <w:color w:val="auto"/>
          <w:sz w:val="24"/>
          <w:highlight w:val="none"/>
        </w:rPr>
      </w:pPr>
    </w:p>
    <w:p w14:paraId="5701FABC">
      <w:pPr>
        <w:pStyle w:val="34"/>
        <w:snapToGrid w:val="0"/>
        <w:spacing w:line="500" w:lineRule="exact"/>
        <w:ind w:left="420" w:hanging="420"/>
        <w:rPr>
          <w:rFonts w:hint="eastAsia" w:ascii="宋体" w:hAnsi="宋体" w:cs="宋体"/>
          <w:color w:val="auto"/>
          <w:sz w:val="21"/>
          <w:szCs w:val="21"/>
          <w:highlight w:val="none"/>
        </w:rPr>
      </w:pPr>
      <w:r>
        <w:rPr>
          <w:rFonts w:hint="eastAsia" w:ascii="宋体" w:hAnsi="宋体" w:cs="宋体"/>
          <w:color w:val="auto"/>
          <w:sz w:val="21"/>
          <w:szCs w:val="21"/>
          <w:highlight w:val="none"/>
        </w:rPr>
        <w:t>投标人业绩情况一览表格式：</w:t>
      </w:r>
    </w:p>
    <w:tbl>
      <w:tblPr>
        <w:tblStyle w:val="4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63FDF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0"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26E4AE3C">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A5BFB44">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68CC1ACC">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0A6C99B0">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59A644F0">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1D639B79">
            <w:pPr>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125E6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6C940E31">
            <w:pPr>
              <w:spacing w:line="50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2DE70644">
            <w:pPr>
              <w:spacing w:line="50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1887FEE8">
            <w:pPr>
              <w:spacing w:line="50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277C776A">
            <w:pPr>
              <w:spacing w:line="500" w:lineRule="exact"/>
              <w:jc w:val="left"/>
              <w:rPr>
                <w:rFonts w:hint="eastAsia" w:ascii="宋体" w:hAnsi="宋体" w:cs="宋体"/>
                <w:color w:val="auto"/>
                <w:szCs w:val="21"/>
                <w:highlight w:val="none"/>
              </w:rPr>
            </w:pPr>
          </w:p>
        </w:tc>
      </w:tr>
      <w:tr w14:paraId="35FBE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36318F16">
            <w:pPr>
              <w:snapToGrid w:val="0"/>
              <w:spacing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F07D219">
            <w:pPr>
              <w:snapToGrid w:val="0"/>
              <w:spacing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2854EB0">
            <w:pPr>
              <w:snapToGrid w:val="0"/>
              <w:spacing w:line="50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BDC414E">
            <w:pPr>
              <w:snapToGrid w:val="0"/>
              <w:spacing w:line="500" w:lineRule="exact"/>
              <w:jc w:val="left"/>
              <w:rPr>
                <w:rFonts w:hint="eastAsia" w:ascii="宋体" w:hAnsi="宋体" w:cs="宋体"/>
                <w:color w:val="auto"/>
                <w:szCs w:val="21"/>
                <w:highlight w:val="none"/>
              </w:rPr>
            </w:pPr>
          </w:p>
        </w:tc>
      </w:tr>
      <w:tr w14:paraId="37E6C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24F432D7">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19D9AAD">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720783">
            <w:pPr>
              <w:snapToGrid w:val="0"/>
              <w:spacing w:before="50" w:after="120" w:afterLines="50" w:line="50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F1B6A1E">
            <w:pPr>
              <w:snapToGrid w:val="0"/>
              <w:spacing w:before="50" w:after="120" w:afterLines="50" w:line="500" w:lineRule="exact"/>
              <w:jc w:val="left"/>
              <w:rPr>
                <w:rFonts w:hint="eastAsia" w:ascii="宋体" w:hAnsi="宋体" w:cs="宋体"/>
                <w:color w:val="auto"/>
                <w:szCs w:val="21"/>
                <w:highlight w:val="none"/>
              </w:rPr>
            </w:pPr>
          </w:p>
        </w:tc>
      </w:tr>
      <w:tr w14:paraId="42BA7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0245D773">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E6E4AE9">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8A1EAB7">
            <w:pPr>
              <w:snapToGrid w:val="0"/>
              <w:spacing w:before="50" w:after="120" w:afterLines="50" w:line="50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6F6F63F">
            <w:pPr>
              <w:snapToGrid w:val="0"/>
              <w:spacing w:before="50" w:after="120" w:afterLines="50" w:line="500" w:lineRule="exact"/>
              <w:jc w:val="left"/>
              <w:rPr>
                <w:rFonts w:hint="eastAsia" w:ascii="宋体" w:hAnsi="宋体" w:cs="宋体"/>
                <w:color w:val="auto"/>
                <w:szCs w:val="21"/>
                <w:highlight w:val="none"/>
              </w:rPr>
            </w:pPr>
          </w:p>
        </w:tc>
      </w:tr>
      <w:tr w14:paraId="0C53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2FE86365">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E833774">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18D6A28">
            <w:pPr>
              <w:snapToGrid w:val="0"/>
              <w:spacing w:before="50" w:after="120" w:afterLines="50" w:line="50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2B69B0A">
            <w:pPr>
              <w:snapToGrid w:val="0"/>
              <w:spacing w:before="50" w:after="120" w:afterLines="50" w:line="500" w:lineRule="exact"/>
              <w:jc w:val="left"/>
              <w:rPr>
                <w:rFonts w:hint="eastAsia" w:ascii="宋体" w:hAnsi="宋体" w:cs="宋体"/>
                <w:color w:val="auto"/>
                <w:szCs w:val="21"/>
                <w:highlight w:val="none"/>
              </w:rPr>
            </w:pPr>
          </w:p>
        </w:tc>
      </w:tr>
      <w:tr w14:paraId="54453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298C060">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CD2F4FD">
            <w:pPr>
              <w:snapToGrid w:val="0"/>
              <w:spacing w:before="50" w:after="120" w:afterLines="50" w:line="50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C95FF21">
            <w:pPr>
              <w:snapToGrid w:val="0"/>
              <w:spacing w:before="50" w:after="120" w:afterLines="50" w:line="50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9463F16">
            <w:pPr>
              <w:snapToGrid w:val="0"/>
              <w:spacing w:before="50" w:after="120" w:afterLines="50" w:line="500" w:lineRule="exact"/>
              <w:jc w:val="left"/>
              <w:rPr>
                <w:rFonts w:hint="eastAsia" w:ascii="宋体" w:hAnsi="宋体" w:cs="宋体"/>
                <w:color w:val="auto"/>
                <w:szCs w:val="21"/>
                <w:highlight w:val="none"/>
              </w:rPr>
            </w:pPr>
          </w:p>
        </w:tc>
      </w:tr>
    </w:tbl>
    <w:p w14:paraId="12855648">
      <w:pPr>
        <w:pStyle w:val="15"/>
        <w:spacing w:before="0" w:after="0" w:line="50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7FC275EE">
      <w:pPr>
        <w:snapToGrid w:val="0"/>
        <w:spacing w:before="50" w:after="50" w:line="500" w:lineRule="exact"/>
        <w:ind w:firstLine="3360" w:firstLineChars="1600"/>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p>
    <w:p w14:paraId="0EAD2E2F">
      <w:pPr>
        <w:snapToGrid w:val="0"/>
        <w:spacing w:before="120" w:beforeLines="50" w:line="500" w:lineRule="exact"/>
        <w:ind w:firstLine="3357" w:firstLineChars="1343"/>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p>
    <w:p w14:paraId="0373A63B">
      <w:pPr>
        <w:snapToGrid w:val="0"/>
        <w:spacing w:before="120" w:beforeLines="50" w:line="50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647F54BD">
      <w:pPr>
        <w:snapToGrid w:val="0"/>
        <w:spacing w:before="50"/>
        <w:ind w:firstLine="480" w:firstLineChars="200"/>
        <w:jc w:val="left"/>
        <w:rPr>
          <w:rFonts w:hint="eastAsia" w:ascii="宋体" w:hAnsi="宋体" w:cs="宋体"/>
          <w:color w:val="auto"/>
          <w:sz w:val="24"/>
          <w:szCs w:val="20"/>
          <w:highlight w:val="none"/>
        </w:rPr>
      </w:pPr>
    </w:p>
    <w:p w14:paraId="1468B8BC">
      <w:pPr>
        <w:snapToGrid w:val="0"/>
        <w:spacing w:before="50"/>
        <w:jc w:val="left"/>
        <w:rPr>
          <w:rFonts w:hint="eastAsia" w:ascii="宋体" w:hAnsi="宋体" w:cs="宋体"/>
          <w:color w:val="auto"/>
          <w:sz w:val="24"/>
          <w:highlight w:val="none"/>
        </w:rPr>
      </w:pPr>
    </w:p>
    <w:p w14:paraId="3E7BC71E">
      <w:pPr>
        <w:snapToGrid w:val="0"/>
        <w:spacing w:before="120" w:beforeLines="50"/>
        <w:rPr>
          <w:rFonts w:hint="eastAsia" w:ascii="宋体" w:hAnsi="宋体" w:cs="宋体"/>
          <w:color w:val="auto"/>
          <w:sz w:val="24"/>
          <w:szCs w:val="20"/>
          <w:highlight w:val="none"/>
        </w:rPr>
        <w:sectPr>
          <w:pgSz w:w="11906" w:h="16838"/>
          <w:pgMar w:top="1440" w:right="1797" w:bottom="1440" w:left="1797" w:header="851" w:footer="992" w:gutter="0"/>
          <w:pgNumType w:fmt="decimal"/>
          <w:cols w:space="720" w:num="1"/>
          <w:docGrid w:linePitch="312" w:charSpace="0"/>
        </w:sectPr>
      </w:pPr>
    </w:p>
    <w:p w14:paraId="3E2F5CB6">
      <w:pPr>
        <w:snapToGrid w:val="0"/>
        <w:spacing w:before="120" w:beforeLines="50" w:after="50"/>
        <w:ind w:left="142"/>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8. 技术文件封面格式： </w:t>
      </w:r>
    </w:p>
    <w:p w14:paraId="4965D41A">
      <w:pPr>
        <w:snapToGrid w:val="0"/>
        <w:spacing w:before="120" w:beforeLines="50" w:after="50" w:line="360" w:lineRule="auto"/>
        <w:ind w:left="142"/>
        <w:jc w:val="center"/>
        <w:rPr>
          <w:rFonts w:hint="eastAsia" w:ascii="宋体" w:hAnsi="宋体" w:cs="宋体"/>
          <w:bCs/>
          <w:color w:val="auto"/>
          <w:sz w:val="48"/>
          <w:szCs w:val="48"/>
          <w:highlight w:val="none"/>
        </w:rPr>
      </w:pPr>
    </w:p>
    <w:p w14:paraId="45C16902">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175DB899">
      <w:pPr>
        <w:snapToGrid w:val="0"/>
        <w:spacing w:before="120" w:beforeLines="50" w:after="50"/>
        <w:jc w:val="center"/>
        <w:outlineLvl w:val="1"/>
        <w:rPr>
          <w:rFonts w:hint="eastAsia" w:ascii="宋体" w:hAnsi="宋体" w:cs="宋体"/>
          <w:b/>
          <w:bCs/>
          <w:color w:val="auto"/>
          <w:sz w:val="32"/>
          <w:szCs w:val="32"/>
          <w:highlight w:val="none"/>
        </w:rPr>
      </w:pPr>
      <w:bookmarkStart w:id="240" w:name="_Toc12150"/>
      <w:bookmarkStart w:id="241" w:name="_Toc8203"/>
      <w:bookmarkStart w:id="242" w:name="_Toc1166"/>
      <w:bookmarkStart w:id="243" w:name="_Toc29270"/>
      <w:bookmarkStart w:id="244" w:name="_Toc11729"/>
      <w:bookmarkStart w:id="245" w:name="_Toc15981"/>
      <w:bookmarkStart w:id="246" w:name="_Toc2377"/>
      <w:bookmarkStart w:id="247" w:name="_Toc18269"/>
      <w:bookmarkStart w:id="248" w:name="_Toc3212"/>
    </w:p>
    <w:p w14:paraId="62152A8C">
      <w:pPr>
        <w:keepNext w:val="0"/>
        <w:keepLines w:val="0"/>
        <w:pageBreakBefore w:val="0"/>
        <w:widowControl w:val="0"/>
        <w:kinsoku/>
        <w:wordWrap/>
        <w:overflowPunct/>
        <w:topLinePunct w:val="0"/>
        <w:autoSpaceDE/>
        <w:autoSpaceDN/>
        <w:bidi w:val="0"/>
        <w:adjustRightInd/>
        <w:snapToGrid w:val="0"/>
        <w:spacing w:before="120" w:beforeLines="50" w:after="50"/>
        <w:jc w:val="center"/>
        <w:textAlignment w:val="auto"/>
        <w:outlineLvl w:val="9"/>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技术文件</w:t>
      </w:r>
      <w:bookmarkEnd w:id="240"/>
      <w:bookmarkEnd w:id="241"/>
      <w:bookmarkEnd w:id="242"/>
      <w:bookmarkEnd w:id="243"/>
      <w:bookmarkEnd w:id="244"/>
      <w:bookmarkEnd w:id="245"/>
      <w:bookmarkEnd w:id="246"/>
      <w:bookmarkEnd w:id="247"/>
      <w:bookmarkEnd w:id="248"/>
    </w:p>
    <w:p w14:paraId="4F7847E5">
      <w:pPr>
        <w:snapToGrid w:val="0"/>
        <w:spacing w:before="120" w:beforeLines="50" w:after="50"/>
        <w:rPr>
          <w:rFonts w:hint="eastAsia" w:ascii="宋体" w:hAnsi="宋体" w:cs="宋体"/>
          <w:bCs/>
          <w:color w:val="auto"/>
          <w:sz w:val="24"/>
          <w:szCs w:val="20"/>
          <w:highlight w:val="none"/>
        </w:rPr>
      </w:pPr>
    </w:p>
    <w:p w14:paraId="7B8C0A8E">
      <w:pPr>
        <w:snapToGrid w:val="0"/>
        <w:spacing w:before="120" w:beforeLines="50" w:after="50" w:line="400" w:lineRule="exact"/>
        <w:ind w:firstLine="360" w:firstLineChars="150"/>
        <w:rPr>
          <w:rFonts w:hint="eastAsia" w:ascii="宋体" w:hAnsi="宋体" w:cs="宋体"/>
          <w:bCs/>
          <w:color w:val="auto"/>
          <w:sz w:val="24"/>
          <w:highlight w:val="none"/>
        </w:rPr>
      </w:pPr>
    </w:p>
    <w:p w14:paraId="5DB90E2E">
      <w:pPr>
        <w:snapToGrid w:val="0"/>
        <w:spacing w:before="120" w:beforeLines="50" w:after="50" w:line="500" w:lineRule="exact"/>
        <w:ind w:firstLine="360" w:firstLineChars="150"/>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项目名称： </w:t>
      </w:r>
    </w:p>
    <w:p w14:paraId="095517BF">
      <w:pPr>
        <w:snapToGrid w:val="0"/>
        <w:spacing w:before="120" w:beforeLines="50" w:after="50" w:line="5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7DA6E251">
      <w:pPr>
        <w:snapToGrid w:val="0"/>
        <w:spacing w:before="120" w:beforeLines="50" w:after="50" w:line="5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所投分标（如有）：</w:t>
      </w:r>
    </w:p>
    <w:p w14:paraId="63ECEFA0">
      <w:pPr>
        <w:snapToGrid w:val="0"/>
        <w:spacing w:before="120" w:beforeLines="50" w:after="50" w:line="5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7716CFA8">
      <w:pPr>
        <w:snapToGrid w:val="0"/>
        <w:spacing w:before="120" w:beforeLines="50" w:after="50" w:line="5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21D57543">
      <w:pPr>
        <w:snapToGrid w:val="0"/>
        <w:spacing w:before="120" w:beforeLines="50" w:after="50" w:line="500" w:lineRule="exact"/>
        <w:ind w:firstLine="645"/>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75BCF92F">
      <w:pPr>
        <w:snapToGrid w:val="0"/>
        <w:spacing w:before="120" w:beforeLines="50" w:after="50"/>
        <w:ind w:firstLine="645"/>
        <w:jc w:val="center"/>
        <w:rPr>
          <w:rFonts w:hint="eastAsia" w:ascii="宋体" w:hAnsi="宋体" w:cs="宋体"/>
          <w:color w:val="auto"/>
          <w:sz w:val="24"/>
          <w:szCs w:val="20"/>
          <w:highlight w:val="none"/>
        </w:rPr>
      </w:pPr>
    </w:p>
    <w:p w14:paraId="71EB90AD">
      <w:pPr>
        <w:snapToGrid w:val="0"/>
        <w:spacing w:before="120" w:beforeLines="50" w:after="50"/>
        <w:ind w:left="142"/>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32"/>
          <w:szCs w:val="32"/>
          <w:highlight w:val="none"/>
        </w:rPr>
        <w:t>9.技术文件目录</w:t>
      </w:r>
    </w:p>
    <w:p w14:paraId="2BD9CF5B">
      <w:pPr>
        <w:snapToGrid w:val="0"/>
        <w:spacing w:before="50" w:after="120" w:afterLines="50" w:line="280" w:lineRule="exact"/>
        <w:ind w:left="283" w:leftChars="135" w:firstLine="720" w:firstLineChars="300"/>
        <w:jc w:val="center"/>
        <w:rPr>
          <w:rFonts w:hint="eastAsia" w:ascii="宋体" w:hAnsi="宋体" w:cs="宋体"/>
          <w:color w:val="auto"/>
          <w:sz w:val="24"/>
          <w:highlight w:val="none"/>
        </w:rPr>
      </w:pPr>
    </w:p>
    <w:p w14:paraId="0DC9BAB8">
      <w:pPr>
        <w:snapToGrid w:val="0"/>
        <w:spacing w:before="50" w:after="120" w:afterLines="50" w:line="280" w:lineRule="exact"/>
        <w:ind w:left="283" w:leftChars="135" w:firstLine="840" w:firstLineChars="400"/>
        <w:jc w:val="center"/>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4D8C371B">
      <w:pPr>
        <w:snapToGrid w:val="0"/>
        <w:spacing w:before="120" w:beforeLines="50" w:after="50"/>
        <w:jc w:val="left"/>
        <w:rPr>
          <w:rFonts w:hint="eastAsia" w:ascii="宋体" w:hAnsi="宋体" w:cs="宋体"/>
          <w:b/>
          <w:color w:val="auto"/>
          <w:sz w:val="24"/>
          <w:highlight w:val="none"/>
        </w:rPr>
      </w:pPr>
    </w:p>
    <w:p w14:paraId="6245E900">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10.技术要求偏离表格式</w:t>
      </w:r>
    </w:p>
    <w:p w14:paraId="4BB51AA2">
      <w:pPr>
        <w:snapToGrid w:val="0"/>
        <w:spacing w:before="120" w:beforeLines="50" w:after="50"/>
        <w:ind w:left="142"/>
        <w:jc w:val="left"/>
        <w:rPr>
          <w:rFonts w:hint="eastAsia" w:ascii="宋体" w:hAnsi="宋体" w:cs="宋体"/>
          <w:b/>
          <w:color w:val="auto"/>
          <w:sz w:val="24"/>
          <w:highlight w:val="none"/>
        </w:rPr>
      </w:pPr>
    </w:p>
    <w:p w14:paraId="2FA419EF">
      <w:pPr>
        <w:snapToGrid w:val="0"/>
        <w:spacing w:before="120"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技术要求偏离表</w:t>
      </w:r>
    </w:p>
    <w:p w14:paraId="0C9E4237">
      <w:pPr>
        <w:pStyle w:val="24"/>
        <w:rPr>
          <w:rFonts w:hint="eastAsia"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47"/>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5109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52898927">
            <w:pPr>
              <w:pStyle w:val="24"/>
              <w:spacing w:line="400" w:lineRule="exact"/>
              <w:jc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项号</w:t>
            </w:r>
          </w:p>
        </w:tc>
        <w:tc>
          <w:tcPr>
            <w:tcW w:w="2143" w:type="dxa"/>
            <w:noWrap w:val="0"/>
            <w:vAlign w:val="center"/>
          </w:tcPr>
          <w:p w14:paraId="2F2C5D9F">
            <w:pPr>
              <w:pStyle w:val="24"/>
              <w:spacing w:line="400" w:lineRule="exact"/>
              <w:jc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标的名称</w:t>
            </w:r>
          </w:p>
        </w:tc>
        <w:tc>
          <w:tcPr>
            <w:tcW w:w="1834" w:type="dxa"/>
            <w:noWrap w:val="0"/>
            <w:vAlign w:val="center"/>
          </w:tcPr>
          <w:p w14:paraId="755A8DC5">
            <w:pPr>
              <w:pStyle w:val="24"/>
              <w:spacing w:line="400" w:lineRule="exact"/>
              <w:jc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服务内容及要求</w:t>
            </w:r>
          </w:p>
        </w:tc>
        <w:tc>
          <w:tcPr>
            <w:tcW w:w="2181" w:type="dxa"/>
            <w:noWrap w:val="0"/>
            <w:vAlign w:val="center"/>
          </w:tcPr>
          <w:p w14:paraId="6A36CA43">
            <w:pPr>
              <w:pStyle w:val="24"/>
              <w:spacing w:line="400" w:lineRule="exact"/>
              <w:jc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投标响应</w:t>
            </w:r>
          </w:p>
        </w:tc>
        <w:tc>
          <w:tcPr>
            <w:tcW w:w="1934" w:type="dxa"/>
            <w:noWrap w:val="0"/>
            <w:vAlign w:val="center"/>
          </w:tcPr>
          <w:p w14:paraId="2445E986">
            <w:pPr>
              <w:pStyle w:val="24"/>
              <w:spacing w:line="400" w:lineRule="exact"/>
              <w:jc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偏离说明</w:t>
            </w:r>
          </w:p>
        </w:tc>
      </w:tr>
      <w:tr w14:paraId="5B17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B0AC2F9">
            <w:pPr>
              <w:pStyle w:val="24"/>
              <w:spacing w:line="600" w:lineRule="exact"/>
              <w:jc w:val="center"/>
              <w:rPr>
                <w:rFonts w:hint="eastAsia" w:hAnsi="宋体" w:cs="宋体"/>
                <w:color w:val="auto"/>
                <w:kern w:val="2"/>
                <w:sz w:val="21"/>
                <w:highlight w:val="none"/>
                <w:lang w:val="en-US" w:eastAsia="zh-CN"/>
              </w:rPr>
            </w:pPr>
          </w:p>
        </w:tc>
        <w:tc>
          <w:tcPr>
            <w:tcW w:w="2143" w:type="dxa"/>
            <w:noWrap w:val="0"/>
            <w:vAlign w:val="center"/>
          </w:tcPr>
          <w:p w14:paraId="1BAB122A">
            <w:pPr>
              <w:pStyle w:val="24"/>
              <w:spacing w:line="600" w:lineRule="exact"/>
              <w:jc w:val="center"/>
              <w:rPr>
                <w:rFonts w:hint="eastAsia" w:hAnsi="宋体" w:cs="宋体"/>
                <w:color w:val="auto"/>
                <w:kern w:val="2"/>
                <w:sz w:val="21"/>
                <w:highlight w:val="none"/>
                <w:lang w:val="en-US" w:eastAsia="zh-CN"/>
              </w:rPr>
            </w:pPr>
          </w:p>
        </w:tc>
        <w:tc>
          <w:tcPr>
            <w:tcW w:w="1834" w:type="dxa"/>
            <w:noWrap w:val="0"/>
            <w:vAlign w:val="center"/>
          </w:tcPr>
          <w:p w14:paraId="67B2FAA6">
            <w:pPr>
              <w:pStyle w:val="24"/>
              <w:spacing w:line="600" w:lineRule="exact"/>
              <w:jc w:val="center"/>
              <w:rPr>
                <w:rFonts w:hint="eastAsia" w:hAnsi="宋体" w:cs="宋体"/>
                <w:color w:val="auto"/>
                <w:kern w:val="2"/>
                <w:sz w:val="21"/>
                <w:highlight w:val="none"/>
                <w:lang w:val="en-US" w:eastAsia="zh-CN"/>
              </w:rPr>
            </w:pPr>
          </w:p>
        </w:tc>
        <w:tc>
          <w:tcPr>
            <w:tcW w:w="2181" w:type="dxa"/>
            <w:noWrap w:val="0"/>
            <w:vAlign w:val="center"/>
          </w:tcPr>
          <w:p w14:paraId="0A47B726">
            <w:pPr>
              <w:pStyle w:val="24"/>
              <w:spacing w:line="600" w:lineRule="exact"/>
              <w:jc w:val="center"/>
              <w:rPr>
                <w:rFonts w:hint="eastAsia" w:hAnsi="宋体" w:cs="宋体"/>
                <w:color w:val="auto"/>
                <w:kern w:val="2"/>
                <w:sz w:val="21"/>
                <w:highlight w:val="none"/>
                <w:lang w:val="en-US" w:eastAsia="zh-CN"/>
              </w:rPr>
            </w:pPr>
          </w:p>
        </w:tc>
        <w:tc>
          <w:tcPr>
            <w:tcW w:w="1934" w:type="dxa"/>
            <w:noWrap w:val="0"/>
            <w:vAlign w:val="center"/>
          </w:tcPr>
          <w:p w14:paraId="30704E6D">
            <w:pPr>
              <w:pStyle w:val="24"/>
              <w:spacing w:line="600" w:lineRule="exact"/>
              <w:jc w:val="center"/>
              <w:rPr>
                <w:rFonts w:hint="eastAsia" w:hAnsi="宋体" w:cs="宋体"/>
                <w:color w:val="auto"/>
                <w:kern w:val="2"/>
                <w:sz w:val="21"/>
                <w:highlight w:val="none"/>
                <w:lang w:val="en-US" w:eastAsia="zh-CN"/>
              </w:rPr>
            </w:pPr>
          </w:p>
        </w:tc>
      </w:tr>
      <w:tr w14:paraId="27CB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DAC2BBD">
            <w:pPr>
              <w:pStyle w:val="24"/>
              <w:spacing w:line="600" w:lineRule="exact"/>
              <w:jc w:val="center"/>
              <w:rPr>
                <w:rFonts w:hint="default" w:hAnsi="宋体" w:cs="宋体"/>
                <w:color w:val="auto"/>
                <w:kern w:val="2"/>
                <w:sz w:val="21"/>
                <w:highlight w:val="none"/>
                <w:lang w:val="en-US" w:eastAsia="zh-CN"/>
              </w:rPr>
            </w:pPr>
            <w:r>
              <w:rPr>
                <w:rFonts w:hint="eastAsia" w:hAnsi="宋体" w:cs="宋体"/>
                <w:color w:val="auto"/>
                <w:kern w:val="2"/>
                <w:sz w:val="21"/>
                <w:highlight w:val="none"/>
                <w:lang w:val="en-US" w:eastAsia="zh-CN"/>
              </w:rPr>
              <w:t>...</w:t>
            </w:r>
          </w:p>
        </w:tc>
        <w:tc>
          <w:tcPr>
            <w:tcW w:w="2143" w:type="dxa"/>
            <w:noWrap w:val="0"/>
            <w:vAlign w:val="top"/>
          </w:tcPr>
          <w:p w14:paraId="69E67EE9">
            <w:pPr>
              <w:pStyle w:val="24"/>
              <w:spacing w:line="600" w:lineRule="exact"/>
              <w:rPr>
                <w:rFonts w:hint="eastAsia" w:hAnsi="宋体" w:cs="宋体"/>
                <w:color w:val="auto"/>
                <w:kern w:val="2"/>
                <w:sz w:val="21"/>
                <w:highlight w:val="none"/>
                <w:lang w:val="en-US" w:eastAsia="zh-CN"/>
              </w:rPr>
            </w:pPr>
          </w:p>
        </w:tc>
        <w:tc>
          <w:tcPr>
            <w:tcW w:w="1834" w:type="dxa"/>
            <w:noWrap w:val="0"/>
            <w:vAlign w:val="top"/>
          </w:tcPr>
          <w:p w14:paraId="12C2B7BA">
            <w:pPr>
              <w:pStyle w:val="24"/>
              <w:spacing w:line="600" w:lineRule="exact"/>
              <w:rPr>
                <w:rFonts w:hint="eastAsia" w:hAnsi="宋体" w:cs="宋体"/>
                <w:color w:val="auto"/>
                <w:kern w:val="2"/>
                <w:sz w:val="21"/>
                <w:highlight w:val="none"/>
                <w:lang w:val="en-US" w:eastAsia="zh-CN"/>
              </w:rPr>
            </w:pPr>
          </w:p>
        </w:tc>
        <w:tc>
          <w:tcPr>
            <w:tcW w:w="2181" w:type="dxa"/>
            <w:noWrap w:val="0"/>
            <w:vAlign w:val="top"/>
          </w:tcPr>
          <w:p w14:paraId="14D5F781">
            <w:pPr>
              <w:pStyle w:val="24"/>
              <w:spacing w:line="600" w:lineRule="exact"/>
              <w:rPr>
                <w:rFonts w:hint="eastAsia" w:hAnsi="宋体" w:cs="宋体"/>
                <w:color w:val="auto"/>
                <w:kern w:val="2"/>
                <w:sz w:val="21"/>
                <w:highlight w:val="none"/>
                <w:lang w:val="en-US" w:eastAsia="zh-CN"/>
              </w:rPr>
            </w:pPr>
          </w:p>
        </w:tc>
        <w:tc>
          <w:tcPr>
            <w:tcW w:w="1934" w:type="dxa"/>
            <w:noWrap w:val="0"/>
            <w:vAlign w:val="top"/>
          </w:tcPr>
          <w:p w14:paraId="1FA6A9F1">
            <w:pPr>
              <w:pStyle w:val="24"/>
              <w:spacing w:line="600" w:lineRule="exact"/>
              <w:rPr>
                <w:rFonts w:hint="eastAsia" w:hAnsi="宋体" w:cs="宋体"/>
                <w:color w:val="auto"/>
                <w:kern w:val="2"/>
                <w:sz w:val="21"/>
                <w:highlight w:val="none"/>
                <w:lang w:val="en-US" w:eastAsia="zh-CN"/>
              </w:rPr>
            </w:pPr>
          </w:p>
        </w:tc>
      </w:tr>
    </w:tbl>
    <w:p w14:paraId="73BBA94E">
      <w:pPr>
        <w:pStyle w:val="18"/>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1DFC12B9">
      <w:pPr>
        <w:pStyle w:val="19"/>
        <w:spacing w:line="500" w:lineRule="exact"/>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1.说明：应对照招标文件“第二章 采购需求”中的技术要求逐条作明确的投标响应，并作出偏离说明。</w:t>
      </w:r>
    </w:p>
    <w:p w14:paraId="4C48168A">
      <w:pPr>
        <w:pStyle w:val="18"/>
        <w:contextualSpacing/>
        <w:rPr>
          <w:rFonts w:hint="eastAsia" w:ascii="宋体" w:hAnsi="宋体" w:cs="宋体"/>
          <w:color w:val="auto"/>
          <w:sz w:val="21"/>
          <w:szCs w:val="21"/>
          <w:highlight w:val="none"/>
        </w:rPr>
      </w:pPr>
      <w:r>
        <w:rPr>
          <w:rFonts w:hint="eastAsia" w:ascii="宋体" w:hAnsi="宋体" w:cs="宋体"/>
          <w:b w:val="0"/>
          <w:bCs w:val="0"/>
          <w:color w:val="auto"/>
          <w:sz w:val="21"/>
          <w:szCs w:val="21"/>
          <w:highlight w:val="none"/>
        </w:rPr>
        <w:t>2.投标人应根据自身的承诺，对照招标文件要求，在“偏离说明”中注明“</w:t>
      </w:r>
      <w:r>
        <w:rPr>
          <w:rFonts w:hint="eastAsia" w:ascii="宋体" w:hAnsi="宋体" w:cs="宋体"/>
          <w:color w:val="auto"/>
          <w:sz w:val="21"/>
          <w:szCs w:val="21"/>
          <w:highlight w:val="none"/>
        </w:rPr>
        <w:t>正偏离”“负偏离</w:t>
      </w:r>
      <w:r>
        <w:rPr>
          <w:rFonts w:hint="eastAsia" w:ascii="宋体" w:hAnsi="宋体" w:cs="宋体"/>
          <w:b w:val="0"/>
          <w:bCs w:val="0"/>
          <w:color w:val="auto"/>
          <w:sz w:val="21"/>
          <w:szCs w:val="21"/>
          <w:highlight w:val="none"/>
        </w:rPr>
        <w:t>”或者“</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”。既不属于“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”也不属于“</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”即为“</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w:t>
      </w:r>
    </w:p>
    <w:p w14:paraId="7973859D">
      <w:pPr>
        <w:pStyle w:val="18"/>
        <w:spacing w:line="360" w:lineRule="auto"/>
        <w:contextualSpacing/>
        <w:rPr>
          <w:rFonts w:hint="eastAsia" w:ascii="宋体" w:hAnsi="宋体" w:cs="宋体"/>
          <w:color w:val="auto"/>
          <w:spacing w:val="20"/>
          <w:sz w:val="21"/>
          <w:szCs w:val="21"/>
          <w:highlight w:val="none"/>
        </w:rPr>
      </w:pPr>
    </w:p>
    <w:p w14:paraId="2BAFBE25">
      <w:pPr>
        <w:snapToGrid w:val="0"/>
        <w:spacing w:before="50" w:after="50" w:line="500" w:lineRule="exact"/>
        <w:ind w:firstLine="3360" w:firstLineChars="1600"/>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p>
    <w:p w14:paraId="27A9A491">
      <w:pPr>
        <w:snapToGrid w:val="0"/>
        <w:spacing w:before="120" w:beforeLines="50" w:line="500" w:lineRule="exact"/>
        <w:ind w:firstLine="3357" w:firstLineChars="1343"/>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p>
    <w:p w14:paraId="5CF99F90">
      <w:pPr>
        <w:snapToGrid w:val="0"/>
        <w:spacing w:before="120" w:beforeLines="50" w:line="50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4176021C">
      <w:pPr>
        <w:spacing w:line="360" w:lineRule="auto"/>
        <w:contextualSpacing/>
        <w:rPr>
          <w:rFonts w:hint="eastAsia" w:ascii="宋体" w:hAnsi="宋体" w:cs="宋体"/>
          <w:color w:val="auto"/>
          <w:spacing w:val="20"/>
          <w:szCs w:val="21"/>
          <w:highlight w:val="none"/>
          <w:u w:val="single"/>
        </w:rPr>
      </w:pPr>
    </w:p>
    <w:p w14:paraId="58F1D77D">
      <w:pPr>
        <w:spacing w:line="360" w:lineRule="auto"/>
        <w:contextualSpacing/>
        <w:rPr>
          <w:rFonts w:hint="eastAsia" w:ascii="宋体" w:hAnsi="宋体" w:cs="宋体"/>
          <w:color w:val="auto"/>
          <w:sz w:val="24"/>
          <w:szCs w:val="20"/>
          <w:highlight w:val="none"/>
        </w:rPr>
      </w:pPr>
    </w:p>
    <w:p w14:paraId="36B3B8D1">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11.项目实施人员一览表格式</w:t>
      </w:r>
    </w:p>
    <w:p w14:paraId="7D702DD8">
      <w:pPr>
        <w:snapToGrid w:val="0"/>
        <w:spacing w:before="120" w:beforeLines="50" w:after="50"/>
        <w:ind w:left="142"/>
        <w:jc w:val="left"/>
        <w:rPr>
          <w:rFonts w:hint="eastAsia" w:ascii="宋体" w:hAnsi="宋体" w:cs="宋体"/>
          <w:b/>
          <w:color w:val="auto"/>
          <w:sz w:val="24"/>
          <w:highlight w:val="none"/>
        </w:rPr>
      </w:pPr>
    </w:p>
    <w:p w14:paraId="0CCE9DA4">
      <w:pPr>
        <w:snapToGrid w:val="0"/>
        <w:spacing w:before="120"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6C7EB6FC">
      <w:pPr>
        <w:pStyle w:val="24"/>
        <w:spacing w:line="500" w:lineRule="exact"/>
        <w:rPr>
          <w:rFonts w:hint="eastAsia"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767"/>
        <w:gridCol w:w="1840"/>
        <w:gridCol w:w="1536"/>
        <w:gridCol w:w="1837"/>
        <w:gridCol w:w="1994"/>
      </w:tblGrid>
      <w:tr w14:paraId="56B8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884" w:type="dxa"/>
            <w:noWrap w:val="0"/>
            <w:vAlign w:val="center"/>
          </w:tcPr>
          <w:p w14:paraId="059BB431">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67" w:type="dxa"/>
            <w:noWrap w:val="0"/>
            <w:vAlign w:val="center"/>
          </w:tcPr>
          <w:p w14:paraId="3B18077D">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40" w:type="dxa"/>
            <w:noWrap w:val="0"/>
            <w:vAlign w:val="center"/>
          </w:tcPr>
          <w:p w14:paraId="2091DF96">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36" w:type="dxa"/>
            <w:noWrap w:val="0"/>
            <w:vAlign w:val="center"/>
          </w:tcPr>
          <w:p w14:paraId="4649437D">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37" w:type="dxa"/>
            <w:noWrap w:val="0"/>
            <w:vAlign w:val="center"/>
          </w:tcPr>
          <w:p w14:paraId="31F5BEF2">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6E80ED31">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1994" w:type="dxa"/>
            <w:noWrap w:val="0"/>
            <w:vAlign w:val="center"/>
          </w:tcPr>
          <w:p w14:paraId="2196E303">
            <w:pPr>
              <w:snapToGrid w:val="0"/>
              <w:spacing w:before="50" w:after="120" w:afterLines="5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0DDB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84" w:type="dxa"/>
            <w:noWrap w:val="0"/>
            <w:vAlign w:val="center"/>
          </w:tcPr>
          <w:p w14:paraId="249B0CDA">
            <w:pPr>
              <w:snapToGrid w:val="0"/>
              <w:spacing w:before="50" w:after="120" w:afterLines="50" w:line="500" w:lineRule="exact"/>
              <w:jc w:val="center"/>
              <w:rPr>
                <w:rFonts w:hint="eastAsia" w:ascii="宋体" w:hAnsi="宋体" w:cs="宋体"/>
                <w:color w:val="auto"/>
                <w:szCs w:val="21"/>
                <w:highlight w:val="none"/>
              </w:rPr>
            </w:pPr>
          </w:p>
        </w:tc>
        <w:tc>
          <w:tcPr>
            <w:tcW w:w="767" w:type="dxa"/>
            <w:noWrap w:val="0"/>
            <w:vAlign w:val="center"/>
          </w:tcPr>
          <w:p w14:paraId="7D152641">
            <w:pPr>
              <w:snapToGrid w:val="0"/>
              <w:spacing w:before="50" w:after="120" w:afterLines="50" w:line="500" w:lineRule="exact"/>
              <w:jc w:val="center"/>
              <w:rPr>
                <w:rFonts w:hint="eastAsia" w:ascii="宋体" w:hAnsi="宋体" w:cs="宋体"/>
                <w:color w:val="auto"/>
                <w:szCs w:val="21"/>
                <w:highlight w:val="none"/>
              </w:rPr>
            </w:pPr>
          </w:p>
        </w:tc>
        <w:tc>
          <w:tcPr>
            <w:tcW w:w="1840" w:type="dxa"/>
            <w:noWrap w:val="0"/>
            <w:vAlign w:val="center"/>
          </w:tcPr>
          <w:p w14:paraId="705713A4">
            <w:pPr>
              <w:snapToGrid w:val="0"/>
              <w:spacing w:before="50" w:after="120" w:afterLines="50" w:line="500" w:lineRule="exact"/>
              <w:jc w:val="center"/>
              <w:rPr>
                <w:rFonts w:hint="eastAsia" w:ascii="宋体" w:hAnsi="宋体" w:cs="宋体"/>
                <w:color w:val="auto"/>
                <w:szCs w:val="21"/>
                <w:highlight w:val="none"/>
              </w:rPr>
            </w:pPr>
          </w:p>
        </w:tc>
        <w:tc>
          <w:tcPr>
            <w:tcW w:w="1536" w:type="dxa"/>
            <w:noWrap w:val="0"/>
            <w:vAlign w:val="center"/>
          </w:tcPr>
          <w:p w14:paraId="4950F669">
            <w:pPr>
              <w:snapToGrid w:val="0"/>
              <w:spacing w:before="50" w:after="120" w:afterLines="50" w:line="500" w:lineRule="exact"/>
              <w:jc w:val="center"/>
              <w:rPr>
                <w:rFonts w:hint="eastAsia" w:ascii="宋体" w:hAnsi="宋体" w:cs="宋体"/>
                <w:color w:val="auto"/>
                <w:szCs w:val="21"/>
                <w:highlight w:val="none"/>
              </w:rPr>
            </w:pPr>
          </w:p>
        </w:tc>
        <w:tc>
          <w:tcPr>
            <w:tcW w:w="1837" w:type="dxa"/>
            <w:noWrap w:val="0"/>
            <w:vAlign w:val="center"/>
          </w:tcPr>
          <w:p w14:paraId="27968D6D">
            <w:pPr>
              <w:snapToGrid w:val="0"/>
              <w:spacing w:before="50" w:after="120" w:afterLines="50" w:line="500" w:lineRule="exact"/>
              <w:jc w:val="center"/>
              <w:rPr>
                <w:rFonts w:hint="eastAsia" w:ascii="宋体" w:hAnsi="宋体" w:cs="宋体"/>
                <w:color w:val="auto"/>
                <w:szCs w:val="21"/>
                <w:highlight w:val="none"/>
              </w:rPr>
            </w:pPr>
          </w:p>
        </w:tc>
        <w:tc>
          <w:tcPr>
            <w:tcW w:w="1994" w:type="dxa"/>
            <w:noWrap w:val="0"/>
            <w:vAlign w:val="center"/>
          </w:tcPr>
          <w:p w14:paraId="2E7E43D7">
            <w:pPr>
              <w:snapToGrid w:val="0"/>
              <w:spacing w:before="50" w:after="120" w:afterLines="50" w:line="500" w:lineRule="exact"/>
              <w:jc w:val="center"/>
              <w:rPr>
                <w:rFonts w:hint="eastAsia" w:ascii="宋体" w:hAnsi="宋体" w:cs="宋体"/>
                <w:color w:val="auto"/>
                <w:szCs w:val="21"/>
                <w:highlight w:val="none"/>
              </w:rPr>
            </w:pPr>
          </w:p>
        </w:tc>
      </w:tr>
      <w:tr w14:paraId="6E40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84" w:type="dxa"/>
            <w:noWrap w:val="0"/>
            <w:vAlign w:val="center"/>
          </w:tcPr>
          <w:p w14:paraId="720C400A">
            <w:pPr>
              <w:snapToGrid w:val="0"/>
              <w:spacing w:before="50" w:after="120" w:afterLines="50" w:line="500" w:lineRule="exact"/>
              <w:jc w:val="center"/>
              <w:rPr>
                <w:rFonts w:hint="eastAsia" w:ascii="宋体" w:hAnsi="宋体" w:cs="宋体"/>
                <w:color w:val="auto"/>
                <w:szCs w:val="21"/>
                <w:highlight w:val="none"/>
              </w:rPr>
            </w:pPr>
          </w:p>
        </w:tc>
        <w:tc>
          <w:tcPr>
            <w:tcW w:w="767" w:type="dxa"/>
            <w:noWrap w:val="0"/>
            <w:vAlign w:val="center"/>
          </w:tcPr>
          <w:p w14:paraId="6766CC9D">
            <w:pPr>
              <w:snapToGrid w:val="0"/>
              <w:spacing w:before="50" w:after="120" w:afterLines="50" w:line="500" w:lineRule="exact"/>
              <w:jc w:val="center"/>
              <w:rPr>
                <w:rFonts w:hint="eastAsia" w:ascii="宋体" w:hAnsi="宋体" w:cs="宋体"/>
                <w:color w:val="auto"/>
                <w:szCs w:val="21"/>
                <w:highlight w:val="none"/>
              </w:rPr>
            </w:pPr>
          </w:p>
        </w:tc>
        <w:tc>
          <w:tcPr>
            <w:tcW w:w="1840" w:type="dxa"/>
            <w:noWrap w:val="0"/>
            <w:vAlign w:val="center"/>
          </w:tcPr>
          <w:p w14:paraId="403F1C8C">
            <w:pPr>
              <w:snapToGrid w:val="0"/>
              <w:spacing w:before="50" w:after="120" w:afterLines="50" w:line="500" w:lineRule="exact"/>
              <w:jc w:val="center"/>
              <w:rPr>
                <w:rFonts w:hint="eastAsia" w:ascii="宋体" w:hAnsi="宋体" w:cs="宋体"/>
                <w:color w:val="auto"/>
                <w:szCs w:val="21"/>
                <w:highlight w:val="none"/>
              </w:rPr>
            </w:pPr>
          </w:p>
        </w:tc>
        <w:tc>
          <w:tcPr>
            <w:tcW w:w="1536" w:type="dxa"/>
            <w:noWrap w:val="0"/>
            <w:vAlign w:val="center"/>
          </w:tcPr>
          <w:p w14:paraId="68066BDF">
            <w:pPr>
              <w:snapToGrid w:val="0"/>
              <w:spacing w:before="50" w:after="120" w:afterLines="50" w:line="500" w:lineRule="exact"/>
              <w:jc w:val="center"/>
              <w:rPr>
                <w:rFonts w:hint="eastAsia" w:ascii="宋体" w:hAnsi="宋体" w:cs="宋体"/>
                <w:color w:val="auto"/>
                <w:szCs w:val="21"/>
                <w:highlight w:val="none"/>
              </w:rPr>
            </w:pPr>
          </w:p>
        </w:tc>
        <w:tc>
          <w:tcPr>
            <w:tcW w:w="1837" w:type="dxa"/>
            <w:noWrap w:val="0"/>
            <w:vAlign w:val="center"/>
          </w:tcPr>
          <w:p w14:paraId="6AA482AC">
            <w:pPr>
              <w:snapToGrid w:val="0"/>
              <w:spacing w:before="50" w:after="120" w:afterLines="50" w:line="500" w:lineRule="exact"/>
              <w:jc w:val="center"/>
              <w:rPr>
                <w:rFonts w:hint="eastAsia" w:ascii="宋体" w:hAnsi="宋体" w:cs="宋体"/>
                <w:color w:val="auto"/>
                <w:szCs w:val="21"/>
                <w:highlight w:val="none"/>
              </w:rPr>
            </w:pPr>
          </w:p>
        </w:tc>
        <w:tc>
          <w:tcPr>
            <w:tcW w:w="1994" w:type="dxa"/>
            <w:noWrap w:val="0"/>
            <w:vAlign w:val="center"/>
          </w:tcPr>
          <w:p w14:paraId="01113126">
            <w:pPr>
              <w:snapToGrid w:val="0"/>
              <w:spacing w:before="50" w:after="120" w:afterLines="50" w:line="500" w:lineRule="exact"/>
              <w:jc w:val="center"/>
              <w:rPr>
                <w:rFonts w:hint="eastAsia" w:ascii="宋体" w:hAnsi="宋体" w:cs="宋体"/>
                <w:color w:val="auto"/>
                <w:szCs w:val="21"/>
                <w:highlight w:val="none"/>
              </w:rPr>
            </w:pPr>
          </w:p>
        </w:tc>
      </w:tr>
      <w:tr w14:paraId="3ADD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884" w:type="dxa"/>
            <w:noWrap w:val="0"/>
            <w:vAlign w:val="center"/>
          </w:tcPr>
          <w:p w14:paraId="0591E3DE">
            <w:pPr>
              <w:snapToGrid w:val="0"/>
              <w:spacing w:before="50" w:after="120" w:afterLines="50" w:line="500" w:lineRule="exact"/>
              <w:jc w:val="center"/>
              <w:rPr>
                <w:rFonts w:hint="eastAsia" w:ascii="宋体" w:hAnsi="宋体" w:cs="宋体"/>
                <w:color w:val="auto"/>
                <w:szCs w:val="21"/>
                <w:highlight w:val="none"/>
              </w:rPr>
            </w:pPr>
          </w:p>
        </w:tc>
        <w:tc>
          <w:tcPr>
            <w:tcW w:w="767" w:type="dxa"/>
            <w:noWrap w:val="0"/>
            <w:vAlign w:val="center"/>
          </w:tcPr>
          <w:p w14:paraId="5810C6CD">
            <w:pPr>
              <w:snapToGrid w:val="0"/>
              <w:spacing w:before="50" w:after="120" w:afterLines="50" w:line="500" w:lineRule="exact"/>
              <w:jc w:val="center"/>
              <w:rPr>
                <w:rFonts w:hint="eastAsia" w:ascii="宋体" w:hAnsi="宋体" w:cs="宋体"/>
                <w:color w:val="auto"/>
                <w:szCs w:val="21"/>
                <w:highlight w:val="none"/>
              </w:rPr>
            </w:pPr>
          </w:p>
        </w:tc>
        <w:tc>
          <w:tcPr>
            <w:tcW w:w="1840" w:type="dxa"/>
            <w:noWrap w:val="0"/>
            <w:vAlign w:val="center"/>
          </w:tcPr>
          <w:p w14:paraId="4CCBB468">
            <w:pPr>
              <w:snapToGrid w:val="0"/>
              <w:spacing w:before="50" w:after="120" w:afterLines="50" w:line="500" w:lineRule="exact"/>
              <w:jc w:val="center"/>
              <w:rPr>
                <w:rFonts w:hint="eastAsia" w:ascii="宋体" w:hAnsi="宋体" w:cs="宋体"/>
                <w:color w:val="auto"/>
                <w:szCs w:val="21"/>
                <w:highlight w:val="none"/>
              </w:rPr>
            </w:pPr>
          </w:p>
        </w:tc>
        <w:tc>
          <w:tcPr>
            <w:tcW w:w="1536" w:type="dxa"/>
            <w:noWrap w:val="0"/>
            <w:vAlign w:val="center"/>
          </w:tcPr>
          <w:p w14:paraId="1E217059">
            <w:pPr>
              <w:snapToGrid w:val="0"/>
              <w:spacing w:before="50" w:after="120" w:afterLines="50" w:line="500" w:lineRule="exact"/>
              <w:jc w:val="center"/>
              <w:rPr>
                <w:rFonts w:hint="eastAsia" w:ascii="宋体" w:hAnsi="宋体" w:cs="宋体"/>
                <w:color w:val="auto"/>
                <w:szCs w:val="21"/>
                <w:highlight w:val="none"/>
              </w:rPr>
            </w:pPr>
          </w:p>
        </w:tc>
        <w:tc>
          <w:tcPr>
            <w:tcW w:w="1837" w:type="dxa"/>
            <w:noWrap w:val="0"/>
            <w:vAlign w:val="center"/>
          </w:tcPr>
          <w:p w14:paraId="281D0906">
            <w:pPr>
              <w:snapToGrid w:val="0"/>
              <w:spacing w:before="50" w:after="120" w:afterLines="50" w:line="500" w:lineRule="exact"/>
              <w:jc w:val="center"/>
              <w:rPr>
                <w:rFonts w:hint="eastAsia" w:ascii="宋体" w:hAnsi="宋体" w:cs="宋体"/>
                <w:color w:val="auto"/>
                <w:szCs w:val="21"/>
                <w:highlight w:val="none"/>
              </w:rPr>
            </w:pPr>
          </w:p>
        </w:tc>
        <w:tc>
          <w:tcPr>
            <w:tcW w:w="1994" w:type="dxa"/>
            <w:noWrap w:val="0"/>
            <w:vAlign w:val="center"/>
          </w:tcPr>
          <w:p w14:paraId="23E284F4">
            <w:pPr>
              <w:snapToGrid w:val="0"/>
              <w:spacing w:before="50" w:after="120" w:afterLines="50" w:line="500" w:lineRule="exact"/>
              <w:jc w:val="center"/>
              <w:rPr>
                <w:rFonts w:hint="eastAsia" w:ascii="宋体" w:hAnsi="宋体" w:cs="宋体"/>
                <w:color w:val="auto"/>
                <w:szCs w:val="21"/>
                <w:highlight w:val="none"/>
              </w:rPr>
            </w:pPr>
          </w:p>
        </w:tc>
      </w:tr>
    </w:tbl>
    <w:p w14:paraId="24DEF863">
      <w:pPr>
        <w:spacing w:line="50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47BA9">
      <w:pPr>
        <w:spacing w:line="50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727C89EC">
      <w:pPr>
        <w:spacing w:line="50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2.投标人应当附本表所列证书的扫描件并加盖投标人电子签章。</w:t>
      </w:r>
    </w:p>
    <w:p w14:paraId="21D4D8B4">
      <w:pPr>
        <w:snapToGrid w:val="0"/>
        <w:spacing w:before="50" w:after="50" w:line="500" w:lineRule="exact"/>
        <w:ind w:firstLine="3360" w:firstLineChars="1600"/>
        <w:rPr>
          <w:rFonts w:hint="eastAsia" w:ascii="宋体" w:hAnsi="宋体" w:cs="宋体"/>
          <w:color w:val="auto"/>
          <w:szCs w:val="21"/>
          <w:highlight w:val="none"/>
        </w:rPr>
      </w:pPr>
      <w:bookmarkStart w:id="249" w:name="_Toc19686836"/>
    </w:p>
    <w:p w14:paraId="4111B24A">
      <w:pPr>
        <w:snapToGrid w:val="0"/>
        <w:spacing w:before="50" w:after="50" w:line="500" w:lineRule="exact"/>
        <w:ind w:firstLine="3360" w:firstLineChars="1600"/>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p>
    <w:p w14:paraId="35B57BC8">
      <w:pPr>
        <w:snapToGrid w:val="0"/>
        <w:spacing w:before="120" w:beforeLines="50" w:line="500" w:lineRule="exact"/>
        <w:ind w:firstLine="3357" w:firstLineChars="1343"/>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p>
    <w:p w14:paraId="0FFDD62D">
      <w:pPr>
        <w:snapToGrid w:val="0"/>
        <w:spacing w:before="120" w:beforeLines="50" w:line="50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3E47E676">
      <w:pPr>
        <w:spacing w:line="500" w:lineRule="exact"/>
        <w:rPr>
          <w:rFonts w:hint="eastAsia" w:ascii="宋体" w:hAnsi="宋体" w:cs="宋体"/>
          <w:b/>
          <w:color w:val="auto"/>
          <w:sz w:val="32"/>
          <w:szCs w:val="32"/>
          <w:highlight w:val="none"/>
        </w:rPr>
      </w:pPr>
      <w:r>
        <w:rPr>
          <w:rFonts w:hint="eastAsia" w:ascii="宋体" w:hAnsi="宋体" w:cs="宋体"/>
          <w:b/>
          <w:color w:val="auto"/>
          <w:szCs w:val="21"/>
          <w:highlight w:val="none"/>
        </w:rPr>
        <w:br w:type="page"/>
      </w:r>
      <w:r>
        <w:rPr>
          <w:rFonts w:hint="eastAsia" w:ascii="宋体" w:hAnsi="宋体" w:cs="宋体"/>
          <w:b/>
          <w:color w:val="auto"/>
          <w:sz w:val="32"/>
          <w:szCs w:val="32"/>
          <w:highlight w:val="none"/>
        </w:rPr>
        <w:t>三、报价文件格式</w:t>
      </w:r>
      <w:bookmarkEnd w:id="249"/>
    </w:p>
    <w:p w14:paraId="0A3BD0D0">
      <w:pPr>
        <w:snapToGrid w:val="0"/>
        <w:spacing w:before="120" w:beforeLines="50" w:after="50" w:line="360" w:lineRule="auto"/>
        <w:ind w:left="142"/>
        <w:jc w:val="left"/>
        <w:rPr>
          <w:rFonts w:hint="eastAsia" w:ascii="宋体" w:hAnsi="宋体" w:cs="宋体"/>
          <w:color w:val="auto"/>
          <w:sz w:val="32"/>
          <w:szCs w:val="32"/>
          <w:highlight w:val="none"/>
        </w:rPr>
      </w:pPr>
      <w:r>
        <w:rPr>
          <w:rFonts w:hint="eastAsia" w:ascii="宋体" w:hAnsi="宋体" w:cs="宋体"/>
          <w:b/>
          <w:color w:val="auto"/>
          <w:sz w:val="32"/>
          <w:szCs w:val="32"/>
          <w:highlight w:val="none"/>
        </w:rPr>
        <w:t xml:space="preserve">1.报价文件封面格式： </w:t>
      </w:r>
    </w:p>
    <w:p w14:paraId="62AE94C7">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FFD88E9">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25F18C7">
      <w:pPr>
        <w:snapToGrid w:val="0"/>
        <w:spacing w:before="120" w:beforeLines="50" w:after="50" w:line="400" w:lineRule="exact"/>
        <w:jc w:val="center"/>
        <w:rPr>
          <w:rFonts w:hint="eastAsia" w:ascii="宋体" w:hAnsi="宋体" w:cs="宋体"/>
          <w:bCs/>
          <w:color w:val="auto"/>
          <w:sz w:val="24"/>
          <w:szCs w:val="20"/>
          <w:highlight w:val="none"/>
        </w:rPr>
      </w:pPr>
    </w:p>
    <w:p w14:paraId="0C52932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outlineLvl w:val="9"/>
        <w:rPr>
          <w:rFonts w:hint="eastAsia" w:ascii="宋体" w:hAnsi="宋体" w:cs="宋体"/>
          <w:b/>
          <w:bCs/>
          <w:color w:val="auto"/>
          <w:sz w:val="32"/>
          <w:szCs w:val="32"/>
          <w:highlight w:val="none"/>
        </w:rPr>
      </w:pPr>
      <w:bookmarkStart w:id="250" w:name="_Toc2956"/>
      <w:bookmarkStart w:id="251" w:name="_Toc29722"/>
      <w:bookmarkStart w:id="252" w:name="_Toc3271"/>
      <w:bookmarkStart w:id="253" w:name="_Toc510"/>
      <w:bookmarkStart w:id="254" w:name="_Toc32292"/>
      <w:bookmarkStart w:id="255" w:name="_Toc18841"/>
      <w:bookmarkStart w:id="256" w:name="_Toc21225"/>
      <w:bookmarkStart w:id="257" w:name="_Toc30012"/>
      <w:bookmarkStart w:id="258" w:name="_Toc20928"/>
      <w:r>
        <w:rPr>
          <w:rFonts w:hint="eastAsia" w:ascii="宋体" w:hAnsi="宋体" w:cs="宋体"/>
          <w:b/>
          <w:bCs/>
          <w:color w:val="auto"/>
          <w:sz w:val="32"/>
          <w:szCs w:val="32"/>
          <w:highlight w:val="none"/>
        </w:rPr>
        <w:t>报价文件</w:t>
      </w:r>
      <w:bookmarkEnd w:id="250"/>
      <w:bookmarkEnd w:id="251"/>
      <w:bookmarkEnd w:id="252"/>
      <w:bookmarkEnd w:id="253"/>
      <w:bookmarkEnd w:id="254"/>
      <w:bookmarkEnd w:id="255"/>
      <w:bookmarkEnd w:id="256"/>
      <w:bookmarkEnd w:id="257"/>
      <w:bookmarkEnd w:id="258"/>
    </w:p>
    <w:p w14:paraId="51A01309">
      <w:pPr>
        <w:snapToGrid w:val="0"/>
        <w:spacing w:before="120" w:beforeLines="50" w:after="50" w:line="400" w:lineRule="exact"/>
        <w:rPr>
          <w:rFonts w:hint="eastAsia" w:ascii="宋体" w:hAnsi="宋体" w:cs="宋体"/>
          <w:bCs/>
          <w:color w:val="auto"/>
          <w:sz w:val="24"/>
          <w:szCs w:val="20"/>
          <w:highlight w:val="none"/>
        </w:rPr>
      </w:pPr>
    </w:p>
    <w:p w14:paraId="21CB870D">
      <w:pPr>
        <w:snapToGrid w:val="0"/>
        <w:spacing w:before="120" w:beforeLines="50" w:after="50" w:line="400" w:lineRule="exact"/>
        <w:rPr>
          <w:rFonts w:hint="eastAsia" w:ascii="宋体" w:hAnsi="宋体" w:cs="宋体"/>
          <w:bCs/>
          <w:color w:val="auto"/>
          <w:sz w:val="24"/>
          <w:szCs w:val="20"/>
          <w:highlight w:val="none"/>
        </w:rPr>
      </w:pPr>
    </w:p>
    <w:p w14:paraId="2A609DDA">
      <w:pPr>
        <w:snapToGrid w:val="0"/>
        <w:spacing w:before="120" w:beforeLines="50" w:after="50" w:line="400" w:lineRule="exact"/>
        <w:rPr>
          <w:rFonts w:hint="eastAsia" w:ascii="宋体" w:hAnsi="宋体" w:cs="宋体"/>
          <w:bCs/>
          <w:color w:val="auto"/>
          <w:sz w:val="24"/>
          <w:szCs w:val="20"/>
          <w:highlight w:val="none"/>
        </w:rPr>
      </w:pPr>
    </w:p>
    <w:p w14:paraId="126E6221">
      <w:pPr>
        <w:snapToGrid w:val="0"/>
        <w:spacing w:before="120" w:beforeLines="50" w:after="50" w:line="400" w:lineRule="exact"/>
        <w:rPr>
          <w:rFonts w:hint="eastAsia" w:ascii="宋体" w:hAnsi="宋体" w:cs="宋体"/>
          <w:bCs/>
          <w:color w:val="auto"/>
          <w:sz w:val="24"/>
          <w:szCs w:val="20"/>
          <w:highlight w:val="none"/>
        </w:rPr>
      </w:pPr>
    </w:p>
    <w:p w14:paraId="24E0E0E6">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23F092B">
      <w:pPr>
        <w:snapToGrid w:val="0"/>
        <w:spacing w:before="120" w:beforeLines="50" w:after="50" w:line="400" w:lineRule="exact"/>
        <w:ind w:firstLine="360" w:firstLineChars="150"/>
        <w:rPr>
          <w:rFonts w:hint="eastAsia" w:ascii="宋体" w:hAnsi="宋体" w:cs="宋体"/>
          <w:bCs/>
          <w:color w:val="auto"/>
          <w:sz w:val="24"/>
          <w:highlight w:val="none"/>
        </w:rPr>
      </w:pPr>
    </w:p>
    <w:p w14:paraId="18C94BA3">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6A4E13A1">
      <w:pPr>
        <w:snapToGrid w:val="0"/>
        <w:spacing w:before="120" w:beforeLines="50" w:after="50" w:line="400" w:lineRule="exact"/>
        <w:ind w:firstLine="360" w:firstLineChars="150"/>
        <w:rPr>
          <w:rFonts w:hint="eastAsia" w:ascii="宋体" w:hAnsi="宋体" w:cs="宋体"/>
          <w:bCs/>
          <w:color w:val="auto"/>
          <w:sz w:val="24"/>
          <w:highlight w:val="none"/>
        </w:rPr>
      </w:pPr>
    </w:p>
    <w:p w14:paraId="497C7B65">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所投分标（如有）：</w:t>
      </w:r>
    </w:p>
    <w:p w14:paraId="7F93EB2B">
      <w:pPr>
        <w:snapToGrid w:val="0"/>
        <w:spacing w:before="120" w:beforeLines="50" w:after="50" w:line="400" w:lineRule="exact"/>
        <w:ind w:firstLine="360" w:firstLineChars="150"/>
        <w:rPr>
          <w:rFonts w:hint="eastAsia" w:ascii="宋体" w:hAnsi="宋体" w:cs="宋体"/>
          <w:bCs/>
          <w:color w:val="auto"/>
          <w:sz w:val="24"/>
          <w:highlight w:val="none"/>
        </w:rPr>
      </w:pPr>
    </w:p>
    <w:p w14:paraId="4280F1F4">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492F9D08">
      <w:pPr>
        <w:snapToGrid w:val="0"/>
        <w:spacing w:before="120" w:beforeLines="50" w:after="50" w:line="400" w:lineRule="exact"/>
        <w:ind w:firstLine="360" w:firstLineChars="150"/>
        <w:rPr>
          <w:rFonts w:hint="eastAsia" w:ascii="宋体" w:hAnsi="宋体" w:cs="宋体"/>
          <w:bCs/>
          <w:color w:val="auto"/>
          <w:sz w:val="24"/>
          <w:highlight w:val="none"/>
        </w:rPr>
      </w:pPr>
    </w:p>
    <w:p w14:paraId="6318DD8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7DC66D27">
      <w:pPr>
        <w:pStyle w:val="8"/>
        <w:snapToGrid w:val="0"/>
        <w:spacing w:before="50" w:after="50" w:line="400" w:lineRule="exact"/>
        <w:ind w:firstLine="960" w:firstLineChars="400"/>
        <w:rPr>
          <w:rFonts w:hint="eastAsia" w:ascii="宋体" w:hAnsi="宋体" w:cs="宋体"/>
          <w:bCs/>
          <w:color w:val="auto"/>
          <w:sz w:val="24"/>
          <w:szCs w:val="24"/>
          <w:highlight w:val="none"/>
        </w:rPr>
      </w:pPr>
    </w:p>
    <w:p w14:paraId="02533ACE">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3BF98950">
      <w:pPr>
        <w:snapToGrid w:val="0"/>
        <w:spacing w:before="120" w:beforeLines="50" w:after="50" w:line="360" w:lineRule="auto"/>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2.</w:t>
      </w:r>
      <w:r>
        <w:rPr>
          <w:rFonts w:hint="eastAsia" w:ascii="宋体" w:hAnsi="宋体" w:cs="宋体"/>
          <w:b/>
          <w:bCs/>
          <w:color w:val="auto"/>
          <w:sz w:val="32"/>
          <w:szCs w:val="32"/>
          <w:highlight w:val="none"/>
        </w:rPr>
        <w:t>报价文件目录</w:t>
      </w:r>
    </w:p>
    <w:p w14:paraId="5B81B942">
      <w:pPr>
        <w:snapToGrid w:val="0"/>
        <w:spacing w:before="50" w:after="120" w:afterLines="50" w:line="360" w:lineRule="auto"/>
        <w:jc w:val="center"/>
        <w:rPr>
          <w:rFonts w:hint="eastAsia" w:ascii="宋体" w:hAnsi="宋体" w:cs="宋体"/>
          <w:color w:val="auto"/>
          <w:szCs w:val="21"/>
          <w:highlight w:val="none"/>
        </w:rPr>
      </w:pPr>
    </w:p>
    <w:p w14:paraId="4DA51315">
      <w:pPr>
        <w:snapToGrid w:val="0"/>
        <w:spacing w:before="50" w:after="120" w:afterLines="50" w:line="360" w:lineRule="auto"/>
        <w:jc w:val="center"/>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4E5124F9">
      <w:pPr>
        <w:snapToGrid w:val="0"/>
        <w:spacing w:before="120" w:beforeLines="50" w:after="50"/>
        <w:rPr>
          <w:rFonts w:hint="eastAsia" w:ascii="宋体" w:hAnsi="宋体" w:cs="宋体"/>
          <w:b/>
          <w:color w:val="auto"/>
          <w:sz w:val="24"/>
          <w:highlight w:val="none"/>
        </w:rPr>
      </w:pPr>
    </w:p>
    <w:p w14:paraId="3835B8EA">
      <w:pPr>
        <w:snapToGrid w:val="0"/>
        <w:spacing w:before="120" w:beforeLines="50" w:after="50"/>
        <w:rPr>
          <w:rFonts w:hint="eastAsia" w:ascii="宋体" w:hAnsi="宋体" w:cs="宋体"/>
          <w:b/>
          <w:color w:val="auto"/>
          <w:sz w:val="24"/>
          <w:highlight w:val="none"/>
        </w:rPr>
      </w:pPr>
    </w:p>
    <w:p w14:paraId="478A6879">
      <w:pPr>
        <w:snapToGrid w:val="0"/>
        <w:spacing w:before="120" w:beforeLines="50" w:after="50"/>
        <w:rPr>
          <w:rFonts w:hint="eastAsia" w:ascii="宋体" w:hAnsi="宋体" w:cs="宋体"/>
          <w:b/>
          <w:color w:val="auto"/>
          <w:sz w:val="24"/>
          <w:highlight w:val="none"/>
        </w:rPr>
      </w:pPr>
    </w:p>
    <w:p w14:paraId="2D072348">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3. 投标函格式：</w:t>
      </w:r>
    </w:p>
    <w:p w14:paraId="4DE4AC4B">
      <w:pPr>
        <w:snapToGrid w:val="0"/>
        <w:spacing w:before="120" w:beforeLines="50" w:after="50"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投标函</w:t>
      </w:r>
    </w:p>
    <w:p w14:paraId="0750023B">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417E6BD1">
      <w:pPr>
        <w:snapToGrid w:val="0"/>
        <w:spacing w:line="50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）的招标公告，签字代表______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296EB042">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1AC8F938">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15479E0">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5603F04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4A3E94">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093134C9">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3E12093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41672EE0">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80B3A50">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1E3096F8">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1F614396">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7DDA69E2">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9.与本投标有关的一切正式往来信函请寄：</w:t>
      </w:r>
    </w:p>
    <w:p w14:paraId="0D780B9A">
      <w:pPr>
        <w:snapToGrid w:val="0"/>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2711C50B">
      <w:pPr>
        <w:snapToGrid w:val="0"/>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3DAD1B17">
      <w:pPr>
        <w:snapToGrid w:val="0"/>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7AF63FE7">
      <w:pPr>
        <w:snapToGrid w:val="0"/>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6817A48">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13D02B46">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7FCA367F">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14:paraId="7D0DDEFF">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8EFD627">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1BED99B">
      <w:pPr>
        <w:snapToGrid w:val="0"/>
        <w:spacing w:before="50" w:after="50" w:line="500" w:lineRule="exact"/>
        <w:ind w:firstLine="3360" w:firstLineChars="1600"/>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p>
    <w:p w14:paraId="1A9246EB">
      <w:pPr>
        <w:snapToGrid w:val="0"/>
        <w:spacing w:before="120" w:beforeLines="50" w:line="500" w:lineRule="exact"/>
        <w:ind w:firstLine="3357" w:firstLineChars="1343"/>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p>
    <w:p w14:paraId="22FEDAE9">
      <w:pPr>
        <w:snapToGrid w:val="0"/>
        <w:spacing w:before="120" w:beforeLines="50" w:line="500" w:lineRule="exact"/>
        <w:ind w:firstLine="3360" w:firstLineChars="16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0226554F">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32"/>
          <w:szCs w:val="32"/>
          <w:highlight w:val="none"/>
        </w:rPr>
        <w:t>4.开标一览表（服务类格式）</w:t>
      </w:r>
    </w:p>
    <w:p w14:paraId="5735362C">
      <w:pPr>
        <w:snapToGrid w:val="0"/>
        <w:spacing w:before="50" w:after="50"/>
        <w:jc w:val="center"/>
        <w:rPr>
          <w:rFonts w:hint="eastAsia" w:ascii="宋体" w:hAnsi="宋体" w:cs="宋体"/>
          <w:b/>
          <w:color w:val="auto"/>
          <w:sz w:val="30"/>
          <w:highlight w:val="none"/>
        </w:rPr>
      </w:pPr>
    </w:p>
    <w:p w14:paraId="1D509FCF">
      <w:pPr>
        <w:snapToGrid w:val="0"/>
        <w:spacing w:before="50" w:after="50"/>
        <w:jc w:val="center"/>
        <w:rPr>
          <w:rFonts w:hint="eastAsia" w:ascii="宋体" w:hAnsi="宋体" w:cs="宋体"/>
          <w:b/>
          <w:color w:val="auto"/>
          <w:sz w:val="30"/>
          <w:highlight w:val="none"/>
        </w:rPr>
      </w:pPr>
      <w:r>
        <w:rPr>
          <w:rFonts w:hint="eastAsia" w:ascii="宋体" w:hAnsi="宋体" w:cs="宋体"/>
          <w:b/>
          <w:color w:val="auto"/>
          <w:sz w:val="30"/>
          <w:highlight w:val="none"/>
        </w:rPr>
        <w:t>开标一览表</w:t>
      </w:r>
    </w:p>
    <w:p w14:paraId="39421EB1">
      <w:pPr>
        <w:snapToGrid w:val="0"/>
        <w:spacing w:before="50" w:after="50"/>
        <w:jc w:val="center"/>
        <w:rPr>
          <w:rFonts w:hint="eastAsia" w:ascii="宋体" w:hAnsi="宋体" w:cs="宋体"/>
          <w:b/>
          <w:color w:val="auto"/>
          <w:sz w:val="30"/>
          <w:szCs w:val="20"/>
          <w:highlight w:val="none"/>
        </w:rPr>
      </w:pPr>
    </w:p>
    <w:p w14:paraId="7C2C55BF">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E681DC3">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556181A">
      <w:pPr>
        <w:snapToGrid w:val="0"/>
        <w:spacing w:before="50" w:after="50"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分标：</w:t>
      </w:r>
      <w:r>
        <w:rPr>
          <w:rFonts w:hint="eastAsia" w:ascii="宋体" w:hAnsi="宋体" w:cs="宋体"/>
          <w:color w:val="auto"/>
          <w:szCs w:val="21"/>
          <w:highlight w:val="none"/>
          <w:u w:val="single"/>
        </w:rPr>
        <w:t xml:space="preserve">                       </w:t>
      </w:r>
    </w:p>
    <w:p w14:paraId="7ECBB048">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D59057E">
      <w:pPr>
        <w:snapToGrid w:val="0"/>
        <w:spacing w:before="50" w:after="50"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单位：元</w:t>
      </w:r>
    </w:p>
    <w:tbl>
      <w:tblPr>
        <w:tblStyle w:val="47"/>
        <w:tblW w:w="9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332"/>
        <w:gridCol w:w="1553"/>
        <w:gridCol w:w="2320"/>
        <w:gridCol w:w="2573"/>
      </w:tblGrid>
      <w:tr w14:paraId="53EA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645" w:type="dxa"/>
            <w:tcBorders>
              <w:top w:val="single" w:color="auto" w:sz="4" w:space="0"/>
              <w:left w:val="single" w:color="auto" w:sz="4" w:space="0"/>
              <w:bottom w:val="single" w:color="auto" w:sz="4" w:space="0"/>
              <w:right w:val="single" w:color="auto" w:sz="4" w:space="0"/>
            </w:tcBorders>
            <w:noWrap w:val="0"/>
            <w:vAlign w:val="center"/>
          </w:tcPr>
          <w:p w14:paraId="6D37FF7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6164FFB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553" w:type="dxa"/>
            <w:tcBorders>
              <w:top w:val="single" w:color="auto" w:sz="4" w:space="0"/>
              <w:left w:val="single" w:color="auto" w:sz="4" w:space="0"/>
              <w:bottom w:val="single" w:color="auto" w:sz="4" w:space="0"/>
              <w:right w:val="single" w:color="auto" w:sz="4" w:space="0"/>
            </w:tcBorders>
            <w:noWrap w:val="0"/>
            <w:vAlign w:val="center"/>
          </w:tcPr>
          <w:p w14:paraId="7466FFC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2320" w:type="dxa"/>
            <w:tcBorders>
              <w:top w:val="single" w:color="auto" w:sz="4" w:space="0"/>
              <w:left w:val="single" w:color="auto" w:sz="4" w:space="0"/>
              <w:bottom w:val="single" w:color="auto" w:sz="4" w:space="0"/>
              <w:right w:val="single" w:color="auto" w:sz="4" w:space="0"/>
            </w:tcBorders>
            <w:noWrap w:val="0"/>
            <w:vAlign w:val="center"/>
          </w:tcPr>
          <w:p w14:paraId="1A3AA4B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投标总报价（元）</w:t>
            </w:r>
          </w:p>
        </w:tc>
        <w:tc>
          <w:tcPr>
            <w:tcW w:w="2573" w:type="dxa"/>
            <w:tcBorders>
              <w:top w:val="single" w:color="auto" w:sz="4" w:space="0"/>
              <w:left w:val="single" w:color="auto" w:sz="4" w:space="0"/>
              <w:bottom w:val="single" w:color="auto" w:sz="4" w:space="0"/>
              <w:right w:val="single" w:color="auto" w:sz="4" w:space="0"/>
            </w:tcBorders>
            <w:noWrap w:val="0"/>
            <w:vAlign w:val="center"/>
          </w:tcPr>
          <w:p w14:paraId="0E4481EA">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A52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7" w:hRule="atLeast"/>
          <w:jc w:val="center"/>
        </w:trPr>
        <w:tc>
          <w:tcPr>
            <w:tcW w:w="645" w:type="dxa"/>
            <w:tcBorders>
              <w:top w:val="single" w:color="auto" w:sz="4" w:space="0"/>
              <w:left w:val="single" w:color="auto" w:sz="4" w:space="0"/>
              <w:bottom w:val="single" w:color="auto" w:sz="4" w:space="0"/>
              <w:right w:val="single" w:color="auto" w:sz="4" w:space="0"/>
            </w:tcBorders>
            <w:noWrap w:val="0"/>
            <w:vAlign w:val="center"/>
          </w:tcPr>
          <w:p w14:paraId="66B7066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618D4A8A">
            <w:pPr>
              <w:spacing w:line="500" w:lineRule="exact"/>
              <w:jc w:val="center"/>
              <w:rPr>
                <w:rFonts w:hint="eastAsia" w:ascii="宋体" w:hAnsi="宋体" w:cs="宋体"/>
                <w:color w:val="auto"/>
                <w:szCs w:val="21"/>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034820A8">
            <w:pPr>
              <w:tabs>
                <w:tab w:val="left" w:pos="180"/>
                <w:tab w:val="left" w:pos="1620"/>
              </w:tabs>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2320" w:type="dxa"/>
            <w:tcBorders>
              <w:top w:val="single" w:color="auto" w:sz="4" w:space="0"/>
              <w:left w:val="single" w:color="auto" w:sz="4" w:space="0"/>
              <w:bottom w:val="single" w:color="auto" w:sz="4" w:space="0"/>
              <w:right w:val="single" w:color="auto" w:sz="4" w:space="0"/>
            </w:tcBorders>
            <w:noWrap w:val="0"/>
            <w:vAlign w:val="top"/>
          </w:tcPr>
          <w:p w14:paraId="11AF1723">
            <w:pPr>
              <w:spacing w:line="500" w:lineRule="exact"/>
              <w:jc w:val="center"/>
              <w:rPr>
                <w:rFonts w:hint="eastAsia" w:ascii="宋体" w:hAnsi="宋体" w:cs="宋体"/>
                <w:color w:val="auto"/>
                <w:szCs w:val="21"/>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5F645D55">
            <w:pPr>
              <w:tabs>
                <w:tab w:val="left" w:pos="180"/>
                <w:tab w:val="left" w:pos="1620"/>
              </w:tabs>
              <w:spacing w:line="500" w:lineRule="exact"/>
              <w:jc w:val="center"/>
              <w:rPr>
                <w:rFonts w:hint="eastAsia" w:ascii="宋体" w:hAnsi="宋体" w:cs="宋体"/>
                <w:color w:val="auto"/>
                <w:szCs w:val="21"/>
                <w:highlight w:val="none"/>
              </w:rPr>
            </w:pPr>
          </w:p>
        </w:tc>
      </w:tr>
      <w:tr w14:paraId="7EF8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9423" w:type="dxa"/>
            <w:gridSpan w:val="5"/>
            <w:tcBorders>
              <w:top w:val="single" w:color="auto" w:sz="4" w:space="0"/>
              <w:left w:val="single" w:color="auto" w:sz="4" w:space="0"/>
              <w:bottom w:val="single" w:color="auto" w:sz="4" w:space="0"/>
              <w:right w:val="single" w:color="auto" w:sz="4" w:space="0"/>
            </w:tcBorders>
            <w:noWrap w:val="0"/>
            <w:vAlign w:val="center"/>
          </w:tcPr>
          <w:p w14:paraId="7F80B7B9">
            <w:pPr>
              <w:snapToGrid w:val="0"/>
              <w:spacing w:before="50" w:after="50" w:line="500" w:lineRule="exact"/>
              <w:jc w:val="left"/>
              <w:rPr>
                <w:rFonts w:hint="eastAsia" w:ascii="宋体" w:hAnsi="宋体" w:cs="宋体"/>
                <w:bCs/>
                <w:color w:val="auto"/>
                <w:szCs w:val="21"/>
                <w:highlight w:val="none"/>
              </w:rPr>
            </w:pPr>
            <w:r>
              <w:rPr>
                <w:rFonts w:hint="eastAsia" w:ascii="宋体" w:hAnsi="宋体" w:cs="宋体"/>
                <w:color w:val="auto"/>
                <w:szCs w:val="21"/>
                <w:highlight w:val="none"/>
              </w:rPr>
              <w:t>投标总报价：</w:t>
            </w:r>
            <w:r>
              <w:rPr>
                <w:rFonts w:hint="eastAsia" w:ascii="宋体" w:hAnsi="宋体" w:cs="宋体"/>
                <w:bCs/>
                <w:color w:val="auto"/>
                <w:szCs w:val="21"/>
                <w:highlight w:val="none"/>
              </w:rPr>
              <w:t xml:space="preserve">（大写）人民币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（小写）¥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 。</w:t>
            </w:r>
          </w:p>
          <w:p w14:paraId="425B36E0">
            <w:pPr>
              <w:pStyle w:val="43"/>
              <w:spacing w:line="500" w:lineRule="exact"/>
              <w:ind w:firstLine="0" w:firstLineChars="0"/>
              <w:rPr>
                <w:rFonts w:hint="eastAsia" w:hAnsi="宋体" w:cs="宋体"/>
                <w:color w:val="auto"/>
                <w:szCs w:val="21"/>
                <w:highlight w:val="none"/>
              </w:rPr>
            </w:pPr>
            <w:r>
              <w:rPr>
                <w:rFonts w:hint="eastAsia" w:hAnsi="宋体" w:cs="宋体"/>
                <w:b w:val="0"/>
                <w:color w:val="auto"/>
                <w:szCs w:val="21"/>
                <w:highlight w:val="none"/>
              </w:rPr>
              <w:t>合同履行期限：</w:t>
            </w:r>
          </w:p>
        </w:tc>
      </w:tr>
    </w:tbl>
    <w:p w14:paraId="17B2B8FC">
      <w:pPr>
        <w:snapToGrid w:val="0"/>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注：1.投标人的开标一览表必须加盖投标人电子签章并由法定代表人或者委托代理人签字或者电子签名，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595A5964">
      <w:pPr>
        <w:snapToGrid w:val="0"/>
        <w:spacing w:line="5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5257117E">
      <w:pPr>
        <w:snapToGrid w:val="0"/>
        <w:spacing w:line="5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.如有多分标，按分标分别提供开标一览表，</w:t>
      </w:r>
      <w:r>
        <w:rPr>
          <w:rFonts w:hint="eastAsia" w:ascii="宋体" w:hAnsi="宋体" w:cs="宋体"/>
          <w:b/>
          <w:color w:val="auto"/>
          <w:szCs w:val="21"/>
          <w:highlight w:val="none"/>
        </w:rPr>
        <w:t>否则投标无效。</w:t>
      </w:r>
    </w:p>
    <w:p w14:paraId="54DFED9E">
      <w:pPr>
        <w:snapToGrid w:val="0"/>
        <w:spacing w:line="500" w:lineRule="exact"/>
        <w:ind w:right="-817" w:rightChars="-389" w:firstLine="3580" w:firstLineChars="1705"/>
        <w:rPr>
          <w:rFonts w:hint="eastAsia" w:ascii="宋体" w:hAnsi="宋体" w:cs="宋体"/>
          <w:color w:val="auto"/>
          <w:szCs w:val="21"/>
          <w:highlight w:val="none"/>
        </w:rPr>
      </w:pPr>
    </w:p>
    <w:p w14:paraId="68AAF96A">
      <w:pPr>
        <w:snapToGrid w:val="0"/>
        <w:spacing w:line="500" w:lineRule="exact"/>
        <w:ind w:right="-817" w:rightChars="-389" w:firstLine="3580" w:firstLineChars="1705"/>
        <w:rPr>
          <w:rFonts w:hint="eastAsia" w:ascii="宋体" w:hAnsi="宋体" w:cs="宋体"/>
          <w:color w:val="auto"/>
          <w:szCs w:val="21"/>
          <w:highlight w:val="none"/>
        </w:rPr>
      </w:pPr>
      <w:r>
        <w:rPr>
          <w:rFonts w:hint="eastAsia" w:ascii="宋体" w:hAnsi="宋体" w:cs="宋体"/>
          <w:color w:val="auto"/>
          <w:szCs w:val="21"/>
          <w:highlight w:val="none"/>
        </w:rPr>
        <w:t xml:space="preserve">法定代表人或者委托代理人（签字或者电子签名）： </w:t>
      </w:r>
    </w:p>
    <w:p w14:paraId="413E1D52">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394A2136">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DFD2440">
      <w:pPr>
        <w:snapToGrid w:val="0"/>
        <w:spacing w:before="50" w:after="50" w:line="360" w:lineRule="auto"/>
        <w:ind w:left="-6" w:leftChars="-15" w:right="-817" w:rightChars="-389" w:hanging="25" w:hangingChars="12"/>
        <w:jc w:val="left"/>
        <w:rPr>
          <w:rFonts w:hint="eastAsia" w:ascii="宋体" w:hAnsi="宋体" w:cs="宋体"/>
          <w:b/>
          <w:color w:val="auto"/>
          <w:sz w:val="32"/>
          <w:szCs w:val="32"/>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5.投标报价明细</w:t>
      </w:r>
      <w:r>
        <w:rPr>
          <w:rFonts w:hint="eastAsia" w:ascii="宋体" w:hAnsi="宋体" w:cs="宋体"/>
          <w:b/>
          <w:color w:val="auto"/>
          <w:sz w:val="32"/>
          <w:szCs w:val="32"/>
          <w:highlight w:val="none"/>
        </w:rPr>
        <w:t>表</w:t>
      </w:r>
    </w:p>
    <w:p w14:paraId="2A37BCCB">
      <w:pPr>
        <w:snapToGrid w:val="0"/>
        <w:spacing w:before="50" w:after="50" w:line="360" w:lineRule="auto"/>
        <w:ind w:left="8" w:leftChars="-15" w:right="-817" w:rightChars="-389" w:hanging="39" w:hangingChars="1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投标报价明细表</w:t>
      </w:r>
    </w:p>
    <w:p w14:paraId="304F66AE">
      <w:pPr>
        <w:rPr>
          <w:rFonts w:hint="eastAsia" w:ascii="宋体" w:hAnsi="宋体" w:cs="宋体"/>
          <w:color w:val="auto"/>
          <w:kern w:val="0"/>
          <w:sz w:val="24"/>
          <w:highlight w:val="none"/>
        </w:rPr>
      </w:pPr>
    </w:p>
    <w:p w14:paraId="72686ED7">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63B6292">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29363D1">
      <w:pPr>
        <w:snapToGrid w:val="0"/>
        <w:spacing w:before="50" w:after="50"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分标：</w:t>
      </w:r>
      <w:r>
        <w:rPr>
          <w:rFonts w:hint="eastAsia" w:ascii="宋体" w:hAnsi="宋体" w:cs="宋体"/>
          <w:color w:val="auto"/>
          <w:szCs w:val="21"/>
          <w:highlight w:val="none"/>
          <w:u w:val="single"/>
        </w:rPr>
        <w:t xml:space="preserve">                       </w:t>
      </w:r>
    </w:p>
    <w:p w14:paraId="1F5DBFBC">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A283B19">
      <w:pPr>
        <w:snapToGrid w:val="0"/>
        <w:spacing w:before="50" w:after="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单位：元                                           </w:t>
      </w:r>
    </w:p>
    <w:tbl>
      <w:tblPr>
        <w:tblStyle w:val="47"/>
        <w:tblW w:w="942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145"/>
        <w:gridCol w:w="1740"/>
        <w:gridCol w:w="1230"/>
        <w:gridCol w:w="2312"/>
        <w:gridCol w:w="1351"/>
      </w:tblGrid>
      <w:tr w14:paraId="591E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45" w:type="dxa"/>
            <w:tcBorders>
              <w:top w:val="single" w:color="auto" w:sz="4" w:space="0"/>
              <w:left w:val="single" w:color="auto" w:sz="4" w:space="0"/>
              <w:bottom w:val="single" w:color="auto" w:sz="4" w:space="0"/>
              <w:right w:val="single" w:color="auto" w:sz="4" w:space="0"/>
            </w:tcBorders>
            <w:noWrap w:val="0"/>
            <w:vAlign w:val="center"/>
          </w:tcPr>
          <w:p w14:paraId="68F3224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5B8717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19A3B7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81263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6F71E6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投标总报价（元）</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3FD7E97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52E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645" w:type="dxa"/>
            <w:tcBorders>
              <w:top w:val="single" w:color="auto" w:sz="4" w:space="0"/>
              <w:left w:val="single" w:color="auto" w:sz="4" w:space="0"/>
              <w:bottom w:val="single" w:color="auto" w:sz="4" w:space="0"/>
              <w:right w:val="single" w:color="auto" w:sz="4" w:space="0"/>
            </w:tcBorders>
            <w:noWrap w:val="0"/>
            <w:vAlign w:val="center"/>
          </w:tcPr>
          <w:p w14:paraId="742081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4179B61">
            <w:pPr>
              <w:spacing w:line="360" w:lineRule="auto"/>
              <w:jc w:val="center"/>
              <w:rPr>
                <w:rFonts w:hint="eastAsia" w:ascii="宋体" w:hAnsi="宋体" w:cs="宋体"/>
                <w:color w:val="auto"/>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45F78FF">
            <w:pPr>
              <w:tabs>
                <w:tab w:val="left" w:pos="180"/>
                <w:tab w:val="left" w:pos="1620"/>
              </w:tabs>
              <w:spacing w:line="360" w:lineRule="auto"/>
              <w:jc w:val="center"/>
              <w:rPr>
                <w:rFonts w:hint="eastAsia" w:ascii="宋体" w:hAnsi="宋体" w:cs="宋体"/>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41876A05">
            <w:pPr>
              <w:spacing w:line="360" w:lineRule="auto"/>
              <w:jc w:val="center"/>
              <w:rPr>
                <w:rFonts w:hint="eastAsia" w:ascii="宋体" w:hAnsi="宋体" w:cs="宋体"/>
                <w:color w:val="auto"/>
                <w:szCs w:val="21"/>
                <w:highlight w:val="none"/>
              </w:rPr>
            </w:pPr>
          </w:p>
        </w:tc>
        <w:tc>
          <w:tcPr>
            <w:tcW w:w="2312" w:type="dxa"/>
            <w:tcBorders>
              <w:top w:val="single" w:color="auto" w:sz="4" w:space="0"/>
              <w:left w:val="single" w:color="auto" w:sz="4" w:space="0"/>
              <w:bottom w:val="single" w:color="auto" w:sz="4" w:space="0"/>
              <w:right w:val="single" w:color="auto" w:sz="4" w:space="0"/>
            </w:tcBorders>
            <w:noWrap w:val="0"/>
            <w:vAlign w:val="top"/>
          </w:tcPr>
          <w:p w14:paraId="13D6C1D9">
            <w:pPr>
              <w:spacing w:line="360" w:lineRule="auto"/>
              <w:jc w:val="center"/>
              <w:rPr>
                <w:rFonts w:hint="eastAsia" w:ascii="宋体" w:hAnsi="宋体" w:cs="宋体"/>
                <w:color w:val="auto"/>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652BBBEF">
            <w:pPr>
              <w:tabs>
                <w:tab w:val="left" w:pos="180"/>
                <w:tab w:val="left" w:pos="1620"/>
              </w:tabs>
              <w:spacing w:line="360" w:lineRule="auto"/>
              <w:jc w:val="center"/>
              <w:rPr>
                <w:rFonts w:hint="eastAsia" w:ascii="宋体" w:hAnsi="宋体" w:cs="宋体"/>
                <w:color w:val="auto"/>
                <w:szCs w:val="21"/>
                <w:highlight w:val="none"/>
              </w:rPr>
            </w:pPr>
          </w:p>
        </w:tc>
      </w:tr>
      <w:tr w14:paraId="1392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645" w:type="dxa"/>
            <w:tcBorders>
              <w:top w:val="single" w:color="auto" w:sz="4" w:space="0"/>
              <w:left w:val="single" w:color="auto" w:sz="4" w:space="0"/>
              <w:bottom w:val="single" w:color="auto" w:sz="4" w:space="0"/>
              <w:right w:val="single" w:color="auto" w:sz="4" w:space="0"/>
            </w:tcBorders>
            <w:noWrap w:val="0"/>
            <w:vAlign w:val="center"/>
          </w:tcPr>
          <w:p w14:paraId="1EDD34DE">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D37F469">
            <w:pPr>
              <w:spacing w:line="360" w:lineRule="auto"/>
              <w:jc w:val="center"/>
              <w:rPr>
                <w:rFonts w:hint="eastAsia" w:ascii="宋体" w:hAnsi="宋体" w:cs="宋体"/>
                <w:color w:val="auto"/>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BDB09EF">
            <w:pPr>
              <w:tabs>
                <w:tab w:val="left" w:pos="180"/>
                <w:tab w:val="left" w:pos="1620"/>
              </w:tabs>
              <w:spacing w:line="360" w:lineRule="auto"/>
              <w:jc w:val="center"/>
              <w:rPr>
                <w:rFonts w:hint="eastAsia" w:ascii="宋体" w:hAnsi="宋体" w:cs="宋体"/>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4D4157D4">
            <w:pPr>
              <w:spacing w:line="360" w:lineRule="auto"/>
              <w:jc w:val="center"/>
              <w:rPr>
                <w:rFonts w:hint="eastAsia" w:ascii="宋体" w:hAnsi="宋体" w:cs="宋体"/>
                <w:color w:val="auto"/>
                <w:szCs w:val="21"/>
                <w:highlight w:val="none"/>
              </w:rPr>
            </w:pPr>
          </w:p>
        </w:tc>
        <w:tc>
          <w:tcPr>
            <w:tcW w:w="2312" w:type="dxa"/>
            <w:tcBorders>
              <w:top w:val="single" w:color="auto" w:sz="4" w:space="0"/>
              <w:left w:val="single" w:color="auto" w:sz="4" w:space="0"/>
              <w:bottom w:val="single" w:color="auto" w:sz="4" w:space="0"/>
              <w:right w:val="single" w:color="auto" w:sz="4" w:space="0"/>
            </w:tcBorders>
            <w:noWrap w:val="0"/>
            <w:vAlign w:val="top"/>
          </w:tcPr>
          <w:p w14:paraId="392DC38F">
            <w:pPr>
              <w:spacing w:line="360" w:lineRule="auto"/>
              <w:jc w:val="center"/>
              <w:rPr>
                <w:rFonts w:hint="eastAsia" w:ascii="宋体" w:hAnsi="宋体" w:cs="宋体"/>
                <w:color w:val="auto"/>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01322DE2">
            <w:pPr>
              <w:tabs>
                <w:tab w:val="left" w:pos="180"/>
                <w:tab w:val="left" w:pos="1620"/>
              </w:tabs>
              <w:spacing w:line="360" w:lineRule="auto"/>
              <w:jc w:val="center"/>
              <w:rPr>
                <w:rFonts w:hint="eastAsia" w:ascii="宋体" w:hAnsi="宋体" w:cs="宋体"/>
                <w:color w:val="auto"/>
                <w:szCs w:val="21"/>
                <w:highlight w:val="none"/>
              </w:rPr>
            </w:pPr>
          </w:p>
        </w:tc>
      </w:tr>
      <w:tr w14:paraId="01F9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9423" w:type="dxa"/>
            <w:gridSpan w:val="6"/>
            <w:tcBorders>
              <w:top w:val="single" w:color="auto" w:sz="4" w:space="0"/>
              <w:left w:val="single" w:color="auto" w:sz="4" w:space="0"/>
              <w:bottom w:val="single" w:color="auto" w:sz="4" w:space="0"/>
              <w:right w:val="single" w:color="auto" w:sz="4" w:space="0"/>
            </w:tcBorders>
            <w:noWrap w:val="0"/>
            <w:vAlign w:val="center"/>
          </w:tcPr>
          <w:p w14:paraId="0B785B87">
            <w:pPr>
              <w:snapToGrid w:val="0"/>
              <w:spacing w:before="50" w:after="50"/>
              <w:jc w:val="left"/>
              <w:rPr>
                <w:rFonts w:hint="eastAsia" w:ascii="宋体" w:hAnsi="宋体" w:cs="宋体"/>
                <w:bCs/>
                <w:color w:val="auto"/>
                <w:szCs w:val="21"/>
                <w:highlight w:val="none"/>
              </w:rPr>
            </w:pPr>
            <w:r>
              <w:rPr>
                <w:rFonts w:hint="eastAsia" w:ascii="宋体" w:hAnsi="宋体" w:cs="宋体"/>
                <w:color w:val="auto"/>
                <w:szCs w:val="21"/>
                <w:highlight w:val="none"/>
              </w:rPr>
              <w:t>投标总报价：</w:t>
            </w:r>
            <w:r>
              <w:rPr>
                <w:rFonts w:hint="eastAsia" w:ascii="宋体" w:hAnsi="宋体" w:cs="宋体"/>
                <w:bCs/>
                <w:color w:val="auto"/>
                <w:szCs w:val="21"/>
                <w:highlight w:val="none"/>
              </w:rPr>
              <w:t xml:space="preserve">（大写）人民币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（小写）¥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 。</w:t>
            </w:r>
          </w:p>
          <w:p w14:paraId="2C5C237D">
            <w:pPr>
              <w:pStyle w:val="43"/>
              <w:ind w:firstLine="0" w:firstLineChars="0"/>
              <w:rPr>
                <w:rFonts w:hint="eastAsia" w:hAnsi="宋体" w:cs="宋体"/>
                <w:color w:val="auto"/>
                <w:szCs w:val="21"/>
                <w:highlight w:val="none"/>
              </w:rPr>
            </w:pPr>
            <w:r>
              <w:rPr>
                <w:rFonts w:hint="eastAsia" w:hAnsi="宋体" w:cs="宋体"/>
                <w:b w:val="0"/>
                <w:color w:val="auto"/>
                <w:szCs w:val="21"/>
                <w:highlight w:val="none"/>
              </w:rPr>
              <w:t>合同履行期限：</w:t>
            </w:r>
          </w:p>
        </w:tc>
      </w:tr>
    </w:tbl>
    <w:p w14:paraId="5E924E98">
      <w:pPr>
        <w:snapToGrid w:val="0"/>
        <w:spacing w:before="50" w:after="50"/>
        <w:rPr>
          <w:rFonts w:hint="eastAsia" w:ascii="宋体" w:hAnsi="宋体" w:cs="宋体"/>
          <w:color w:val="auto"/>
          <w:szCs w:val="21"/>
          <w:highlight w:val="none"/>
        </w:rPr>
      </w:pPr>
      <w:r>
        <w:rPr>
          <w:rFonts w:hint="eastAsia" w:ascii="宋体" w:hAnsi="宋体" w:cs="宋体"/>
          <w:color w:val="auto"/>
          <w:szCs w:val="21"/>
          <w:highlight w:val="none"/>
        </w:rPr>
        <w:t>注：</w:t>
      </w:r>
    </w:p>
    <w:p w14:paraId="0D35E8CE">
      <w:pPr>
        <w:snapToGrid w:val="0"/>
        <w:spacing w:before="50" w:after="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1.表中内容必须如实填写完整，如没有相关内容则填无，填写有缺漏的，作无效投标处理。</w:t>
      </w:r>
    </w:p>
    <w:p w14:paraId="1764DD95">
      <w:pPr>
        <w:snapToGrid w:val="0"/>
        <w:spacing w:before="50" w:after="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2.该表必须加盖投标人公章并由法定代表人或者其委托代理人签字，</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5B267D1D">
      <w:pPr>
        <w:snapToGrid w:val="0"/>
        <w:spacing w:before="50" w:after="50" w:line="360" w:lineRule="auto"/>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报价一经涂改，应在涂改处加盖投标人公章或者由法定代表人或者授权委托人签字或者盖章</w:t>
      </w:r>
      <w:r>
        <w:rPr>
          <w:rFonts w:hint="eastAsia" w:ascii="宋体" w:hAnsi="宋体" w:cs="宋体"/>
          <w:b/>
          <w:color w:val="auto"/>
          <w:szCs w:val="21"/>
          <w:highlight w:val="none"/>
        </w:rPr>
        <w:t>，否则其投标作无效标处理。</w:t>
      </w:r>
    </w:p>
    <w:p w14:paraId="02C80967">
      <w:pPr>
        <w:snapToGrid w:val="0"/>
        <w:spacing w:before="50" w:after="50" w:line="360" w:lineRule="auto"/>
        <w:ind w:firstLine="420" w:firstLineChars="200"/>
        <w:jc w:val="left"/>
        <w:rPr>
          <w:rFonts w:hint="eastAsia" w:ascii="宋体" w:hAnsi="宋体" w:cs="宋体"/>
          <w:b/>
          <w:color w:val="auto"/>
          <w:spacing w:val="-6"/>
          <w:szCs w:val="21"/>
          <w:highlight w:val="none"/>
        </w:rPr>
      </w:pPr>
      <w:r>
        <w:rPr>
          <w:rFonts w:hint="eastAsia" w:ascii="宋体" w:hAnsi="宋体" w:cs="宋体"/>
          <w:color w:val="auto"/>
          <w:szCs w:val="21"/>
          <w:highlight w:val="none"/>
        </w:rPr>
        <w:t>4.</w:t>
      </w:r>
      <w:r>
        <w:rPr>
          <w:rFonts w:hint="eastAsia" w:ascii="宋体" w:hAnsi="宋体" w:cs="宋体"/>
          <w:color w:val="auto"/>
          <w:spacing w:val="-6"/>
          <w:szCs w:val="21"/>
          <w:highlight w:val="none"/>
        </w:rPr>
        <w:t>如有多分标，分别列明各分标的投标报价明细表，</w:t>
      </w:r>
      <w:r>
        <w:rPr>
          <w:rFonts w:hint="eastAsia" w:ascii="宋体" w:hAnsi="宋体" w:cs="宋体"/>
          <w:b/>
          <w:color w:val="auto"/>
          <w:spacing w:val="-6"/>
          <w:szCs w:val="21"/>
          <w:highlight w:val="none"/>
        </w:rPr>
        <w:t>否则其投标文件作无效处理。</w:t>
      </w:r>
    </w:p>
    <w:p w14:paraId="3C2C3553">
      <w:pPr>
        <w:snapToGrid w:val="0"/>
        <w:spacing w:line="500" w:lineRule="exact"/>
        <w:ind w:right="-817" w:rightChars="-389" w:firstLine="3580" w:firstLineChars="1705"/>
        <w:rPr>
          <w:rFonts w:hint="eastAsia" w:ascii="宋体" w:hAnsi="宋体" w:cs="宋体"/>
          <w:color w:val="auto"/>
          <w:szCs w:val="21"/>
          <w:highlight w:val="none"/>
        </w:rPr>
      </w:pPr>
      <w:r>
        <w:rPr>
          <w:rFonts w:hint="eastAsia" w:ascii="宋体" w:hAnsi="宋体" w:cs="宋体"/>
          <w:color w:val="auto"/>
          <w:szCs w:val="21"/>
          <w:highlight w:val="none"/>
        </w:rPr>
        <w:t xml:space="preserve">法定代表人或者委托代理人（签字或者电子签名）： </w:t>
      </w:r>
    </w:p>
    <w:p w14:paraId="6B806A8F">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0614A188">
      <w:pPr>
        <w:snapToGrid w:val="0"/>
        <w:spacing w:line="5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1EF16EEA">
      <w:pPr>
        <w:snapToGrid w:val="0"/>
        <w:spacing w:before="120" w:beforeLines="50" w:after="50"/>
        <w:jc w:val="left"/>
        <w:rPr>
          <w:rFonts w:hint="eastAsia" w:ascii="宋体" w:hAnsi="宋体" w:cs="宋体"/>
          <w:b/>
          <w:bCs/>
          <w:color w:val="auto"/>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6.中小企业声明函格式</w:t>
      </w:r>
    </w:p>
    <w:p w14:paraId="10CD74C6">
      <w:pPr>
        <w:rPr>
          <w:rFonts w:hint="eastAsia" w:ascii="宋体" w:hAnsi="宋体" w:cs="宋体"/>
          <w:color w:val="auto"/>
          <w:highlight w:val="none"/>
        </w:rPr>
      </w:pPr>
    </w:p>
    <w:p w14:paraId="637CF402">
      <w:pPr>
        <w:jc w:val="center"/>
        <w:rPr>
          <w:rFonts w:hint="eastAsia" w:ascii="宋体" w:hAnsi="宋体" w:eastAsia="宋体" w:cs="宋体"/>
          <w:color w:val="auto"/>
          <w:sz w:val="44"/>
          <w:szCs w:val="44"/>
          <w:highlight w:val="none"/>
          <w:lang w:eastAsia="zh-CN"/>
        </w:rPr>
      </w:pPr>
      <w:r>
        <w:rPr>
          <w:rFonts w:hint="eastAsia" w:ascii="宋体" w:hAnsi="宋体" w:cs="宋体"/>
          <w:b/>
          <w:bCs/>
          <w:color w:val="auto"/>
          <w:sz w:val="32"/>
          <w:szCs w:val="32"/>
          <w:highlight w:val="none"/>
        </w:rPr>
        <w:t>中小企业声明函（服务</w:t>
      </w:r>
      <w:r>
        <w:rPr>
          <w:rFonts w:hint="eastAsia" w:ascii="宋体" w:hAnsi="宋体" w:cs="宋体"/>
          <w:b/>
          <w:bCs/>
          <w:color w:val="auto"/>
          <w:sz w:val="32"/>
          <w:szCs w:val="32"/>
          <w:highlight w:val="none"/>
          <w:lang w:eastAsia="zh-CN"/>
        </w:rPr>
        <w:t>）</w:t>
      </w:r>
    </w:p>
    <w:p w14:paraId="4F642555">
      <w:pPr>
        <w:pStyle w:val="2"/>
        <w:spacing w:line="500" w:lineRule="exact"/>
        <w:ind w:right="142"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本公司郑重声明，根据《政府采购促进中小企业发展管理办法》（财库﹝2020﹞46号）的规定，本公司参加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采购活动，服务全部由符合政策要求的中小企业承接。相关企业的具体情况如下：</w:t>
      </w:r>
    </w:p>
    <w:p w14:paraId="47A0727A">
      <w:pPr>
        <w:tabs>
          <w:tab w:val="left" w:pos="1384"/>
          <w:tab w:val="left" w:pos="4562"/>
          <w:tab w:val="left" w:pos="6803"/>
        </w:tabs>
        <w:spacing w:before="13" w:line="500" w:lineRule="exact"/>
        <w:ind w:right="142" w:firstLine="600" w:firstLineChars="286"/>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6D8FDDCC">
      <w:pPr>
        <w:pStyle w:val="2"/>
        <w:spacing w:before="34" w:line="500" w:lineRule="exact"/>
        <w:ind w:left="765" w:right="142" w:hanging="5"/>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1E326A3E">
      <w:pPr>
        <w:pStyle w:val="2"/>
        <w:spacing w:before="34" w:line="500" w:lineRule="exact"/>
        <w:ind w:right="142"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以上企业，不属于大企业的分支机构，不存在控股股东为大企业的情形，也不存在与大企业的负责人为同一人的情形。</w:t>
      </w:r>
    </w:p>
    <w:p w14:paraId="704E574D">
      <w:pPr>
        <w:pStyle w:val="2"/>
        <w:spacing w:before="34" w:line="500" w:lineRule="exact"/>
        <w:ind w:right="142"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本企业对上述声明内容的真实性负责。如有虚假，将依法承担相应责任。</w:t>
      </w:r>
    </w:p>
    <w:p w14:paraId="7EC48ED6">
      <w:pPr>
        <w:pStyle w:val="2"/>
        <w:spacing w:before="56" w:line="500" w:lineRule="exact"/>
        <w:ind w:left="3960" w:right="1808"/>
        <w:rPr>
          <w:rFonts w:hint="eastAsia" w:ascii="宋体" w:hAnsi="宋体" w:cs="宋体"/>
          <w:color w:val="auto"/>
          <w:kern w:val="24"/>
          <w:sz w:val="21"/>
          <w:szCs w:val="21"/>
          <w:highlight w:val="none"/>
        </w:rPr>
      </w:pPr>
    </w:p>
    <w:p w14:paraId="71E798F1">
      <w:pPr>
        <w:pStyle w:val="2"/>
        <w:spacing w:before="56" w:line="500" w:lineRule="exact"/>
        <w:ind w:left="3960" w:right="1808"/>
        <w:rPr>
          <w:rFonts w:hint="eastAsia" w:ascii="宋体" w:hAnsi="宋体" w:cs="宋体"/>
          <w:color w:val="auto"/>
          <w:sz w:val="21"/>
          <w:szCs w:val="21"/>
          <w:highlight w:val="none"/>
        </w:rPr>
      </w:pPr>
      <w:r>
        <w:rPr>
          <w:rFonts w:hint="eastAsia" w:ascii="宋体" w:hAnsi="宋体" w:cs="宋体"/>
          <w:color w:val="auto"/>
          <w:kern w:val="24"/>
          <w:sz w:val="21"/>
          <w:szCs w:val="21"/>
          <w:highlight w:val="none"/>
        </w:rPr>
        <w:t>企业名称（电子签章）：</w:t>
      </w:r>
      <w:r>
        <w:rPr>
          <w:rFonts w:hint="eastAsia" w:ascii="宋体" w:hAnsi="宋体" w:cs="宋体"/>
          <w:color w:val="auto"/>
          <w:sz w:val="21"/>
          <w:szCs w:val="21"/>
          <w:highlight w:val="none"/>
        </w:rPr>
        <w:t xml:space="preserve"> </w:t>
      </w:r>
    </w:p>
    <w:p w14:paraId="26639DF4">
      <w:pPr>
        <w:pStyle w:val="2"/>
        <w:spacing w:before="56" w:line="500" w:lineRule="exact"/>
        <w:ind w:left="3960" w:right="1808"/>
        <w:rPr>
          <w:rFonts w:hint="eastAsia" w:ascii="宋体" w:hAnsi="宋体" w:cs="宋体"/>
          <w:color w:val="auto"/>
          <w:sz w:val="21"/>
          <w:szCs w:val="21"/>
          <w:highlight w:val="none"/>
        </w:rPr>
      </w:pPr>
      <w:r>
        <w:rPr>
          <w:rFonts w:hint="eastAsia" w:ascii="宋体" w:hAnsi="宋体" w:cs="宋体"/>
          <w:color w:val="auto"/>
          <w:sz w:val="21"/>
          <w:szCs w:val="21"/>
          <w:highlight w:val="none"/>
        </w:rPr>
        <w:t>日 期：</w:t>
      </w:r>
    </w:p>
    <w:p w14:paraId="5C2DEE2F">
      <w:pPr>
        <w:spacing w:line="500" w:lineRule="exact"/>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供应商的《中小企业声明函》。从业人员、营业收入、资产总额填报上一年度数据，无上一年度数据的新成立企业可不填报。</w:t>
      </w: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7.残疾人福利性单位声明函格式</w:t>
      </w:r>
    </w:p>
    <w:p w14:paraId="474144F9">
      <w:pPr>
        <w:spacing w:line="588" w:lineRule="exact"/>
        <w:jc w:val="center"/>
        <w:rPr>
          <w:rFonts w:hint="eastAsia" w:ascii="宋体" w:hAnsi="宋体" w:cs="宋体"/>
          <w:b/>
          <w:color w:val="auto"/>
          <w:spacing w:val="6"/>
          <w:sz w:val="32"/>
          <w:szCs w:val="32"/>
          <w:highlight w:val="none"/>
        </w:rPr>
      </w:pPr>
    </w:p>
    <w:p w14:paraId="3E2F755F">
      <w:pPr>
        <w:spacing w:line="588" w:lineRule="exact"/>
        <w:jc w:val="center"/>
        <w:rPr>
          <w:rFonts w:hint="eastAsia" w:ascii="宋体" w:hAnsi="宋体" w:cs="宋体"/>
          <w:bCs/>
          <w:color w:val="auto"/>
          <w:spacing w:val="6"/>
          <w:sz w:val="44"/>
          <w:szCs w:val="44"/>
          <w:highlight w:val="none"/>
        </w:rPr>
      </w:pPr>
      <w:r>
        <w:rPr>
          <w:rFonts w:hint="eastAsia" w:ascii="宋体" w:hAnsi="宋体" w:cs="宋体"/>
          <w:b/>
          <w:color w:val="auto"/>
          <w:spacing w:val="6"/>
          <w:sz w:val="32"/>
          <w:szCs w:val="32"/>
          <w:highlight w:val="none"/>
        </w:rPr>
        <w:t>残疾人福利性单位声明函</w:t>
      </w:r>
    </w:p>
    <w:p w14:paraId="6655E0ED">
      <w:pPr>
        <w:spacing w:line="588" w:lineRule="exact"/>
        <w:rPr>
          <w:rFonts w:hint="eastAsia" w:ascii="宋体" w:hAnsi="宋体" w:cs="宋体"/>
          <w:b/>
          <w:color w:val="auto"/>
          <w:spacing w:val="6"/>
          <w:sz w:val="30"/>
          <w:szCs w:val="30"/>
          <w:highlight w:val="none"/>
        </w:rPr>
      </w:pPr>
    </w:p>
    <w:p w14:paraId="1E0D8BB1">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pacing w:val="6"/>
          <w:szCs w:val="21"/>
          <w:highlight w:val="none"/>
          <w:lang w:eastAsia="zh-CN"/>
        </w:rPr>
        <w:t>〔2017〕141号</w:t>
      </w:r>
      <w:r>
        <w:rPr>
          <w:rFonts w:hint="eastAsia" w:ascii="宋体" w:hAnsi="宋体" w:cs="宋体"/>
          <w:color w:val="auto"/>
          <w:spacing w:val="6"/>
          <w:szCs w:val="21"/>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55AD2C1D">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3129C556">
      <w:pPr>
        <w:spacing w:line="360" w:lineRule="auto"/>
        <w:ind w:firstLine="444" w:firstLineChars="200"/>
        <w:rPr>
          <w:rFonts w:hint="eastAsia" w:ascii="宋体" w:hAnsi="宋体" w:cs="宋体"/>
          <w:color w:val="auto"/>
          <w:spacing w:val="6"/>
          <w:szCs w:val="21"/>
          <w:highlight w:val="none"/>
        </w:rPr>
      </w:pPr>
    </w:p>
    <w:p w14:paraId="4AA9351D">
      <w:pPr>
        <w:spacing w:line="360" w:lineRule="auto"/>
        <w:ind w:firstLine="444" w:firstLineChars="200"/>
        <w:rPr>
          <w:rFonts w:hint="eastAsia" w:ascii="宋体" w:hAnsi="宋体" w:cs="宋体"/>
          <w:color w:val="auto"/>
          <w:spacing w:val="6"/>
          <w:szCs w:val="21"/>
          <w:highlight w:val="none"/>
        </w:rPr>
      </w:pPr>
    </w:p>
    <w:p w14:paraId="09F813CE">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单位名称（电子签章）：</w:t>
      </w:r>
    </w:p>
    <w:p w14:paraId="33DF1D87">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55CB74CE">
      <w:pPr>
        <w:spacing w:line="360" w:lineRule="auto"/>
        <w:rPr>
          <w:rFonts w:hint="eastAsia" w:ascii="宋体" w:hAnsi="宋体" w:cs="宋体"/>
          <w:color w:val="auto"/>
          <w:szCs w:val="21"/>
          <w:highlight w:val="none"/>
        </w:rPr>
      </w:pPr>
    </w:p>
    <w:p w14:paraId="6D29379D">
      <w:pPr>
        <w:spacing w:line="360" w:lineRule="auto"/>
        <w:rPr>
          <w:rFonts w:hint="eastAsia" w:ascii="宋体" w:hAnsi="宋体" w:cs="宋体"/>
          <w:color w:val="auto"/>
          <w:sz w:val="24"/>
          <w:highlight w:val="none"/>
        </w:rPr>
      </w:pPr>
    </w:p>
    <w:p w14:paraId="5C185ACE">
      <w:pPr>
        <w:spacing w:line="360" w:lineRule="auto"/>
        <w:rPr>
          <w:rFonts w:hint="eastAsia" w:ascii="宋体" w:hAnsi="宋体" w:cs="宋体"/>
          <w:color w:val="auto"/>
          <w:sz w:val="24"/>
          <w:highlight w:val="none"/>
        </w:rPr>
      </w:pPr>
    </w:p>
    <w:p w14:paraId="708790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8CAF2DF">
      <w:pPr>
        <w:spacing w:line="360" w:lineRule="auto"/>
        <w:contextualSpacing/>
        <w:jc w:val="left"/>
        <w:rPr>
          <w:rFonts w:hint="eastAsia" w:ascii="宋体" w:hAnsi="宋体" w:cs="宋体"/>
          <w:color w:val="auto"/>
          <w:sz w:val="24"/>
          <w:szCs w:val="20"/>
          <w:highlight w:val="none"/>
        </w:rPr>
      </w:pPr>
    </w:p>
    <w:p w14:paraId="346AE11C">
      <w:pPr>
        <w:snapToGrid w:val="0"/>
        <w:spacing w:before="50" w:after="120" w:afterLines="50"/>
        <w:jc w:val="left"/>
        <w:rPr>
          <w:rFonts w:hint="eastAsia" w:ascii="宋体" w:hAnsi="宋体" w:cs="宋体"/>
          <w:color w:val="auto"/>
          <w:sz w:val="24"/>
          <w:szCs w:val="20"/>
          <w:highlight w:val="none"/>
        </w:rPr>
      </w:pPr>
    </w:p>
    <w:p w14:paraId="5CE85F7C">
      <w:pPr>
        <w:snapToGrid w:val="0"/>
        <w:spacing w:before="120" w:beforeLines="50" w:after="50"/>
        <w:jc w:val="left"/>
        <w:rPr>
          <w:rFonts w:hint="eastAsia" w:ascii="宋体" w:hAnsi="宋体" w:cs="宋体"/>
          <w:color w:val="auto"/>
          <w:sz w:val="24"/>
          <w:szCs w:val="20"/>
          <w:highlight w:val="none"/>
        </w:rPr>
      </w:pPr>
    </w:p>
    <w:p w14:paraId="66C5BCA9">
      <w:pPr>
        <w:snapToGrid w:val="0"/>
        <w:spacing w:before="50" w:after="120" w:afterLines="50"/>
        <w:jc w:val="left"/>
        <w:rPr>
          <w:rFonts w:hint="eastAsia" w:ascii="宋体" w:hAnsi="宋体" w:cs="宋体"/>
          <w:color w:val="auto"/>
          <w:sz w:val="24"/>
          <w:szCs w:val="20"/>
          <w:highlight w:val="none"/>
        </w:rPr>
      </w:pPr>
    </w:p>
    <w:p w14:paraId="48248D8E">
      <w:pPr>
        <w:numPr>
          <w:ilvl w:val="0"/>
          <w:numId w:val="12"/>
        </w:numPr>
        <w:rPr>
          <w:rFonts w:hint="eastAsia" w:ascii="宋体" w:hAnsi="宋体" w:cs="宋体"/>
          <w:b/>
          <w:color w:val="auto"/>
          <w:sz w:val="32"/>
          <w:szCs w:val="32"/>
          <w:highlight w:val="none"/>
        </w:rPr>
      </w:pPr>
      <w:r>
        <w:rPr>
          <w:rFonts w:hint="eastAsia" w:ascii="宋体" w:hAnsi="宋体" w:cs="宋体"/>
          <w:b/>
          <w:bCs/>
          <w:color w:val="auto"/>
          <w:sz w:val="24"/>
          <w:highlight w:val="none"/>
        </w:rPr>
        <w:br w:type="page"/>
      </w:r>
      <w:bookmarkStart w:id="259" w:name="_Toc19686840"/>
      <w:r>
        <w:rPr>
          <w:rFonts w:hint="eastAsia" w:ascii="宋体" w:hAnsi="宋体" w:cs="宋体"/>
          <w:b/>
          <w:color w:val="auto"/>
          <w:sz w:val="32"/>
          <w:szCs w:val="32"/>
          <w:highlight w:val="none"/>
        </w:rPr>
        <w:t>其他文书、文件格式</w:t>
      </w:r>
      <w:bookmarkEnd w:id="259"/>
    </w:p>
    <w:p w14:paraId="32B7088A">
      <w:pPr>
        <w:spacing w:line="360" w:lineRule="auto"/>
        <w:jc w:val="left"/>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1</w:t>
      </w:r>
      <w:r>
        <w:rPr>
          <w:rFonts w:hint="eastAsia" w:ascii="宋体" w:hAnsi="宋体" w:eastAsia="宋体" w:cs="宋体"/>
          <w:b/>
          <w:color w:val="auto"/>
          <w:sz w:val="24"/>
          <w:highlight w:val="none"/>
        </w:rPr>
        <w:t>.质疑函（格式）</w:t>
      </w:r>
    </w:p>
    <w:p w14:paraId="285A517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719621C3">
      <w:pPr>
        <w:pStyle w:val="24"/>
        <w:snapToGrid w:val="0"/>
        <w:spacing w:line="50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一、质疑供应商基本信息：</w:t>
      </w:r>
    </w:p>
    <w:p w14:paraId="25779316">
      <w:pPr>
        <w:pStyle w:val="24"/>
        <w:snapToGrid w:val="0"/>
        <w:spacing w:line="500" w:lineRule="exact"/>
        <w:ind w:firstLine="420" w:firstLineChars="200"/>
        <w:rPr>
          <w:rFonts w:hint="eastAsia"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53C6886C">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29D6B72D">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5DEAEBA">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2EF0B30D">
      <w:pPr>
        <w:pStyle w:val="24"/>
        <w:snapToGrid w:val="0"/>
        <w:spacing w:line="500" w:lineRule="exact"/>
        <w:ind w:firstLine="420" w:firstLineChars="200"/>
        <w:rPr>
          <w:rFonts w:hint="eastAsia"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1D765BC1">
      <w:pPr>
        <w:pStyle w:val="24"/>
        <w:snapToGrid w:val="0"/>
        <w:spacing w:line="500" w:lineRule="exact"/>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960FF23">
      <w:pPr>
        <w:pStyle w:val="24"/>
        <w:snapToGrid w:val="0"/>
        <w:spacing w:line="50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二、质疑项目基本情况：</w:t>
      </w:r>
    </w:p>
    <w:p w14:paraId="0E339F02">
      <w:pPr>
        <w:pStyle w:val="24"/>
        <w:spacing w:line="500" w:lineRule="exact"/>
        <w:ind w:left="25" w:leftChars="12" w:firstLine="413" w:firstLineChars="197"/>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0FE72203">
      <w:pPr>
        <w:pStyle w:val="24"/>
        <w:spacing w:line="500" w:lineRule="exact"/>
        <w:ind w:left="25" w:leftChars="12" w:firstLine="413" w:firstLineChars="197"/>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671729FD">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260735AB">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质疑事项：</w:t>
      </w:r>
    </w:p>
    <w:p w14:paraId="5CA77577">
      <w:pPr>
        <w:pStyle w:val="24"/>
        <w:spacing w:line="500" w:lineRule="exact"/>
        <w:ind w:left="25" w:leftChars="12" w:firstLine="308" w:firstLineChars="147"/>
        <w:rPr>
          <w:rFonts w:hint="eastAsia"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07018D50">
      <w:pPr>
        <w:pStyle w:val="24"/>
        <w:spacing w:line="500" w:lineRule="exact"/>
        <w:ind w:left="25" w:leftChars="12" w:firstLine="308" w:firstLineChars="147"/>
        <w:rPr>
          <w:rFonts w:hint="eastAsia" w:hAnsi="宋体" w:cs="宋体"/>
          <w:color w:val="auto"/>
          <w:sz w:val="21"/>
          <w:highlight w:val="none"/>
        </w:rPr>
      </w:pPr>
      <w:r>
        <w:rPr>
          <w:rFonts w:hint="eastAsia" w:hAnsi="宋体" w:cs="宋体"/>
          <w:color w:val="auto"/>
          <w:sz w:val="21"/>
          <w:highlight w:val="none"/>
        </w:rPr>
        <w:t xml:space="preserve">□采购过程   </w:t>
      </w:r>
    </w:p>
    <w:p w14:paraId="4F1EFA18">
      <w:pPr>
        <w:pStyle w:val="24"/>
        <w:spacing w:line="500" w:lineRule="exact"/>
        <w:ind w:left="25" w:leftChars="12" w:firstLine="308" w:firstLineChars="147"/>
        <w:rPr>
          <w:rFonts w:hint="eastAsia" w:hAnsi="宋体" w:cs="宋体"/>
          <w:bCs/>
          <w:color w:val="auto"/>
          <w:sz w:val="21"/>
          <w:highlight w:val="none"/>
          <w:u w:val="single"/>
        </w:rPr>
      </w:pPr>
      <w:r>
        <w:rPr>
          <w:rFonts w:hint="eastAsia" w:hAnsi="宋体" w:cs="宋体"/>
          <w:color w:val="auto"/>
          <w:sz w:val="21"/>
          <w:highlight w:val="none"/>
        </w:rPr>
        <w:t xml:space="preserve">□采购结果   </w:t>
      </w:r>
    </w:p>
    <w:p w14:paraId="7D9CCC57">
      <w:pPr>
        <w:pStyle w:val="24"/>
        <w:spacing w:line="500" w:lineRule="exact"/>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三、质疑事项具体内容</w:t>
      </w:r>
    </w:p>
    <w:p w14:paraId="6769BF4E">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0D0C2D84">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1F4C6B23">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5A5E080C">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质疑事项2</w:t>
      </w:r>
    </w:p>
    <w:p w14:paraId="57A1A11C">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w:t>
      </w:r>
    </w:p>
    <w:p w14:paraId="2B2A7E6D">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四、与质疑事项相关的质疑请求：</w:t>
      </w:r>
    </w:p>
    <w:p w14:paraId="593F34E4">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324D9BFE">
      <w:pPr>
        <w:pStyle w:val="24"/>
        <w:spacing w:line="500" w:lineRule="exact"/>
        <w:ind w:left="25" w:leftChars="12" w:firstLine="308" w:firstLineChars="147"/>
        <w:rPr>
          <w:rFonts w:hint="eastAsia" w:hAnsi="宋体" w:cs="宋体"/>
          <w:color w:val="auto"/>
          <w:sz w:val="21"/>
          <w:highlight w:val="none"/>
        </w:rPr>
      </w:pPr>
    </w:p>
    <w:p w14:paraId="166AD078">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14:paraId="0BFE5072">
      <w:pPr>
        <w:pStyle w:val="24"/>
        <w:spacing w:line="500" w:lineRule="exact"/>
        <w:ind w:left="25" w:leftChars="12" w:firstLine="308" w:firstLineChars="147"/>
        <w:rPr>
          <w:rFonts w:hint="eastAsia" w:hAnsi="宋体" w:cs="宋体"/>
          <w:color w:val="auto"/>
          <w:sz w:val="21"/>
          <w:highlight w:val="none"/>
        </w:rPr>
      </w:pPr>
    </w:p>
    <w:p w14:paraId="11E81EBA">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14:paraId="2A0192DE">
      <w:pPr>
        <w:pStyle w:val="24"/>
        <w:snapToGrid w:val="0"/>
        <w:spacing w:line="500" w:lineRule="exact"/>
        <w:rPr>
          <w:rFonts w:hint="eastAsia" w:hAnsi="宋体" w:cs="宋体"/>
          <w:b/>
          <w:color w:val="auto"/>
          <w:sz w:val="21"/>
          <w:highlight w:val="none"/>
        </w:rPr>
      </w:pPr>
    </w:p>
    <w:p w14:paraId="6FA454A1">
      <w:pPr>
        <w:pStyle w:val="24"/>
        <w:snapToGrid w:val="0"/>
        <w:spacing w:line="500" w:lineRule="exact"/>
        <w:rPr>
          <w:rFonts w:hint="eastAsia" w:hAnsi="宋体" w:cs="宋体"/>
          <w:b/>
          <w:color w:val="auto"/>
          <w:sz w:val="21"/>
          <w:highlight w:val="none"/>
        </w:rPr>
      </w:pPr>
      <w:r>
        <w:rPr>
          <w:rFonts w:hint="eastAsia" w:hAnsi="宋体" w:cs="宋体"/>
          <w:b/>
          <w:color w:val="auto"/>
          <w:sz w:val="21"/>
          <w:highlight w:val="none"/>
        </w:rPr>
        <w:t>说明：</w:t>
      </w:r>
    </w:p>
    <w:p w14:paraId="3D49D902">
      <w:pPr>
        <w:pStyle w:val="24"/>
        <w:spacing w:line="500" w:lineRule="exact"/>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1E73123D">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A6082B">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1B8C9CD7">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4.质疑函的质疑请求应与质疑事项相关。</w:t>
      </w:r>
    </w:p>
    <w:p w14:paraId="194B8939">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1381A3C2">
      <w:pPr>
        <w:spacing w:line="460" w:lineRule="exact"/>
        <w:rPr>
          <w:rFonts w:hint="eastAsia" w:ascii="宋体" w:hAnsi="宋体" w:cs="宋体"/>
          <w:color w:val="auto"/>
          <w:szCs w:val="21"/>
          <w:highlight w:val="none"/>
        </w:rPr>
      </w:pPr>
    </w:p>
    <w:p w14:paraId="3D34BFEB">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.投诉书（格式）</w:t>
      </w:r>
    </w:p>
    <w:p w14:paraId="7A949132">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596EE17">
      <w:pPr>
        <w:pStyle w:val="24"/>
        <w:snapToGrid w:val="0"/>
        <w:spacing w:line="50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一、投诉相关主体基本情况：</w:t>
      </w:r>
    </w:p>
    <w:p w14:paraId="3F657A3B">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投标人：</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D577E95">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18CD7A7A">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14:paraId="39F8270B">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BC9F4FB">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B7D0F01">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48CB27B4">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1E3DC52B">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被投诉人1：</w:t>
      </w:r>
    </w:p>
    <w:p w14:paraId="1ED97689">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732051AE">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BA4C5B4">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1B7561F1">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被投诉人2：</w:t>
      </w:r>
    </w:p>
    <w:p w14:paraId="34E98DBC">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w:t>
      </w:r>
    </w:p>
    <w:p w14:paraId="70AECF88">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14:paraId="5ECC038C">
      <w:pPr>
        <w:pStyle w:val="24"/>
        <w:snapToGrid w:val="0"/>
        <w:spacing w:line="500" w:lineRule="exact"/>
        <w:ind w:firstLine="420" w:firstLineChars="200"/>
        <w:jc w:val="left"/>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6F8A5719">
      <w:pPr>
        <w:pStyle w:val="24"/>
        <w:snapToGrid w:val="0"/>
        <w:spacing w:line="500" w:lineRule="exact"/>
        <w:ind w:firstLine="420" w:firstLineChars="200"/>
        <w:jc w:val="left"/>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C3F9715">
      <w:pPr>
        <w:pStyle w:val="24"/>
        <w:snapToGrid w:val="0"/>
        <w:spacing w:line="50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二、投诉项目基本情况：</w:t>
      </w:r>
    </w:p>
    <w:p w14:paraId="20292937">
      <w:pPr>
        <w:pStyle w:val="24"/>
        <w:spacing w:line="500" w:lineRule="exact"/>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46E32714">
      <w:pPr>
        <w:pStyle w:val="24"/>
        <w:spacing w:line="500" w:lineRule="exact"/>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5ACB2340">
      <w:pPr>
        <w:pStyle w:val="24"/>
        <w:spacing w:line="500" w:lineRule="exact"/>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23392902">
      <w:pPr>
        <w:pStyle w:val="24"/>
        <w:spacing w:line="500" w:lineRule="exact"/>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14:paraId="53077CD9">
      <w:pPr>
        <w:pStyle w:val="24"/>
        <w:spacing w:line="500" w:lineRule="exact"/>
        <w:ind w:left="25" w:leftChars="12" w:firstLine="413" w:firstLineChars="197"/>
        <w:rPr>
          <w:rFonts w:hint="eastAsia"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051FC6A6">
      <w:pPr>
        <w:pStyle w:val="24"/>
        <w:spacing w:line="500" w:lineRule="exact"/>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78D6622A">
      <w:pPr>
        <w:pStyle w:val="24"/>
        <w:spacing w:line="500" w:lineRule="exact"/>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三、质疑基本情况</w:t>
      </w:r>
    </w:p>
    <w:p w14:paraId="12C94FED">
      <w:pPr>
        <w:pStyle w:val="24"/>
        <w:spacing w:line="500" w:lineRule="exact"/>
        <w:ind w:left="25" w:leftChars="12" w:firstLine="420" w:firstLineChars="200"/>
        <w:rPr>
          <w:rFonts w:hint="eastAsia"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14:paraId="39286FA1">
      <w:pPr>
        <w:pStyle w:val="24"/>
        <w:spacing w:line="500" w:lineRule="exact"/>
        <w:ind w:firstLine="241"/>
        <w:rPr>
          <w:rFonts w:hint="eastAsia"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1B06930B">
      <w:pPr>
        <w:pStyle w:val="24"/>
        <w:spacing w:line="500" w:lineRule="exact"/>
        <w:ind w:firstLine="241"/>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74DA0033">
      <w:pPr>
        <w:pStyle w:val="24"/>
        <w:spacing w:line="500" w:lineRule="exact"/>
        <w:ind w:firstLine="420" w:firstLineChars="200"/>
        <w:rPr>
          <w:rFonts w:hint="eastAsia"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14:paraId="79EC8628">
      <w:pPr>
        <w:pStyle w:val="24"/>
        <w:spacing w:line="500" w:lineRule="exact"/>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四、投诉事项具体内容</w:t>
      </w:r>
    </w:p>
    <w:p w14:paraId="7C8F5138">
      <w:pPr>
        <w:pStyle w:val="24"/>
        <w:spacing w:line="500" w:lineRule="exact"/>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14:paraId="37AC4F10">
      <w:pPr>
        <w:pStyle w:val="24"/>
        <w:spacing w:line="500" w:lineRule="exact"/>
        <w:ind w:firstLine="420" w:firstLineChars="200"/>
        <w:rPr>
          <w:rFonts w:hint="eastAsia"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16B2E261">
      <w:pPr>
        <w:pStyle w:val="24"/>
        <w:spacing w:line="500" w:lineRule="exact"/>
        <w:ind w:left="25" w:leftChars="12" w:firstLine="413" w:firstLineChars="197"/>
        <w:rPr>
          <w:rFonts w:hint="eastAsia" w:hAnsi="宋体" w:cs="宋体"/>
          <w:color w:val="auto"/>
          <w:sz w:val="21"/>
          <w:highlight w:val="none"/>
        </w:rPr>
      </w:pPr>
      <w:r>
        <w:rPr>
          <w:rFonts w:hint="eastAsia" w:hAnsi="宋体" w:cs="宋体"/>
          <w:bCs/>
          <w:color w:val="auto"/>
          <w:sz w:val="21"/>
          <w:highlight w:val="none"/>
          <w:u w:val="single"/>
        </w:rPr>
        <w:t xml:space="preserve">                                                                                        </w:t>
      </w:r>
    </w:p>
    <w:p w14:paraId="70AAFBC2">
      <w:pPr>
        <w:pStyle w:val="24"/>
        <w:spacing w:line="500" w:lineRule="exact"/>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2D72A762">
      <w:pPr>
        <w:pStyle w:val="24"/>
        <w:spacing w:line="500" w:lineRule="exact"/>
        <w:ind w:left="25" w:leftChars="12" w:firstLine="308" w:firstLineChars="147"/>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67DFBAC3">
      <w:pPr>
        <w:pStyle w:val="24"/>
        <w:spacing w:line="500" w:lineRule="exact"/>
        <w:ind w:left="25" w:leftChars="12" w:firstLine="413" w:firstLineChars="197"/>
        <w:rPr>
          <w:rFonts w:hint="eastAsia"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14:paraId="144337DE">
      <w:pPr>
        <w:pStyle w:val="24"/>
        <w:spacing w:line="500" w:lineRule="exact"/>
        <w:ind w:left="25" w:leftChars="12" w:firstLine="413" w:firstLineChars="197"/>
        <w:rPr>
          <w:rFonts w:hint="eastAsia" w:hAnsi="宋体" w:cs="宋体"/>
          <w:bCs/>
          <w:color w:val="auto"/>
          <w:sz w:val="21"/>
          <w:highlight w:val="none"/>
        </w:rPr>
      </w:pPr>
      <w:r>
        <w:rPr>
          <w:rFonts w:hint="eastAsia" w:hAnsi="宋体" w:cs="宋体"/>
          <w:bCs/>
          <w:color w:val="auto"/>
          <w:sz w:val="21"/>
          <w:highlight w:val="none"/>
        </w:rPr>
        <w:t>……</w:t>
      </w:r>
    </w:p>
    <w:p w14:paraId="793743FE">
      <w:pPr>
        <w:pStyle w:val="24"/>
        <w:spacing w:line="500" w:lineRule="exact"/>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五、与投诉事项相关的投诉请求：</w:t>
      </w:r>
    </w:p>
    <w:p w14:paraId="1AD57853">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73A6FCAD">
      <w:pPr>
        <w:pStyle w:val="24"/>
        <w:spacing w:line="500" w:lineRule="exact"/>
        <w:ind w:left="25" w:leftChars="12" w:firstLine="308" w:firstLineChars="147"/>
        <w:rPr>
          <w:rFonts w:hint="eastAsia" w:hAnsi="宋体" w:cs="宋体"/>
          <w:color w:val="auto"/>
          <w:sz w:val="21"/>
          <w:highlight w:val="none"/>
        </w:rPr>
      </w:pPr>
    </w:p>
    <w:p w14:paraId="7E4ABEA6">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14:paraId="16FB97B5">
      <w:pPr>
        <w:pStyle w:val="24"/>
        <w:spacing w:line="500" w:lineRule="exact"/>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14:paraId="1BE2834D">
      <w:pPr>
        <w:pStyle w:val="24"/>
        <w:spacing w:line="500" w:lineRule="exact"/>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 xml:space="preserve">                                                                                </w:t>
      </w:r>
      <w:r>
        <w:rPr>
          <w:rFonts w:hint="eastAsia" w:hAnsi="宋体" w:cs="宋体"/>
          <w:b/>
          <w:color w:val="auto"/>
          <w:sz w:val="21"/>
          <w:highlight w:val="none"/>
        </w:rPr>
        <w:t>说明：</w:t>
      </w:r>
    </w:p>
    <w:p w14:paraId="3CFD0C4B">
      <w:pPr>
        <w:pStyle w:val="24"/>
        <w:spacing w:line="500" w:lineRule="exact"/>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4DF5B95A">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255360">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3.投诉书应简要列明质疑事项，质疑函、质疑答复等</w:t>
      </w:r>
      <w:r>
        <w:rPr>
          <w:rFonts w:hint="eastAsia" w:hAnsi="宋体" w:cs="宋体"/>
          <w:b/>
          <w:color w:val="auto"/>
          <w:sz w:val="21"/>
          <w:highlight w:val="none"/>
          <w:lang w:eastAsia="zh-CN"/>
        </w:rPr>
        <w:t>做为</w:t>
      </w:r>
      <w:r>
        <w:rPr>
          <w:rFonts w:hint="eastAsia" w:hAnsi="宋体" w:cs="宋体"/>
          <w:b/>
          <w:color w:val="auto"/>
          <w:sz w:val="21"/>
          <w:highlight w:val="none"/>
        </w:rPr>
        <w:t>附件材料提供。</w:t>
      </w:r>
    </w:p>
    <w:p w14:paraId="2A942B0A">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1A711CB9">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5.投诉书的投诉请求应与投诉事项相关。</w:t>
      </w:r>
    </w:p>
    <w:p w14:paraId="211ADCD0">
      <w:pPr>
        <w:pStyle w:val="24"/>
        <w:spacing w:line="500" w:lineRule="exact"/>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sectPr>
      <w:footerReference r:id="rId33" w:type="first"/>
      <w:headerReference r:id="rId31" w:type="default"/>
      <w:footerReference r:id="rId32" w:type="default"/>
      <w:pgSz w:w="11906" w:h="16838"/>
      <w:pgMar w:top="1134" w:right="1188" w:bottom="1559" w:left="167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50E9657B-D8D1-4E64-A417-914E5ACC683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C42AC629-898E-4E64-86D4-6D91EAFB6056}"/>
  </w:font>
  <w:font w:name="Wingdings 2">
    <w:panose1 w:val="05020102010507070707"/>
    <w:charset w:val="02"/>
    <w:family w:val="auto"/>
    <w:pitch w:val="default"/>
    <w:sig w:usb0="00000000" w:usb1="00000000" w:usb2="00000000" w:usb3="00000000" w:csb0="80000000" w:csb1="00000000"/>
    <w:embedRegular r:id="rId3" w:fontKey="{EB46D917-069E-4D5D-8ABD-9FFDE36CB50F}"/>
  </w:font>
  <w:font w:name="WPSEMBED1">
    <w:panose1 w:val="02000000000000000000"/>
    <w:charset w:val="86"/>
    <w:family w:val="auto"/>
    <w:pitch w:val="default"/>
    <w:sig w:usb0="A00002BF" w:usb1="184F6CFA" w:usb2="00000012" w:usb3="00000000" w:csb0="00040001"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208FA">
    <w:pPr>
      <w:pStyle w:val="30"/>
      <w:jc w:val="center"/>
    </w:pPr>
  </w:p>
  <w:p w14:paraId="0AE3E780">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BD380">
    <w:pPr>
      <w:pStyle w:val="3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2722F">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352722F">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00163">
    <w:pPr>
      <w:pStyle w:val="3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E7DD7">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E3E7DD7">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185F495A">
    <w:pPr>
      <w:pStyle w:val="3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FEA4D">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9ACB7">
                          <w:pPr>
                            <w:pStyle w:val="3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489ACB7">
                    <w:pPr>
                      <w:pStyle w:val="3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09F29">
    <w:pPr>
      <w:pStyle w:val="3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D2CFF">
                          <w:pPr>
                            <w:pStyle w:val="3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0ED2CFF">
                    <w:pPr>
                      <w:pStyle w:val="30"/>
                    </w:pPr>
                    <w:r>
                      <w:fldChar w:fldCharType="begin"/>
                    </w:r>
                    <w:r>
                      <w:instrText xml:space="preserve"> PAGE  \* MERGEFORMAT </w:instrText>
                    </w:r>
                    <w:r>
                      <w:fldChar w:fldCharType="separate"/>
                    </w:r>
                    <w:r>
                      <w:t>54</w:t>
                    </w:r>
                    <w:r>
                      <w:fldChar w:fldCharType="end"/>
                    </w:r>
                  </w:p>
                </w:txbxContent>
              </v:textbox>
            </v:shape>
          </w:pict>
        </mc:Fallback>
      </mc:AlternateContent>
    </w:r>
  </w:p>
  <w:p w14:paraId="42EDFD4E">
    <w:pPr>
      <w:pStyle w:val="3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35292">
    <w:pPr>
      <w:pStyle w:val="30"/>
      <w:framePr w:wrap="around" w:vAnchor="text" w:hAnchor="margin" w:xAlign="center" w:y="1"/>
      <w:rPr>
        <w:rStyle w:val="51"/>
      </w:rPr>
    </w:pPr>
    <w:r>
      <w:fldChar w:fldCharType="begin"/>
    </w:r>
    <w:r>
      <w:rPr>
        <w:rStyle w:val="51"/>
      </w:rPr>
      <w:instrText xml:space="preserve">PAGE  </w:instrText>
    </w:r>
    <w:r>
      <w:fldChar w:fldCharType="end"/>
    </w:r>
  </w:p>
  <w:p w14:paraId="4F52D8A8">
    <w:pPr>
      <w:pStyle w:val="3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95C97">
    <w:pPr>
      <w:pStyle w:val="30"/>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173DD">
                          <w:pPr>
                            <w:pStyle w:val="3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DE173DD">
                    <w:pPr>
                      <w:pStyle w:val="3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4E001">
    <w:pPr>
      <w:spacing w:line="176"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D0524">
                          <w:pPr>
                            <w:pStyle w:val="30"/>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D2D0524">
                    <w:pPr>
                      <w:pStyle w:val="30"/>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24F2">
    <w:pPr>
      <w:spacing w:line="176"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E942B">
                          <w:pPr>
                            <w:pStyle w:val="30"/>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69E942B">
                    <w:pPr>
                      <w:pStyle w:val="30"/>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287E1">
    <w:pPr>
      <w:pStyle w:val="30"/>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035F1">
                          <w:pPr>
                            <w:pStyle w:val="30"/>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71035F1">
                    <w:pPr>
                      <w:pStyle w:val="30"/>
                    </w:pPr>
                    <w:r>
                      <w:fldChar w:fldCharType="begin"/>
                    </w:r>
                    <w:r>
                      <w:instrText xml:space="preserve"> PAGE  \* MERGEFORMAT </w:instrText>
                    </w:r>
                    <w:r>
                      <w:fldChar w:fldCharType="separate"/>
                    </w:r>
                    <w:r>
                      <w:t>141</w:t>
                    </w:r>
                    <w:r>
                      <w:fldChar w:fldCharType="end"/>
                    </w:r>
                  </w:p>
                </w:txbxContent>
              </v:textbox>
            </v:shape>
          </w:pict>
        </mc:Fallback>
      </mc:AlternateContent>
    </w:r>
  </w:p>
  <w:p w14:paraId="2D52EB22">
    <w:pPr>
      <w:pStyle w:val="3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E873B">
    <w:pPr>
      <w:pStyle w:val="30"/>
      <w:framePr w:wrap="around" w:vAnchor="text" w:hAnchor="margin" w:xAlign="center" w:y="1"/>
      <w:rPr>
        <w:rStyle w:val="51"/>
      </w:rPr>
    </w:pPr>
    <w:r>
      <w:fldChar w:fldCharType="begin"/>
    </w:r>
    <w:r>
      <w:rPr>
        <w:rStyle w:val="51"/>
      </w:rPr>
      <w:instrText xml:space="preserve">PAGE  </w:instrText>
    </w:r>
    <w:r>
      <w:fldChar w:fldCharType="end"/>
    </w:r>
  </w:p>
  <w:p w14:paraId="08B8D33F">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9EACC">
    <w:pPr>
      <w:pStyle w:val="30"/>
      <w:jc w:val="center"/>
    </w:pPr>
  </w:p>
  <w:p w14:paraId="4309B5F3">
    <w:pPr>
      <w:pStyle w:val="3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1BC1E">
    <w:pPr>
      <w:pStyle w:val="30"/>
      <w:framePr w:wrap="around" w:vAnchor="text" w:hAnchor="margin" w:xAlign="right" w:y="1"/>
      <w:rPr>
        <w:rStyle w:val="51"/>
      </w:rPr>
    </w:pPr>
    <w:r>
      <w:fldChar w:fldCharType="begin"/>
    </w:r>
    <w:r>
      <w:rPr>
        <w:rStyle w:val="51"/>
      </w:rPr>
      <w:instrText xml:space="preserve">PAGE  </w:instrText>
    </w:r>
    <w:r>
      <w:fldChar w:fldCharType="separate"/>
    </w:r>
    <w:r>
      <w:rPr>
        <w:rStyle w:val="51"/>
      </w:rPr>
      <w:t>122</w:t>
    </w:r>
    <w:r>
      <w:fldChar w:fldCharType="end"/>
    </w:r>
  </w:p>
  <w:p w14:paraId="0FE7A3F2">
    <w:pPr>
      <w:pStyle w:val="30"/>
      <w:ind w:right="360"/>
      <w:jc w:val="both"/>
      <w:rPr>
        <w:rFonts w:hint="eastAsia"/>
      </w:rPr>
    </w:pPr>
    <w:r>
      <w:rPr>
        <w:rFonts w:hint="eastAsia"/>
      </w:rPr>
      <w:t>121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6203">
    <w:pPr>
      <w:pStyle w:val="30"/>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AD6AF">
                          <w:pPr>
                            <w:pStyle w:val="30"/>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1EAD6AF">
                    <w:pPr>
                      <w:pStyle w:val="30"/>
                    </w:pPr>
                    <w:r>
                      <w:fldChar w:fldCharType="begin"/>
                    </w:r>
                    <w:r>
                      <w:instrText xml:space="preserve"> PAGE  \* MERGEFORMAT </w:instrText>
                    </w:r>
                    <w:r>
                      <w:fldChar w:fldCharType="separate"/>
                    </w:r>
                    <w:r>
                      <w:t>144</w:t>
                    </w:r>
                    <w:r>
                      <w:fldChar w:fldCharType="end"/>
                    </w:r>
                  </w:p>
                </w:txbxContent>
              </v:textbox>
            </v:shape>
          </w:pict>
        </mc:Fallback>
      </mc:AlternateContent>
    </w:r>
  </w:p>
  <w:p w14:paraId="78CEBE9D">
    <w:pPr>
      <w:pStyle w:val="3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90A9C">
    <w:pPr>
      <w:pStyle w:val="30"/>
      <w:ind w:right="360"/>
      <w:jc w:val="both"/>
      <w:rPr>
        <w:rFonts w:hint="eastAsi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3D83D">
                          <w:pPr>
                            <w:pStyle w:val="30"/>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D93D83D">
                    <w:pPr>
                      <w:pStyle w:val="30"/>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C29B9">
    <w:pPr>
      <w:pStyle w:val="3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CE795">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ECE795">
                    <w:pPr>
                      <w:pStyle w:val="30"/>
                    </w:pPr>
                    <w:r>
                      <w:fldChar w:fldCharType="begin"/>
                    </w:r>
                    <w:r>
                      <w:instrText xml:space="preserve"> PAGE  \* MERGEFORMAT </w:instrText>
                    </w:r>
                    <w:r>
                      <w:fldChar w:fldCharType="separate"/>
                    </w:r>
                    <w:r>
                      <w:t>2</w:t>
                    </w:r>
                    <w:r>
                      <w:fldChar w:fldCharType="end"/>
                    </w:r>
                  </w:p>
                </w:txbxContent>
              </v:textbox>
            </v:shape>
          </w:pict>
        </mc:Fallback>
      </mc:AlternateContent>
    </w:r>
  </w:p>
  <w:p w14:paraId="7961FA66">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9994">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8C3CA">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38C3CA">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111C92E8">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A0584">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9C95C">
                          <w:pPr>
                            <w:pStyle w:val="3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4A9C95C">
                    <w:pPr>
                      <w:pStyle w:val="30"/>
                    </w:pPr>
                    <w:r>
                      <w:fldChar w:fldCharType="begin"/>
                    </w:r>
                    <w:r>
                      <w:instrText xml:space="preserve"> PAGE  \* MERGEFORMAT </w:instrText>
                    </w:r>
                    <w:r>
                      <w:fldChar w:fldCharType="separate"/>
                    </w:r>
                    <w:r>
                      <w:t>7</w:t>
                    </w:r>
                    <w:r>
                      <w:fldChar w:fldCharType="end"/>
                    </w:r>
                  </w:p>
                </w:txbxContent>
              </v:textbox>
            </v:shape>
          </w:pict>
        </mc:Fallback>
      </mc:AlternateContent>
    </w:r>
  </w:p>
  <w:p w14:paraId="4E035AB4">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80461">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5527E">
    <w:pPr>
      <w:pStyle w:val="30"/>
      <w:jc w:val="cente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EE454">
                          <w:pPr>
                            <w:pStyle w:val="3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D6EE454">
                    <w:pPr>
                      <w:pStyle w:val="30"/>
                    </w:pPr>
                    <w:r>
                      <w:fldChar w:fldCharType="begin"/>
                    </w:r>
                    <w:r>
                      <w:instrText xml:space="preserve"> PAGE  \* MERGEFORMAT </w:instrText>
                    </w:r>
                    <w:r>
                      <w:fldChar w:fldCharType="separate"/>
                    </w:r>
                    <w:r>
                      <w:t>7</w:t>
                    </w:r>
                    <w:r>
                      <w:fldChar w:fldCharType="end"/>
                    </w:r>
                  </w:p>
                </w:txbxContent>
              </v:textbox>
            </v:shape>
          </w:pict>
        </mc:Fallback>
      </mc:AlternateContent>
    </w:r>
  </w:p>
  <w:p w14:paraId="27A09E92">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5B52E">
    <w:pPr>
      <w:pStyle w:val="3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0E17B">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9D0E17B">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C2FD8">
    <w:pPr>
      <w:pStyle w:val="30"/>
      <w:jc w:val="cente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AA807">
                          <w:pPr>
                            <w:pStyle w:val="3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72AA807">
                    <w:pPr>
                      <w:pStyle w:val="30"/>
                    </w:pPr>
                    <w:r>
                      <w:fldChar w:fldCharType="begin"/>
                    </w:r>
                    <w:r>
                      <w:instrText xml:space="preserve"> PAGE  \* MERGEFORMAT </w:instrText>
                    </w:r>
                    <w:r>
                      <w:fldChar w:fldCharType="separate"/>
                    </w:r>
                    <w:r>
                      <w:t>7</w:t>
                    </w:r>
                    <w:r>
                      <w:fldChar w:fldCharType="end"/>
                    </w:r>
                  </w:p>
                </w:txbxContent>
              </v:textbox>
            </v:shape>
          </w:pict>
        </mc:Fallback>
      </mc:AlternateContent>
    </w:r>
  </w:p>
  <w:p w14:paraId="5B57EDAD">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B0E4">
    <w:pPr>
      <w:pStyle w:val="31"/>
      <w:pBdr>
        <w:bottom w:val="none" w:color="auto" w:sz="0" w:space="1"/>
      </w:pBdr>
      <w:tabs>
        <w:tab w:val="left" w:pos="7380"/>
      </w:tabs>
      <w:jc w:val="left"/>
      <w:rPr>
        <w:rFonts w:hint="eastAsia" w:eastAsia="宋体"/>
        <w:lang w:eastAsia="zh-CN"/>
      </w:rPr>
    </w:pP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5552">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2A887">
    <w:pPr>
      <w:pStyle w:val="31"/>
      <w:pBdr>
        <w:bottom w:val="none" w:color="auto" w:sz="0" w:space="0"/>
      </w:pBdr>
      <w:tabs>
        <w:tab w:val="center" w:pos="4153"/>
        <w:tab w:val="right" w:pos="8306"/>
        <w:tab w:val="clear" w:pos="0"/>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82A5F">
    <w:pPr>
      <w:pStyle w:val="3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68AA7">
    <w:pPr>
      <w:pStyle w:val="31"/>
      <w:pBdr>
        <w:bottom w:val="none" w:color="auto" w:sz="0" w:space="0"/>
      </w:pBdr>
      <w:tabs>
        <w:tab w:val="center" w:pos="4153"/>
        <w:tab w:val="right" w:pos="8306"/>
        <w:tab w:val="clear" w:pos="0"/>
      </w:tabs>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68FF1">
    <w:pPr>
      <w:pStyle w:val="31"/>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94957">
    <w:pPr>
      <w:pStyle w:val="3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F2B2C">
    <w:pPr>
      <w:pStyle w:val="31"/>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58872">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E5B82"/>
    <w:multiLevelType w:val="singleLevel"/>
    <w:tmpl w:val="808E5B82"/>
    <w:lvl w:ilvl="0" w:tentative="0">
      <w:start w:val="1"/>
      <w:numFmt w:val="chineseCounting"/>
      <w:suff w:val="space"/>
      <w:lvlText w:val="第%1条"/>
      <w:lvlJc w:val="left"/>
      <w:rPr>
        <w:rFonts w:hint="eastAsia"/>
      </w:rPr>
    </w:lvl>
  </w:abstractNum>
  <w:abstractNum w:abstractNumId="1">
    <w:nsid w:val="8E8B93A5"/>
    <w:multiLevelType w:val="singleLevel"/>
    <w:tmpl w:val="8E8B93A5"/>
    <w:lvl w:ilvl="0" w:tentative="0">
      <w:start w:val="7"/>
      <w:numFmt w:val="decimal"/>
      <w:lvlText w:val="%1."/>
      <w:lvlJc w:val="left"/>
      <w:pPr>
        <w:tabs>
          <w:tab w:val="left" w:pos="312"/>
        </w:tabs>
      </w:pPr>
    </w:lvl>
  </w:abstractNum>
  <w:abstractNum w:abstractNumId="2">
    <w:nsid w:val="9E3B5846"/>
    <w:multiLevelType w:val="singleLevel"/>
    <w:tmpl w:val="9E3B5846"/>
    <w:lvl w:ilvl="0" w:tentative="0">
      <w:start w:val="1"/>
      <w:numFmt w:val="chineseCounting"/>
      <w:pStyle w:val="181"/>
      <w:suff w:val="nothing"/>
      <w:lvlText w:val="（%1）"/>
      <w:lvlJc w:val="left"/>
      <w:pPr>
        <w:ind w:left="0" w:firstLine="420"/>
      </w:pPr>
      <w:rPr>
        <w:rFonts w:hint="eastAsia"/>
      </w:rPr>
    </w:lvl>
  </w:abstractNum>
  <w:abstractNum w:abstractNumId="3">
    <w:nsid w:val="FFFFC735"/>
    <w:multiLevelType w:val="singleLevel"/>
    <w:tmpl w:val="FFFFC735"/>
    <w:lvl w:ilvl="0" w:tentative="0">
      <w:start w:val="2"/>
      <w:numFmt w:val="chineseCounting"/>
      <w:suff w:val="nothing"/>
      <w:lvlText w:val="%1、"/>
      <w:lvlJc w:val="left"/>
      <w:rPr>
        <w:rFonts w:hint="eastAsia"/>
      </w:rPr>
    </w:lvl>
  </w:abstractNum>
  <w:abstractNum w:abstractNumId="4">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5">
    <w:nsid w:val="20A179A4"/>
    <w:multiLevelType w:val="singleLevel"/>
    <w:tmpl w:val="20A179A4"/>
    <w:lvl w:ilvl="0" w:tentative="0">
      <w:start w:val="1"/>
      <w:numFmt w:val="chineseCounting"/>
      <w:suff w:val="space"/>
      <w:lvlText w:val="第%1章"/>
      <w:lvlJc w:val="left"/>
      <w:rPr>
        <w:rFonts w:hint="eastAsia"/>
      </w:rPr>
    </w:lvl>
  </w:abstractNum>
  <w:abstractNum w:abstractNumId="6">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7">
    <w:nsid w:val="4C601917"/>
    <w:multiLevelType w:val="singleLevel"/>
    <w:tmpl w:val="4C601917"/>
    <w:lvl w:ilvl="0" w:tentative="0">
      <w:start w:val="1"/>
      <w:numFmt w:val="decimal"/>
      <w:suff w:val="nothing"/>
      <w:lvlText w:val="（%1）"/>
      <w:lvlJc w:val="left"/>
    </w:lvl>
  </w:abstractNum>
  <w:abstractNum w:abstractNumId="8">
    <w:nsid w:val="4E8EC754"/>
    <w:multiLevelType w:val="singleLevel"/>
    <w:tmpl w:val="4E8EC754"/>
    <w:lvl w:ilvl="0" w:tentative="0">
      <w:start w:val="4"/>
      <w:numFmt w:val="chineseCounting"/>
      <w:suff w:val="nothing"/>
      <w:lvlText w:val="%1、"/>
      <w:lvlJc w:val="left"/>
      <w:rPr>
        <w:rFonts w:hint="eastAsia"/>
      </w:rPr>
    </w:lvl>
  </w:abstractNum>
  <w:abstractNum w:abstractNumId="9">
    <w:nsid w:val="5FABD14B"/>
    <w:multiLevelType w:val="singleLevel"/>
    <w:tmpl w:val="5FABD14B"/>
    <w:lvl w:ilvl="0" w:tentative="0">
      <w:start w:val="1"/>
      <w:numFmt w:val="decimal"/>
      <w:suff w:val="nothing"/>
      <w:lvlText w:val="（%1）"/>
      <w:lvlJc w:val="left"/>
    </w:lvl>
  </w:abstractNum>
  <w:abstractNum w:abstractNumId="10">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CEA2025"/>
    <w:multiLevelType w:val="multilevel"/>
    <w:tmpl w:val="6CEA2025"/>
    <w:lvl w:ilvl="0" w:tentative="0">
      <w:start w:val="1"/>
      <w:numFmt w:val="none"/>
      <w:pStyle w:val="183"/>
      <w:suff w:val="nothing"/>
      <w:lvlText w:val="%1"/>
      <w:lvlJc w:val="left"/>
      <w:pPr>
        <w:ind w:left="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6"/>
  </w:num>
  <w:num w:numId="2">
    <w:abstractNumId w:val="4"/>
  </w:num>
  <w:num w:numId="3">
    <w:abstractNumId w:val="2"/>
  </w:num>
  <w:num w:numId="4">
    <w:abstractNumId w:val="11"/>
  </w:num>
  <w:num w:numId="5">
    <w:abstractNumId w:val="5"/>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MjAyYTFiMTIxNzNlNDZmYjRjYWVlNzljOTNiYTgifQ=="/>
  </w:docVars>
  <w:rsids>
    <w:rsidRoot w:val="00172A27"/>
    <w:rsid w:val="0000010C"/>
    <w:rsid w:val="00000404"/>
    <w:rsid w:val="00000557"/>
    <w:rsid w:val="00000D21"/>
    <w:rsid w:val="00000FE0"/>
    <w:rsid w:val="00001068"/>
    <w:rsid w:val="0000114A"/>
    <w:rsid w:val="00001731"/>
    <w:rsid w:val="00001C2D"/>
    <w:rsid w:val="00001C55"/>
    <w:rsid w:val="00001CA8"/>
    <w:rsid w:val="00001FAE"/>
    <w:rsid w:val="00002291"/>
    <w:rsid w:val="00002644"/>
    <w:rsid w:val="000026FD"/>
    <w:rsid w:val="00002DBF"/>
    <w:rsid w:val="00002EC0"/>
    <w:rsid w:val="00003224"/>
    <w:rsid w:val="000033F5"/>
    <w:rsid w:val="000034EA"/>
    <w:rsid w:val="0000358C"/>
    <w:rsid w:val="00003BEF"/>
    <w:rsid w:val="00004130"/>
    <w:rsid w:val="0000431F"/>
    <w:rsid w:val="00004634"/>
    <w:rsid w:val="00004D8B"/>
    <w:rsid w:val="000059E2"/>
    <w:rsid w:val="00006AE7"/>
    <w:rsid w:val="00006B9B"/>
    <w:rsid w:val="00006C35"/>
    <w:rsid w:val="000072B1"/>
    <w:rsid w:val="00007329"/>
    <w:rsid w:val="00007E28"/>
    <w:rsid w:val="00007E84"/>
    <w:rsid w:val="00010401"/>
    <w:rsid w:val="000105A1"/>
    <w:rsid w:val="000107AD"/>
    <w:rsid w:val="00010835"/>
    <w:rsid w:val="00010E02"/>
    <w:rsid w:val="00011842"/>
    <w:rsid w:val="00012137"/>
    <w:rsid w:val="000121EE"/>
    <w:rsid w:val="000121FF"/>
    <w:rsid w:val="000125B8"/>
    <w:rsid w:val="00012692"/>
    <w:rsid w:val="00012A35"/>
    <w:rsid w:val="00012EC8"/>
    <w:rsid w:val="00013446"/>
    <w:rsid w:val="00013509"/>
    <w:rsid w:val="000135BC"/>
    <w:rsid w:val="000135DC"/>
    <w:rsid w:val="000136D6"/>
    <w:rsid w:val="00013979"/>
    <w:rsid w:val="00014085"/>
    <w:rsid w:val="00014B4C"/>
    <w:rsid w:val="00014DD9"/>
    <w:rsid w:val="000151E4"/>
    <w:rsid w:val="000153D8"/>
    <w:rsid w:val="00015577"/>
    <w:rsid w:val="000156E4"/>
    <w:rsid w:val="000159A7"/>
    <w:rsid w:val="00015FB8"/>
    <w:rsid w:val="0001609F"/>
    <w:rsid w:val="0001635B"/>
    <w:rsid w:val="00016549"/>
    <w:rsid w:val="00016BF7"/>
    <w:rsid w:val="00016D20"/>
    <w:rsid w:val="0001767E"/>
    <w:rsid w:val="0001776D"/>
    <w:rsid w:val="00017C00"/>
    <w:rsid w:val="00017F31"/>
    <w:rsid w:val="00020607"/>
    <w:rsid w:val="0002103A"/>
    <w:rsid w:val="000217E4"/>
    <w:rsid w:val="00021852"/>
    <w:rsid w:val="00021A12"/>
    <w:rsid w:val="00022622"/>
    <w:rsid w:val="00023363"/>
    <w:rsid w:val="000235F3"/>
    <w:rsid w:val="00023644"/>
    <w:rsid w:val="00023712"/>
    <w:rsid w:val="0002476C"/>
    <w:rsid w:val="00024E3C"/>
    <w:rsid w:val="00024EB0"/>
    <w:rsid w:val="0002529E"/>
    <w:rsid w:val="00025A93"/>
    <w:rsid w:val="0002646A"/>
    <w:rsid w:val="0002651D"/>
    <w:rsid w:val="00026CFD"/>
    <w:rsid w:val="000279F9"/>
    <w:rsid w:val="00027A11"/>
    <w:rsid w:val="00027C8B"/>
    <w:rsid w:val="00027CD9"/>
    <w:rsid w:val="00030242"/>
    <w:rsid w:val="00030B06"/>
    <w:rsid w:val="0003183A"/>
    <w:rsid w:val="00031CDC"/>
    <w:rsid w:val="00031DC8"/>
    <w:rsid w:val="0003263B"/>
    <w:rsid w:val="0003282C"/>
    <w:rsid w:val="0003304A"/>
    <w:rsid w:val="0003317E"/>
    <w:rsid w:val="00033413"/>
    <w:rsid w:val="000337F3"/>
    <w:rsid w:val="00034C27"/>
    <w:rsid w:val="00034E2A"/>
    <w:rsid w:val="0003577F"/>
    <w:rsid w:val="00035822"/>
    <w:rsid w:val="000361E7"/>
    <w:rsid w:val="00036466"/>
    <w:rsid w:val="0003675E"/>
    <w:rsid w:val="00036A0D"/>
    <w:rsid w:val="00037633"/>
    <w:rsid w:val="00037E9E"/>
    <w:rsid w:val="00037F87"/>
    <w:rsid w:val="00037FA2"/>
    <w:rsid w:val="000400D0"/>
    <w:rsid w:val="0004044E"/>
    <w:rsid w:val="000425AC"/>
    <w:rsid w:val="00042CA7"/>
    <w:rsid w:val="00042F4A"/>
    <w:rsid w:val="00043BE5"/>
    <w:rsid w:val="00043E93"/>
    <w:rsid w:val="00044003"/>
    <w:rsid w:val="00044527"/>
    <w:rsid w:val="0004469E"/>
    <w:rsid w:val="00044897"/>
    <w:rsid w:val="00044ACF"/>
    <w:rsid w:val="00044D83"/>
    <w:rsid w:val="00044E06"/>
    <w:rsid w:val="000454F4"/>
    <w:rsid w:val="00045670"/>
    <w:rsid w:val="00045D1E"/>
    <w:rsid w:val="00045E69"/>
    <w:rsid w:val="00045EF4"/>
    <w:rsid w:val="00046547"/>
    <w:rsid w:val="000466D7"/>
    <w:rsid w:val="00046753"/>
    <w:rsid w:val="00046D4C"/>
    <w:rsid w:val="00047254"/>
    <w:rsid w:val="000472FD"/>
    <w:rsid w:val="0005022B"/>
    <w:rsid w:val="00050771"/>
    <w:rsid w:val="000513F3"/>
    <w:rsid w:val="000517EE"/>
    <w:rsid w:val="00052287"/>
    <w:rsid w:val="000522E0"/>
    <w:rsid w:val="00052609"/>
    <w:rsid w:val="000532F4"/>
    <w:rsid w:val="000536AE"/>
    <w:rsid w:val="00054CD5"/>
    <w:rsid w:val="00054D03"/>
    <w:rsid w:val="000550AC"/>
    <w:rsid w:val="00055302"/>
    <w:rsid w:val="0005580E"/>
    <w:rsid w:val="0005584D"/>
    <w:rsid w:val="00055CC3"/>
    <w:rsid w:val="00055CEE"/>
    <w:rsid w:val="000566FA"/>
    <w:rsid w:val="00056A2B"/>
    <w:rsid w:val="00056E37"/>
    <w:rsid w:val="00056EE2"/>
    <w:rsid w:val="00056FE2"/>
    <w:rsid w:val="000570FB"/>
    <w:rsid w:val="000575B8"/>
    <w:rsid w:val="00057AB2"/>
    <w:rsid w:val="00060131"/>
    <w:rsid w:val="0006026B"/>
    <w:rsid w:val="00060293"/>
    <w:rsid w:val="00061BDA"/>
    <w:rsid w:val="000621FE"/>
    <w:rsid w:val="00062B90"/>
    <w:rsid w:val="00062C70"/>
    <w:rsid w:val="00062DD0"/>
    <w:rsid w:val="00062E6F"/>
    <w:rsid w:val="000630C7"/>
    <w:rsid w:val="0006400F"/>
    <w:rsid w:val="000643DA"/>
    <w:rsid w:val="000645DD"/>
    <w:rsid w:val="00064D7E"/>
    <w:rsid w:val="00064F65"/>
    <w:rsid w:val="00064FD0"/>
    <w:rsid w:val="0006533C"/>
    <w:rsid w:val="0006534A"/>
    <w:rsid w:val="00065A5D"/>
    <w:rsid w:val="00065BA2"/>
    <w:rsid w:val="000661CA"/>
    <w:rsid w:val="0006668D"/>
    <w:rsid w:val="00066F2B"/>
    <w:rsid w:val="00067002"/>
    <w:rsid w:val="0006710A"/>
    <w:rsid w:val="00067993"/>
    <w:rsid w:val="00067B1C"/>
    <w:rsid w:val="00067CED"/>
    <w:rsid w:val="00067D39"/>
    <w:rsid w:val="00067F66"/>
    <w:rsid w:val="0007041A"/>
    <w:rsid w:val="00070634"/>
    <w:rsid w:val="00070883"/>
    <w:rsid w:val="00070C3F"/>
    <w:rsid w:val="0007102C"/>
    <w:rsid w:val="00071D68"/>
    <w:rsid w:val="00071FCE"/>
    <w:rsid w:val="00072661"/>
    <w:rsid w:val="00072CCC"/>
    <w:rsid w:val="00073549"/>
    <w:rsid w:val="00073A58"/>
    <w:rsid w:val="0007483E"/>
    <w:rsid w:val="000751DB"/>
    <w:rsid w:val="0007578F"/>
    <w:rsid w:val="000759A3"/>
    <w:rsid w:val="00075E43"/>
    <w:rsid w:val="00077706"/>
    <w:rsid w:val="00077878"/>
    <w:rsid w:val="0007792A"/>
    <w:rsid w:val="00077D13"/>
    <w:rsid w:val="00077DE2"/>
    <w:rsid w:val="000804EF"/>
    <w:rsid w:val="00080558"/>
    <w:rsid w:val="00081230"/>
    <w:rsid w:val="000814E2"/>
    <w:rsid w:val="000818C9"/>
    <w:rsid w:val="00081CBB"/>
    <w:rsid w:val="00081D42"/>
    <w:rsid w:val="000822EF"/>
    <w:rsid w:val="0008241E"/>
    <w:rsid w:val="000826F5"/>
    <w:rsid w:val="000829B1"/>
    <w:rsid w:val="00082AAB"/>
    <w:rsid w:val="00082AE5"/>
    <w:rsid w:val="0008307D"/>
    <w:rsid w:val="000831E9"/>
    <w:rsid w:val="00083288"/>
    <w:rsid w:val="000833BB"/>
    <w:rsid w:val="00083CA1"/>
    <w:rsid w:val="0008452D"/>
    <w:rsid w:val="0008467B"/>
    <w:rsid w:val="000846E2"/>
    <w:rsid w:val="000850FA"/>
    <w:rsid w:val="00085C12"/>
    <w:rsid w:val="00085DA0"/>
    <w:rsid w:val="00085F82"/>
    <w:rsid w:val="00086506"/>
    <w:rsid w:val="00086B6E"/>
    <w:rsid w:val="00086C64"/>
    <w:rsid w:val="0008781A"/>
    <w:rsid w:val="00090951"/>
    <w:rsid w:val="00090A61"/>
    <w:rsid w:val="00090DE6"/>
    <w:rsid w:val="000918F5"/>
    <w:rsid w:val="000919B5"/>
    <w:rsid w:val="00091C1D"/>
    <w:rsid w:val="00091E08"/>
    <w:rsid w:val="00091E29"/>
    <w:rsid w:val="000922D8"/>
    <w:rsid w:val="000926A3"/>
    <w:rsid w:val="000932E7"/>
    <w:rsid w:val="0009333A"/>
    <w:rsid w:val="00093459"/>
    <w:rsid w:val="00093B8B"/>
    <w:rsid w:val="0009424E"/>
    <w:rsid w:val="000951E7"/>
    <w:rsid w:val="00095B82"/>
    <w:rsid w:val="00096098"/>
    <w:rsid w:val="000961C5"/>
    <w:rsid w:val="000968AF"/>
    <w:rsid w:val="000969D9"/>
    <w:rsid w:val="00096F37"/>
    <w:rsid w:val="00097FE5"/>
    <w:rsid w:val="000A0354"/>
    <w:rsid w:val="000A091F"/>
    <w:rsid w:val="000A0958"/>
    <w:rsid w:val="000A0FCC"/>
    <w:rsid w:val="000A1033"/>
    <w:rsid w:val="000A2712"/>
    <w:rsid w:val="000A2877"/>
    <w:rsid w:val="000A2D31"/>
    <w:rsid w:val="000A2FDE"/>
    <w:rsid w:val="000A355D"/>
    <w:rsid w:val="000A35DA"/>
    <w:rsid w:val="000A3604"/>
    <w:rsid w:val="000A371E"/>
    <w:rsid w:val="000A3DE5"/>
    <w:rsid w:val="000A4011"/>
    <w:rsid w:val="000A4397"/>
    <w:rsid w:val="000A45D5"/>
    <w:rsid w:val="000A490E"/>
    <w:rsid w:val="000A50D7"/>
    <w:rsid w:val="000A53D1"/>
    <w:rsid w:val="000A5B49"/>
    <w:rsid w:val="000A5FE5"/>
    <w:rsid w:val="000A6236"/>
    <w:rsid w:val="000A688F"/>
    <w:rsid w:val="000A7218"/>
    <w:rsid w:val="000A740A"/>
    <w:rsid w:val="000A7446"/>
    <w:rsid w:val="000A7A56"/>
    <w:rsid w:val="000A7E7F"/>
    <w:rsid w:val="000A7ECD"/>
    <w:rsid w:val="000B04DD"/>
    <w:rsid w:val="000B0F01"/>
    <w:rsid w:val="000B1346"/>
    <w:rsid w:val="000B1795"/>
    <w:rsid w:val="000B1914"/>
    <w:rsid w:val="000B19DC"/>
    <w:rsid w:val="000B1CA2"/>
    <w:rsid w:val="000B202E"/>
    <w:rsid w:val="000B2293"/>
    <w:rsid w:val="000B24A4"/>
    <w:rsid w:val="000B255A"/>
    <w:rsid w:val="000B255C"/>
    <w:rsid w:val="000B290B"/>
    <w:rsid w:val="000B292B"/>
    <w:rsid w:val="000B3431"/>
    <w:rsid w:val="000B395E"/>
    <w:rsid w:val="000B39C3"/>
    <w:rsid w:val="000B3A00"/>
    <w:rsid w:val="000B3BFD"/>
    <w:rsid w:val="000B4840"/>
    <w:rsid w:val="000B4D79"/>
    <w:rsid w:val="000B5627"/>
    <w:rsid w:val="000B5671"/>
    <w:rsid w:val="000B6BF0"/>
    <w:rsid w:val="000B6CE8"/>
    <w:rsid w:val="000B7DAF"/>
    <w:rsid w:val="000C01A9"/>
    <w:rsid w:val="000C071C"/>
    <w:rsid w:val="000C0BB4"/>
    <w:rsid w:val="000C0BEE"/>
    <w:rsid w:val="000C1CB9"/>
    <w:rsid w:val="000C2159"/>
    <w:rsid w:val="000C21BB"/>
    <w:rsid w:val="000C289B"/>
    <w:rsid w:val="000C34B8"/>
    <w:rsid w:val="000C3F01"/>
    <w:rsid w:val="000C420D"/>
    <w:rsid w:val="000C4773"/>
    <w:rsid w:val="000C4944"/>
    <w:rsid w:val="000C4E24"/>
    <w:rsid w:val="000C4F7B"/>
    <w:rsid w:val="000C5C4A"/>
    <w:rsid w:val="000C5F01"/>
    <w:rsid w:val="000C63C4"/>
    <w:rsid w:val="000C66C1"/>
    <w:rsid w:val="000C6F0B"/>
    <w:rsid w:val="000C6F32"/>
    <w:rsid w:val="000C708E"/>
    <w:rsid w:val="000C778C"/>
    <w:rsid w:val="000C7833"/>
    <w:rsid w:val="000C7DFB"/>
    <w:rsid w:val="000C7E1B"/>
    <w:rsid w:val="000C7E73"/>
    <w:rsid w:val="000D001B"/>
    <w:rsid w:val="000D0A45"/>
    <w:rsid w:val="000D136E"/>
    <w:rsid w:val="000D14AC"/>
    <w:rsid w:val="000D15BA"/>
    <w:rsid w:val="000D28A4"/>
    <w:rsid w:val="000D2C9B"/>
    <w:rsid w:val="000D34A2"/>
    <w:rsid w:val="000D35FD"/>
    <w:rsid w:val="000D3D2D"/>
    <w:rsid w:val="000D3D99"/>
    <w:rsid w:val="000D45C9"/>
    <w:rsid w:val="000D4653"/>
    <w:rsid w:val="000D4696"/>
    <w:rsid w:val="000D4817"/>
    <w:rsid w:val="000D4FB9"/>
    <w:rsid w:val="000D54B4"/>
    <w:rsid w:val="000D54F8"/>
    <w:rsid w:val="000D584B"/>
    <w:rsid w:val="000D5F55"/>
    <w:rsid w:val="000D6372"/>
    <w:rsid w:val="000D6979"/>
    <w:rsid w:val="000D6CE7"/>
    <w:rsid w:val="000D6E38"/>
    <w:rsid w:val="000D6E63"/>
    <w:rsid w:val="000D711C"/>
    <w:rsid w:val="000D7B6E"/>
    <w:rsid w:val="000E042A"/>
    <w:rsid w:val="000E0644"/>
    <w:rsid w:val="000E076D"/>
    <w:rsid w:val="000E0CD2"/>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58B4"/>
    <w:rsid w:val="000E65D2"/>
    <w:rsid w:val="000E6919"/>
    <w:rsid w:val="000E6B1B"/>
    <w:rsid w:val="000E6F0C"/>
    <w:rsid w:val="000E732D"/>
    <w:rsid w:val="000E7AC1"/>
    <w:rsid w:val="000F07ED"/>
    <w:rsid w:val="000F0CF2"/>
    <w:rsid w:val="000F14F6"/>
    <w:rsid w:val="000F1A32"/>
    <w:rsid w:val="000F1CC2"/>
    <w:rsid w:val="000F1D15"/>
    <w:rsid w:val="000F270A"/>
    <w:rsid w:val="000F34C8"/>
    <w:rsid w:val="000F38BC"/>
    <w:rsid w:val="000F3E2A"/>
    <w:rsid w:val="000F4D26"/>
    <w:rsid w:val="000F5639"/>
    <w:rsid w:val="000F58A4"/>
    <w:rsid w:val="000F6833"/>
    <w:rsid w:val="000F6A24"/>
    <w:rsid w:val="000F7616"/>
    <w:rsid w:val="000F7DE9"/>
    <w:rsid w:val="000F7F7A"/>
    <w:rsid w:val="0010004B"/>
    <w:rsid w:val="001002F4"/>
    <w:rsid w:val="001005B4"/>
    <w:rsid w:val="001011FC"/>
    <w:rsid w:val="0010165F"/>
    <w:rsid w:val="001018C1"/>
    <w:rsid w:val="00101E7C"/>
    <w:rsid w:val="00102260"/>
    <w:rsid w:val="001023DC"/>
    <w:rsid w:val="0010256D"/>
    <w:rsid w:val="00102572"/>
    <w:rsid w:val="00102946"/>
    <w:rsid w:val="00102FBF"/>
    <w:rsid w:val="0010333D"/>
    <w:rsid w:val="0010372A"/>
    <w:rsid w:val="00103F41"/>
    <w:rsid w:val="00104E77"/>
    <w:rsid w:val="00104F34"/>
    <w:rsid w:val="00104F3E"/>
    <w:rsid w:val="001053C5"/>
    <w:rsid w:val="001055AD"/>
    <w:rsid w:val="00105C14"/>
    <w:rsid w:val="001065A3"/>
    <w:rsid w:val="0010691D"/>
    <w:rsid w:val="00106B33"/>
    <w:rsid w:val="00106B9C"/>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394B"/>
    <w:rsid w:val="00113CEE"/>
    <w:rsid w:val="00114058"/>
    <w:rsid w:val="00114342"/>
    <w:rsid w:val="0011449E"/>
    <w:rsid w:val="001153EF"/>
    <w:rsid w:val="00115D55"/>
    <w:rsid w:val="00115E45"/>
    <w:rsid w:val="00115F85"/>
    <w:rsid w:val="00115FD1"/>
    <w:rsid w:val="001165CC"/>
    <w:rsid w:val="0011688E"/>
    <w:rsid w:val="00116ACD"/>
    <w:rsid w:val="00117B7D"/>
    <w:rsid w:val="001205A8"/>
    <w:rsid w:val="00120948"/>
    <w:rsid w:val="0012180B"/>
    <w:rsid w:val="00122074"/>
    <w:rsid w:val="00122A64"/>
    <w:rsid w:val="00123641"/>
    <w:rsid w:val="0012388A"/>
    <w:rsid w:val="0012388C"/>
    <w:rsid w:val="00123AFA"/>
    <w:rsid w:val="00123C8C"/>
    <w:rsid w:val="00123D68"/>
    <w:rsid w:val="00123DAE"/>
    <w:rsid w:val="00123E8B"/>
    <w:rsid w:val="00124B43"/>
    <w:rsid w:val="00124DF8"/>
    <w:rsid w:val="001253EA"/>
    <w:rsid w:val="00125434"/>
    <w:rsid w:val="00125B99"/>
    <w:rsid w:val="00126160"/>
    <w:rsid w:val="00126DB5"/>
    <w:rsid w:val="00127178"/>
    <w:rsid w:val="00127D2B"/>
    <w:rsid w:val="00127F09"/>
    <w:rsid w:val="0013002A"/>
    <w:rsid w:val="001304F1"/>
    <w:rsid w:val="0013085D"/>
    <w:rsid w:val="0013089C"/>
    <w:rsid w:val="001308E5"/>
    <w:rsid w:val="00130A2D"/>
    <w:rsid w:val="00130F54"/>
    <w:rsid w:val="00131888"/>
    <w:rsid w:val="00131E0E"/>
    <w:rsid w:val="00131F17"/>
    <w:rsid w:val="001323F9"/>
    <w:rsid w:val="0013251F"/>
    <w:rsid w:val="00132FA3"/>
    <w:rsid w:val="00133088"/>
    <w:rsid w:val="00133346"/>
    <w:rsid w:val="001335B1"/>
    <w:rsid w:val="0013372D"/>
    <w:rsid w:val="00133733"/>
    <w:rsid w:val="00133B4E"/>
    <w:rsid w:val="00133D47"/>
    <w:rsid w:val="001346AF"/>
    <w:rsid w:val="00134990"/>
    <w:rsid w:val="00134AD9"/>
    <w:rsid w:val="00135416"/>
    <w:rsid w:val="001354D1"/>
    <w:rsid w:val="001355E7"/>
    <w:rsid w:val="00135A0A"/>
    <w:rsid w:val="00135BB9"/>
    <w:rsid w:val="0013621D"/>
    <w:rsid w:val="00136354"/>
    <w:rsid w:val="00136674"/>
    <w:rsid w:val="00136B0E"/>
    <w:rsid w:val="00136C3B"/>
    <w:rsid w:val="00137103"/>
    <w:rsid w:val="001376AB"/>
    <w:rsid w:val="0013777C"/>
    <w:rsid w:val="00137D5F"/>
    <w:rsid w:val="00140082"/>
    <w:rsid w:val="00140175"/>
    <w:rsid w:val="00140757"/>
    <w:rsid w:val="00140B62"/>
    <w:rsid w:val="00140D07"/>
    <w:rsid w:val="00141A3A"/>
    <w:rsid w:val="001422F4"/>
    <w:rsid w:val="001423FA"/>
    <w:rsid w:val="001427B5"/>
    <w:rsid w:val="001428CF"/>
    <w:rsid w:val="00142D0C"/>
    <w:rsid w:val="00142E3C"/>
    <w:rsid w:val="00144013"/>
    <w:rsid w:val="001454B8"/>
    <w:rsid w:val="00145A17"/>
    <w:rsid w:val="00145BBE"/>
    <w:rsid w:val="00145D7F"/>
    <w:rsid w:val="001460B5"/>
    <w:rsid w:val="0014641F"/>
    <w:rsid w:val="001464A8"/>
    <w:rsid w:val="00146618"/>
    <w:rsid w:val="001467BB"/>
    <w:rsid w:val="00146AB3"/>
    <w:rsid w:val="00146CA8"/>
    <w:rsid w:val="001472A5"/>
    <w:rsid w:val="00147884"/>
    <w:rsid w:val="00150669"/>
    <w:rsid w:val="00150827"/>
    <w:rsid w:val="00150B0D"/>
    <w:rsid w:val="00151CE3"/>
    <w:rsid w:val="00151E31"/>
    <w:rsid w:val="00151F9B"/>
    <w:rsid w:val="00152095"/>
    <w:rsid w:val="00152184"/>
    <w:rsid w:val="00152289"/>
    <w:rsid w:val="00152425"/>
    <w:rsid w:val="001527C8"/>
    <w:rsid w:val="00152BAD"/>
    <w:rsid w:val="00152CE3"/>
    <w:rsid w:val="0015346C"/>
    <w:rsid w:val="00153652"/>
    <w:rsid w:val="00153697"/>
    <w:rsid w:val="00153956"/>
    <w:rsid w:val="00153B95"/>
    <w:rsid w:val="00154146"/>
    <w:rsid w:val="00154190"/>
    <w:rsid w:val="001545EA"/>
    <w:rsid w:val="001549BA"/>
    <w:rsid w:val="00154FFC"/>
    <w:rsid w:val="00155099"/>
    <w:rsid w:val="001553F5"/>
    <w:rsid w:val="00155C85"/>
    <w:rsid w:val="00156A6C"/>
    <w:rsid w:val="00156B10"/>
    <w:rsid w:val="00157823"/>
    <w:rsid w:val="0015790D"/>
    <w:rsid w:val="00157C5E"/>
    <w:rsid w:val="0016015A"/>
    <w:rsid w:val="0016020E"/>
    <w:rsid w:val="00160503"/>
    <w:rsid w:val="00160701"/>
    <w:rsid w:val="00160D7C"/>
    <w:rsid w:val="00160E30"/>
    <w:rsid w:val="0016106D"/>
    <w:rsid w:val="001612E1"/>
    <w:rsid w:val="001614DB"/>
    <w:rsid w:val="0016194E"/>
    <w:rsid w:val="0016236C"/>
    <w:rsid w:val="00162625"/>
    <w:rsid w:val="001626D1"/>
    <w:rsid w:val="001630A8"/>
    <w:rsid w:val="001634C7"/>
    <w:rsid w:val="00163826"/>
    <w:rsid w:val="00163943"/>
    <w:rsid w:val="00163BA1"/>
    <w:rsid w:val="00163F22"/>
    <w:rsid w:val="0016417B"/>
    <w:rsid w:val="0016470E"/>
    <w:rsid w:val="00164E0A"/>
    <w:rsid w:val="0016520F"/>
    <w:rsid w:val="001652D7"/>
    <w:rsid w:val="00165300"/>
    <w:rsid w:val="0016596E"/>
    <w:rsid w:val="00165A5F"/>
    <w:rsid w:val="00166223"/>
    <w:rsid w:val="00166492"/>
    <w:rsid w:val="001670D8"/>
    <w:rsid w:val="0016793E"/>
    <w:rsid w:val="00167D4D"/>
    <w:rsid w:val="00170635"/>
    <w:rsid w:val="0017070D"/>
    <w:rsid w:val="00170837"/>
    <w:rsid w:val="00171035"/>
    <w:rsid w:val="001713B7"/>
    <w:rsid w:val="00171ADB"/>
    <w:rsid w:val="00172029"/>
    <w:rsid w:val="001733A4"/>
    <w:rsid w:val="00173AB9"/>
    <w:rsid w:val="00173EED"/>
    <w:rsid w:val="00174368"/>
    <w:rsid w:val="001744EA"/>
    <w:rsid w:val="00174D82"/>
    <w:rsid w:val="00174E44"/>
    <w:rsid w:val="00175053"/>
    <w:rsid w:val="001753B7"/>
    <w:rsid w:val="001757E7"/>
    <w:rsid w:val="00175873"/>
    <w:rsid w:val="0017592E"/>
    <w:rsid w:val="00175C59"/>
    <w:rsid w:val="001760BC"/>
    <w:rsid w:val="00176674"/>
    <w:rsid w:val="00176818"/>
    <w:rsid w:val="00176B82"/>
    <w:rsid w:val="00176E3B"/>
    <w:rsid w:val="00176ECB"/>
    <w:rsid w:val="0017716E"/>
    <w:rsid w:val="0017752D"/>
    <w:rsid w:val="0017759F"/>
    <w:rsid w:val="00177832"/>
    <w:rsid w:val="00177D48"/>
    <w:rsid w:val="00181178"/>
    <w:rsid w:val="0018119E"/>
    <w:rsid w:val="00181EEF"/>
    <w:rsid w:val="00181F3E"/>
    <w:rsid w:val="00182FE0"/>
    <w:rsid w:val="00183911"/>
    <w:rsid w:val="001845FB"/>
    <w:rsid w:val="0018466F"/>
    <w:rsid w:val="00184CDD"/>
    <w:rsid w:val="00184DAB"/>
    <w:rsid w:val="00185490"/>
    <w:rsid w:val="00185DA6"/>
    <w:rsid w:val="00185F64"/>
    <w:rsid w:val="00186096"/>
    <w:rsid w:val="00186F7C"/>
    <w:rsid w:val="0018772E"/>
    <w:rsid w:val="00187A94"/>
    <w:rsid w:val="0019029E"/>
    <w:rsid w:val="00190329"/>
    <w:rsid w:val="00190804"/>
    <w:rsid w:val="0019088F"/>
    <w:rsid w:val="00190C51"/>
    <w:rsid w:val="00190F99"/>
    <w:rsid w:val="0019159A"/>
    <w:rsid w:val="00192FA5"/>
    <w:rsid w:val="0019336B"/>
    <w:rsid w:val="001939A6"/>
    <w:rsid w:val="00193ACC"/>
    <w:rsid w:val="00193BFE"/>
    <w:rsid w:val="00194E7E"/>
    <w:rsid w:val="00195322"/>
    <w:rsid w:val="0019560E"/>
    <w:rsid w:val="00195702"/>
    <w:rsid w:val="001958E3"/>
    <w:rsid w:val="0019601B"/>
    <w:rsid w:val="00196048"/>
    <w:rsid w:val="00196A82"/>
    <w:rsid w:val="0019769B"/>
    <w:rsid w:val="00197FFE"/>
    <w:rsid w:val="001A0D25"/>
    <w:rsid w:val="001A1570"/>
    <w:rsid w:val="001A1917"/>
    <w:rsid w:val="001A1C64"/>
    <w:rsid w:val="001A1E7F"/>
    <w:rsid w:val="001A228D"/>
    <w:rsid w:val="001A2918"/>
    <w:rsid w:val="001A2D02"/>
    <w:rsid w:val="001A2DFE"/>
    <w:rsid w:val="001A3076"/>
    <w:rsid w:val="001A3120"/>
    <w:rsid w:val="001A31A5"/>
    <w:rsid w:val="001A389C"/>
    <w:rsid w:val="001A3B75"/>
    <w:rsid w:val="001A46FB"/>
    <w:rsid w:val="001A5944"/>
    <w:rsid w:val="001A5FB1"/>
    <w:rsid w:val="001A698A"/>
    <w:rsid w:val="001A6CCC"/>
    <w:rsid w:val="001A70C8"/>
    <w:rsid w:val="001A71C9"/>
    <w:rsid w:val="001A7429"/>
    <w:rsid w:val="001A760C"/>
    <w:rsid w:val="001A78AD"/>
    <w:rsid w:val="001A799B"/>
    <w:rsid w:val="001A7AC7"/>
    <w:rsid w:val="001A7C38"/>
    <w:rsid w:val="001B02F8"/>
    <w:rsid w:val="001B2104"/>
    <w:rsid w:val="001B2279"/>
    <w:rsid w:val="001B2729"/>
    <w:rsid w:val="001B2866"/>
    <w:rsid w:val="001B2881"/>
    <w:rsid w:val="001B34A3"/>
    <w:rsid w:val="001B3675"/>
    <w:rsid w:val="001B37C8"/>
    <w:rsid w:val="001B4B2C"/>
    <w:rsid w:val="001B4F10"/>
    <w:rsid w:val="001B5026"/>
    <w:rsid w:val="001B5154"/>
    <w:rsid w:val="001B5B75"/>
    <w:rsid w:val="001B62DD"/>
    <w:rsid w:val="001B6E30"/>
    <w:rsid w:val="001B7ADF"/>
    <w:rsid w:val="001B7C83"/>
    <w:rsid w:val="001B7F9E"/>
    <w:rsid w:val="001C0206"/>
    <w:rsid w:val="001C0246"/>
    <w:rsid w:val="001C049E"/>
    <w:rsid w:val="001C04D4"/>
    <w:rsid w:val="001C0B34"/>
    <w:rsid w:val="001C12A3"/>
    <w:rsid w:val="001C17BB"/>
    <w:rsid w:val="001C187E"/>
    <w:rsid w:val="001C1A37"/>
    <w:rsid w:val="001C1C49"/>
    <w:rsid w:val="001C286F"/>
    <w:rsid w:val="001C2B86"/>
    <w:rsid w:val="001C2F54"/>
    <w:rsid w:val="001C2FBE"/>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6FBC"/>
    <w:rsid w:val="001C7155"/>
    <w:rsid w:val="001C71D9"/>
    <w:rsid w:val="001C7597"/>
    <w:rsid w:val="001C7E48"/>
    <w:rsid w:val="001D039B"/>
    <w:rsid w:val="001D1258"/>
    <w:rsid w:val="001D14AB"/>
    <w:rsid w:val="001D1AB8"/>
    <w:rsid w:val="001D286F"/>
    <w:rsid w:val="001D2C94"/>
    <w:rsid w:val="001D33D9"/>
    <w:rsid w:val="001D36F6"/>
    <w:rsid w:val="001D3D5F"/>
    <w:rsid w:val="001D4303"/>
    <w:rsid w:val="001D4571"/>
    <w:rsid w:val="001D45E5"/>
    <w:rsid w:val="001D461A"/>
    <w:rsid w:val="001D4A9D"/>
    <w:rsid w:val="001D4AAD"/>
    <w:rsid w:val="001D5AFA"/>
    <w:rsid w:val="001D7177"/>
    <w:rsid w:val="001D756E"/>
    <w:rsid w:val="001D784A"/>
    <w:rsid w:val="001E04A4"/>
    <w:rsid w:val="001E04EE"/>
    <w:rsid w:val="001E07C5"/>
    <w:rsid w:val="001E176D"/>
    <w:rsid w:val="001E1BCE"/>
    <w:rsid w:val="001E1E05"/>
    <w:rsid w:val="001E2086"/>
    <w:rsid w:val="001E259C"/>
    <w:rsid w:val="001E339F"/>
    <w:rsid w:val="001E3629"/>
    <w:rsid w:val="001E3B2C"/>
    <w:rsid w:val="001E40F0"/>
    <w:rsid w:val="001E4172"/>
    <w:rsid w:val="001E4AC7"/>
    <w:rsid w:val="001E5490"/>
    <w:rsid w:val="001E5513"/>
    <w:rsid w:val="001E5730"/>
    <w:rsid w:val="001E5E2E"/>
    <w:rsid w:val="001E6352"/>
    <w:rsid w:val="001E70AD"/>
    <w:rsid w:val="001E7237"/>
    <w:rsid w:val="001E7AF6"/>
    <w:rsid w:val="001E7FBF"/>
    <w:rsid w:val="001F01B8"/>
    <w:rsid w:val="001F0FC3"/>
    <w:rsid w:val="001F1188"/>
    <w:rsid w:val="001F1B8D"/>
    <w:rsid w:val="001F274F"/>
    <w:rsid w:val="001F289C"/>
    <w:rsid w:val="001F2BF9"/>
    <w:rsid w:val="001F2F86"/>
    <w:rsid w:val="001F317D"/>
    <w:rsid w:val="001F32B0"/>
    <w:rsid w:val="001F32B3"/>
    <w:rsid w:val="001F3AF2"/>
    <w:rsid w:val="001F6008"/>
    <w:rsid w:val="001F641B"/>
    <w:rsid w:val="001F6C19"/>
    <w:rsid w:val="001F6D4D"/>
    <w:rsid w:val="001F7C00"/>
    <w:rsid w:val="0020042C"/>
    <w:rsid w:val="002009A3"/>
    <w:rsid w:val="00200F1A"/>
    <w:rsid w:val="0020130D"/>
    <w:rsid w:val="00201D06"/>
    <w:rsid w:val="00201E9F"/>
    <w:rsid w:val="002026B9"/>
    <w:rsid w:val="00202790"/>
    <w:rsid w:val="00202F25"/>
    <w:rsid w:val="002035B3"/>
    <w:rsid w:val="00203929"/>
    <w:rsid w:val="00203CD6"/>
    <w:rsid w:val="00203F0A"/>
    <w:rsid w:val="00204460"/>
    <w:rsid w:val="002047E7"/>
    <w:rsid w:val="002051EA"/>
    <w:rsid w:val="00205CBC"/>
    <w:rsid w:val="00205E9E"/>
    <w:rsid w:val="00206259"/>
    <w:rsid w:val="00206CE5"/>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D1C"/>
    <w:rsid w:val="00220E53"/>
    <w:rsid w:val="0022176C"/>
    <w:rsid w:val="002217F3"/>
    <w:rsid w:val="002225D1"/>
    <w:rsid w:val="002230FA"/>
    <w:rsid w:val="002235D9"/>
    <w:rsid w:val="00223AB9"/>
    <w:rsid w:val="00223DF2"/>
    <w:rsid w:val="00224737"/>
    <w:rsid w:val="00224C0C"/>
    <w:rsid w:val="00225132"/>
    <w:rsid w:val="00225323"/>
    <w:rsid w:val="002256C2"/>
    <w:rsid w:val="002256D0"/>
    <w:rsid w:val="00225C8E"/>
    <w:rsid w:val="00226428"/>
    <w:rsid w:val="002265A9"/>
    <w:rsid w:val="002266CB"/>
    <w:rsid w:val="00226777"/>
    <w:rsid w:val="0022701E"/>
    <w:rsid w:val="00227052"/>
    <w:rsid w:val="002272D5"/>
    <w:rsid w:val="0022738E"/>
    <w:rsid w:val="00227906"/>
    <w:rsid w:val="00227934"/>
    <w:rsid w:val="00227E21"/>
    <w:rsid w:val="00230178"/>
    <w:rsid w:val="00231D05"/>
    <w:rsid w:val="002336E2"/>
    <w:rsid w:val="00233AC2"/>
    <w:rsid w:val="00233BAF"/>
    <w:rsid w:val="00233BE1"/>
    <w:rsid w:val="002340E1"/>
    <w:rsid w:val="00235420"/>
    <w:rsid w:val="002356A5"/>
    <w:rsid w:val="00235DAA"/>
    <w:rsid w:val="0024065B"/>
    <w:rsid w:val="002409A6"/>
    <w:rsid w:val="00240EA5"/>
    <w:rsid w:val="00241132"/>
    <w:rsid w:val="00241205"/>
    <w:rsid w:val="002418C5"/>
    <w:rsid w:val="002419ED"/>
    <w:rsid w:val="0024261D"/>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100"/>
    <w:rsid w:val="00250A1F"/>
    <w:rsid w:val="00250ADA"/>
    <w:rsid w:val="00250F1D"/>
    <w:rsid w:val="0025194E"/>
    <w:rsid w:val="00251FF1"/>
    <w:rsid w:val="002520BA"/>
    <w:rsid w:val="00252234"/>
    <w:rsid w:val="002527AF"/>
    <w:rsid w:val="002528E3"/>
    <w:rsid w:val="00252944"/>
    <w:rsid w:val="00252D55"/>
    <w:rsid w:val="00252D82"/>
    <w:rsid w:val="00253006"/>
    <w:rsid w:val="002533F5"/>
    <w:rsid w:val="002538CE"/>
    <w:rsid w:val="00253C60"/>
    <w:rsid w:val="00253F21"/>
    <w:rsid w:val="0025429D"/>
    <w:rsid w:val="002549E9"/>
    <w:rsid w:val="00254FF6"/>
    <w:rsid w:val="00255099"/>
    <w:rsid w:val="002555C6"/>
    <w:rsid w:val="00255E14"/>
    <w:rsid w:val="0025615C"/>
    <w:rsid w:val="00257059"/>
    <w:rsid w:val="0025712F"/>
    <w:rsid w:val="00257395"/>
    <w:rsid w:val="00257857"/>
    <w:rsid w:val="002578DA"/>
    <w:rsid w:val="00257CBC"/>
    <w:rsid w:val="002602C2"/>
    <w:rsid w:val="002602DA"/>
    <w:rsid w:val="0026040B"/>
    <w:rsid w:val="002607CC"/>
    <w:rsid w:val="00260802"/>
    <w:rsid w:val="002609E3"/>
    <w:rsid w:val="00261223"/>
    <w:rsid w:val="002617AB"/>
    <w:rsid w:val="00261D08"/>
    <w:rsid w:val="00261DCC"/>
    <w:rsid w:val="002624D0"/>
    <w:rsid w:val="00263AE7"/>
    <w:rsid w:val="00263EC7"/>
    <w:rsid w:val="00264441"/>
    <w:rsid w:val="0026491B"/>
    <w:rsid w:val="00264A36"/>
    <w:rsid w:val="00264B06"/>
    <w:rsid w:val="00264C1B"/>
    <w:rsid w:val="00265DDC"/>
    <w:rsid w:val="00265E2E"/>
    <w:rsid w:val="002661AB"/>
    <w:rsid w:val="002668DB"/>
    <w:rsid w:val="00266E4B"/>
    <w:rsid w:val="00266F4B"/>
    <w:rsid w:val="0026742B"/>
    <w:rsid w:val="002674FE"/>
    <w:rsid w:val="00270748"/>
    <w:rsid w:val="00270FC0"/>
    <w:rsid w:val="0027105A"/>
    <w:rsid w:val="0027117F"/>
    <w:rsid w:val="00271283"/>
    <w:rsid w:val="002712DC"/>
    <w:rsid w:val="00271875"/>
    <w:rsid w:val="002718FF"/>
    <w:rsid w:val="00271955"/>
    <w:rsid w:val="00271AE5"/>
    <w:rsid w:val="00272278"/>
    <w:rsid w:val="00272432"/>
    <w:rsid w:val="00272633"/>
    <w:rsid w:val="00272CAB"/>
    <w:rsid w:val="00272FBF"/>
    <w:rsid w:val="0027394E"/>
    <w:rsid w:val="00273A10"/>
    <w:rsid w:val="00273A58"/>
    <w:rsid w:val="00273FBB"/>
    <w:rsid w:val="00274CAB"/>
    <w:rsid w:val="00274E8A"/>
    <w:rsid w:val="0027507D"/>
    <w:rsid w:val="00275FCE"/>
    <w:rsid w:val="002766B8"/>
    <w:rsid w:val="0027680F"/>
    <w:rsid w:val="00281006"/>
    <w:rsid w:val="002815B1"/>
    <w:rsid w:val="00281A3D"/>
    <w:rsid w:val="00281C1F"/>
    <w:rsid w:val="00281EEA"/>
    <w:rsid w:val="00281F88"/>
    <w:rsid w:val="0028288D"/>
    <w:rsid w:val="002829B7"/>
    <w:rsid w:val="00282B82"/>
    <w:rsid w:val="00282C74"/>
    <w:rsid w:val="00282E5B"/>
    <w:rsid w:val="00282F51"/>
    <w:rsid w:val="00283995"/>
    <w:rsid w:val="00283B11"/>
    <w:rsid w:val="002841A9"/>
    <w:rsid w:val="00284313"/>
    <w:rsid w:val="002848AD"/>
    <w:rsid w:val="00284A5E"/>
    <w:rsid w:val="00285154"/>
    <w:rsid w:val="00285BF2"/>
    <w:rsid w:val="00285C78"/>
    <w:rsid w:val="002863CE"/>
    <w:rsid w:val="002868CF"/>
    <w:rsid w:val="0028702A"/>
    <w:rsid w:val="0028732A"/>
    <w:rsid w:val="00290F01"/>
    <w:rsid w:val="00291035"/>
    <w:rsid w:val="00291492"/>
    <w:rsid w:val="00291527"/>
    <w:rsid w:val="0029199A"/>
    <w:rsid w:val="00291BBE"/>
    <w:rsid w:val="00291FEB"/>
    <w:rsid w:val="002920B3"/>
    <w:rsid w:val="00293146"/>
    <w:rsid w:val="0029361E"/>
    <w:rsid w:val="00293D68"/>
    <w:rsid w:val="0029431E"/>
    <w:rsid w:val="00294352"/>
    <w:rsid w:val="002944A0"/>
    <w:rsid w:val="002946E4"/>
    <w:rsid w:val="0029495C"/>
    <w:rsid w:val="00294CEE"/>
    <w:rsid w:val="002957D9"/>
    <w:rsid w:val="00295B52"/>
    <w:rsid w:val="00296024"/>
    <w:rsid w:val="00296293"/>
    <w:rsid w:val="0029686F"/>
    <w:rsid w:val="00296AF7"/>
    <w:rsid w:val="00296D3A"/>
    <w:rsid w:val="002972F9"/>
    <w:rsid w:val="002977CA"/>
    <w:rsid w:val="0029787F"/>
    <w:rsid w:val="00297DC9"/>
    <w:rsid w:val="00297ED7"/>
    <w:rsid w:val="002A0007"/>
    <w:rsid w:val="002A0320"/>
    <w:rsid w:val="002A03AA"/>
    <w:rsid w:val="002A056D"/>
    <w:rsid w:val="002A0649"/>
    <w:rsid w:val="002A07FE"/>
    <w:rsid w:val="002A094D"/>
    <w:rsid w:val="002A0AF6"/>
    <w:rsid w:val="002A0CAF"/>
    <w:rsid w:val="002A1565"/>
    <w:rsid w:val="002A16A9"/>
    <w:rsid w:val="002A2941"/>
    <w:rsid w:val="002A2DC4"/>
    <w:rsid w:val="002A32DA"/>
    <w:rsid w:val="002A3E69"/>
    <w:rsid w:val="002A41F7"/>
    <w:rsid w:val="002A44F9"/>
    <w:rsid w:val="002A46D1"/>
    <w:rsid w:val="002A49EF"/>
    <w:rsid w:val="002A4B8B"/>
    <w:rsid w:val="002A4C3D"/>
    <w:rsid w:val="002A5107"/>
    <w:rsid w:val="002A535E"/>
    <w:rsid w:val="002A54F4"/>
    <w:rsid w:val="002A5D2E"/>
    <w:rsid w:val="002A6406"/>
    <w:rsid w:val="002A6AD0"/>
    <w:rsid w:val="002A6CF0"/>
    <w:rsid w:val="002A6FFC"/>
    <w:rsid w:val="002A7010"/>
    <w:rsid w:val="002A70BA"/>
    <w:rsid w:val="002A7A57"/>
    <w:rsid w:val="002A7BB2"/>
    <w:rsid w:val="002A7DCB"/>
    <w:rsid w:val="002B0B53"/>
    <w:rsid w:val="002B0E40"/>
    <w:rsid w:val="002B1617"/>
    <w:rsid w:val="002B194B"/>
    <w:rsid w:val="002B1D11"/>
    <w:rsid w:val="002B226B"/>
    <w:rsid w:val="002B273B"/>
    <w:rsid w:val="002B29AA"/>
    <w:rsid w:val="002B2A7E"/>
    <w:rsid w:val="002B2F1B"/>
    <w:rsid w:val="002B3268"/>
    <w:rsid w:val="002B4A32"/>
    <w:rsid w:val="002B4C6B"/>
    <w:rsid w:val="002B5AFB"/>
    <w:rsid w:val="002B6320"/>
    <w:rsid w:val="002B66AC"/>
    <w:rsid w:val="002B6852"/>
    <w:rsid w:val="002B77E1"/>
    <w:rsid w:val="002C0714"/>
    <w:rsid w:val="002C0A96"/>
    <w:rsid w:val="002C10A8"/>
    <w:rsid w:val="002C1A81"/>
    <w:rsid w:val="002C1BF4"/>
    <w:rsid w:val="002C1E0D"/>
    <w:rsid w:val="002C2266"/>
    <w:rsid w:val="002C2309"/>
    <w:rsid w:val="002C24D1"/>
    <w:rsid w:val="002C28EB"/>
    <w:rsid w:val="002C3265"/>
    <w:rsid w:val="002C3666"/>
    <w:rsid w:val="002C3AED"/>
    <w:rsid w:val="002C3E56"/>
    <w:rsid w:val="002C414C"/>
    <w:rsid w:val="002C4C2F"/>
    <w:rsid w:val="002C5776"/>
    <w:rsid w:val="002C5CD6"/>
    <w:rsid w:val="002C5EED"/>
    <w:rsid w:val="002C66DE"/>
    <w:rsid w:val="002C693A"/>
    <w:rsid w:val="002C7193"/>
    <w:rsid w:val="002C7699"/>
    <w:rsid w:val="002C7A49"/>
    <w:rsid w:val="002C7B1A"/>
    <w:rsid w:val="002D0128"/>
    <w:rsid w:val="002D0E85"/>
    <w:rsid w:val="002D0FA7"/>
    <w:rsid w:val="002D12FB"/>
    <w:rsid w:val="002D1306"/>
    <w:rsid w:val="002D19D1"/>
    <w:rsid w:val="002D1F35"/>
    <w:rsid w:val="002D1FA3"/>
    <w:rsid w:val="002D20CD"/>
    <w:rsid w:val="002D23C6"/>
    <w:rsid w:val="002D24F0"/>
    <w:rsid w:val="002D25EB"/>
    <w:rsid w:val="002D29F3"/>
    <w:rsid w:val="002D3126"/>
    <w:rsid w:val="002D3529"/>
    <w:rsid w:val="002D3D0A"/>
    <w:rsid w:val="002D478E"/>
    <w:rsid w:val="002D47AE"/>
    <w:rsid w:val="002D4A94"/>
    <w:rsid w:val="002D5CBF"/>
    <w:rsid w:val="002D65FF"/>
    <w:rsid w:val="002D6D10"/>
    <w:rsid w:val="002D71E2"/>
    <w:rsid w:val="002D7367"/>
    <w:rsid w:val="002D7488"/>
    <w:rsid w:val="002D7961"/>
    <w:rsid w:val="002D7B6A"/>
    <w:rsid w:val="002D7E36"/>
    <w:rsid w:val="002E0026"/>
    <w:rsid w:val="002E08E8"/>
    <w:rsid w:val="002E0918"/>
    <w:rsid w:val="002E0BAA"/>
    <w:rsid w:val="002E0D96"/>
    <w:rsid w:val="002E0EA5"/>
    <w:rsid w:val="002E1E19"/>
    <w:rsid w:val="002E283F"/>
    <w:rsid w:val="002E2854"/>
    <w:rsid w:val="002E2E74"/>
    <w:rsid w:val="002E3193"/>
    <w:rsid w:val="002E32D2"/>
    <w:rsid w:val="002E361B"/>
    <w:rsid w:val="002E37AB"/>
    <w:rsid w:val="002E3A80"/>
    <w:rsid w:val="002E41C7"/>
    <w:rsid w:val="002E51DF"/>
    <w:rsid w:val="002E555B"/>
    <w:rsid w:val="002E57B9"/>
    <w:rsid w:val="002E608E"/>
    <w:rsid w:val="002E6127"/>
    <w:rsid w:val="002E6885"/>
    <w:rsid w:val="002E6E81"/>
    <w:rsid w:val="002E72E4"/>
    <w:rsid w:val="002E739D"/>
    <w:rsid w:val="002F0F36"/>
    <w:rsid w:val="002F1276"/>
    <w:rsid w:val="002F1986"/>
    <w:rsid w:val="002F1E5F"/>
    <w:rsid w:val="002F2A49"/>
    <w:rsid w:val="002F3438"/>
    <w:rsid w:val="002F3550"/>
    <w:rsid w:val="002F3B63"/>
    <w:rsid w:val="002F3C56"/>
    <w:rsid w:val="002F46B0"/>
    <w:rsid w:val="002F4B17"/>
    <w:rsid w:val="002F5150"/>
    <w:rsid w:val="002F5463"/>
    <w:rsid w:val="002F57FF"/>
    <w:rsid w:val="002F58C2"/>
    <w:rsid w:val="002F5932"/>
    <w:rsid w:val="002F5C85"/>
    <w:rsid w:val="002F603B"/>
    <w:rsid w:val="002F6201"/>
    <w:rsid w:val="002F6884"/>
    <w:rsid w:val="002F6A2B"/>
    <w:rsid w:val="002F6CB1"/>
    <w:rsid w:val="002F724B"/>
    <w:rsid w:val="002F72BA"/>
    <w:rsid w:val="00300267"/>
    <w:rsid w:val="003004D2"/>
    <w:rsid w:val="00300674"/>
    <w:rsid w:val="00300C88"/>
    <w:rsid w:val="00300D6B"/>
    <w:rsid w:val="00301380"/>
    <w:rsid w:val="00301E89"/>
    <w:rsid w:val="00302052"/>
    <w:rsid w:val="00302142"/>
    <w:rsid w:val="00302169"/>
    <w:rsid w:val="00302612"/>
    <w:rsid w:val="00303254"/>
    <w:rsid w:val="00303B08"/>
    <w:rsid w:val="0030408D"/>
    <w:rsid w:val="003042A4"/>
    <w:rsid w:val="003044D9"/>
    <w:rsid w:val="00304D8A"/>
    <w:rsid w:val="00305216"/>
    <w:rsid w:val="0030555B"/>
    <w:rsid w:val="00305BFD"/>
    <w:rsid w:val="003061F5"/>
    <w:rsid w:val="00306D27"/>
    <w:rsid w:val="0030739C"/>
    <w:rsid w:val="00310D51"/>
    <w:rsid w:val="00311B36"/>
    <w:rsid w:val="00311C92"/>
    <w:rsid w:val="00312FF9"/>
    <w:rsid w:val="003130E6"/>
    <w:rsid w:val="003133AE"/>
    <w:rsid w:val="00313414"/>
    <w:rsid w:val="0031371B"/>
    <w:rsid w:val="00313F2D"/>
    <w:rsid w:val="00314156"/>
    <w:rsid w:val="00315081"/>
    <w:rsid w:val="0031535B"/>
    <w:rsid w:val="003170F4"/>
    <w:rsid w:val="0031750F"/>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AA0"/>
    <w:rsid w:val="00324B25"/>
    <w:rsid w:val="0032522F"/>
    <w:rsid w:val="003253C4"/>
    <w:rsid w:val="0032550F"/>
    <w:rsid w:val="00325992"/>
    <w:rsid w:val="00325B74"/>
    <w:rsid w:val="0032638F"/>
    <w:rsid w:val="00326B59"/>
    <w:rsid w:val="003272C6"/>
    <w:rsid w:val="0032746C"/>
    <w:rsid w:val="00327752"/>
    <w:rsid w:val="00327963"/>
    <w:rsid w:val="00327C7C"/>
    <w:rsid w:val="00330009"/>
    <w:rsid w:val="003301E6"/>
    <w:rsid w:val="003310AB"/>
    <w:rsid w:val="003314D2"/>
    <w:rsid w:val="00331712"/>
    <w:rsid w:val="00331A3F"/>
    <w:rsid w:val="00332191"/>
    <w:rsid w:val="00332720"/>
    <w:rsid w:val="00332EED"/>
    <w:rsid w:val="003334A7"/>
    <w:rsid w:val="003337E8"/>
    <w:rsid w:val="00333A14"/>
    <w:rsid w:val="00333B2A"/>
    <w:rsid w:val="00333FD5"/>
    <w:rsid w:val="003350E9"/>
    <w:rsid w:val="003351BA"/>
    <w:rsid w:val="0033520F"/>
    <w:rsid w:val="00335519"/>
    <w:rsid w:val="0033596B"/>
    <w:rsid w:val="00335A93"/>
    <w:rsid w:val="003364FF"/>
    <w:rsid w:val="0033650E"/>
    <w:rsid w:val="003366EF"/>
    <w:rsid w:val="00336907"/>
    <w:rsid w:val="003369DF"/>
    <w:rsid w:val="00336C71"/>
    <w:rsid w:val="00336D96"/>
    <w:rsid w:val="00336DFC"/>
    <w:rsid w:val="00337230"/>
    <w:rsid w:val="00337588"/>
    <w:rsid w:val="003377D0"/>
    <w:rsid w:val="00337ABB"/>
    <w:rsid w:val="00337D75"/>
    <w:rsid w:val="00340020"/>
    <w:rsid w:val="003400F2"/>
    <w:rsid w:val="0034081A"/>
    <w:rsid w:val="00341162"/>
    <w:rsid w:val="00341866"/>
    <w:rsid w:val="00341DAF"/>
    <w:rsid w:val="00342181"/>
    <w:rsid w:val="00342C02"/>
    <w:rsid w:val="0034339B"/>
    <w:rsid w:val="00343560"/>
    <w:rsid w:val="00343A20"/>
    <w:rsid w:val="0034402B"/>
    <w:rsid w:val="0034449E"/>
    <w:rsid w:val="00344D46"/>
    <w:rsid w:val="0034621B"/>
    <w:rsid w:val="003465A5"/>
    <w:rsid w:val="00346817"/>
    <w:rsid w:val="00347440"/>
    <w:rsid w:val="003475EA"/>
    <w:rsid w:val="0034792D"/>
    <w:rsid w:val="00347A27"/>
    <w:rsid w:val="00347B0C"/>
    <w:rsid w:val="00347CD4"/>
    <w:rsid w:val="00350A55"/>
    <w:rsid w:val="00350DF8"/>
    <w:rsid w:val="00351A8A"/>
    <w:rsid w:val="0035244F"/>
    <w:rsid w:val="00352541"/>
    <w:rsid w:val="0035266A"/>
    <w:rsid w:val="0035279C"/>
    <w:rsid w:val="00352B23"/>
    <w:rsid w:val="00352C49"/>
    <w:rsid w:val="003534D3"/>
    <w:rsid w:val="003535D2"/>
    <w:rsid w:val="0035384D"/>
    <w:rsid w:val="00353BF0"/>
    <w:rsid w:val="00353C0B"/>
    <w:rsid w:val="00354AE4"/>
    <w:rsid w:val="00354B0A"/>
    <w:rsid w:val="00354D9F"/>
    <w:rsid w:val="0035551B"/>
    <w:rsid w:val="003555ED"/>
    <w:rsid w:val="00355911"/>
    <w:rsid w:val="0035636B"/>
    <w:rsid w:val="00356714"/>
    <w:rsid w:val="00357424"/>
    <w:rsid w:val="0036069A"/>
    <w:rsid w:val="00361789"/>
    <w:rsid w:val="0036196D"/>
    <w:rsid w:val="00361EEC"/>
    <w:rsid w:val="0036208F"/>
    <w:rsid w:val="003627BD"/>
    <w:rsid w:val="00362997"/>
    <w:rsid w:val="003629B5"/>
    <w:rsid w:val="00362C59"/>
    <w:rsid w:val="00363040"/>
    <w:rsid w:val="003630B7"/>
    <w:rsid w:val="00363275"/>
    <w:rsid w:val="00363786"/>
    <w:rsid w:val="003638A4"/>
    <w:rsid w:val="003639BF"/>
    <w:rsid w:val="00363B1A"/>
    <w:rsid w:val="00363DDC"/>
    <w:rsid w:val="00363E41"/>
    <w:rsid w:val="00363ED8"/>
    <w:rsid w:val="00363FD2"/>
    <w:rsid w:val="003644D0"/>
    <w:rsid w:val="00364601"/>
    <w:rsid w:val="003651F5"/>
    <w:rsid w:val="0036572E"/>
    <w:rsid w:val="003663D9"/>
    <w:rsid w:val="003666BF"/>
    <w:rsid w:val="00366707"/>
    <w:rsid w:val="00366FA9"/>
    <w:rsid w:val="00367E49"/>
    <w:rsid w:val="003700E6"/>
    <w:rsid w:val="00371C86"/>
    <w:rsid w:val="0037236C"/>
    <w:rsid w:val="003729DE"/>
    <w:rsid w:val="003735D3"/>
    <w:rsid w:val="0037386D"/>
    <w:rsid w:val="00373956"/>
    <w:rsid w:val="00374153"/>
    <w:rsid w:val="003750E0"/>
    <w:rsid w:val="00375AF1"/>
    <w:rsid w:val="00375C2F"/>
    <w:rsid w:val="00375C74"/>
    <w:rsid w:val="00375FC5"/>
    <w:rsid w:val="003769BA"/>
    <w:rsid w:val="00377871"/>
    <w:rsid w:val="003778B2"/>
    <w:rsid w:val="00377E58"/>
    <w:rsid w:val="003805E3"/>
    <w:rsid w:val="00380618"/>
    <w:rsid w:val="0038062E"/>
    <w:rsid w:val="003807F7"/>
    <w:rsid w:val="00381610"/>
    <w:rsid w:val="00382106"/>
    <w:rsid w:val="00382657"/>
    <w:rsid w:val="00382B82"/>
    <w:rsid w:val="00383E73"/>
    <w:rsid w:val="003844BF"/>
    <w:rsid w:val="003852BA"/>
    <w:rsid w:val="0038534E"/>
    <w:rsid w:val="003854D5"/>
    <w:rsid w:val="0038552A"/>
    <w:rsid w:val="003859EA"/>
    <w:rsid w:val="003864DE"/>
    <w:rsid w:val="0038709E"/>
    <w:rsid w:val="00387D30"/>
    <w:rsid w:val="00390258"/>
    <w:rsid w:val="00390A4D"/>
    <w:rsid w:val="00391753"/>
    <w:rsid w:val="00391C7F"/>
    <w:rsid w:val="00392454"/>
    <w:rsid w:val="00392A6C"/>
    <w:rsid w:val="00392C85"/>
    <w:rsid w:val="00392FD8"/>
    <w:rsid w:val="00393E11"/>
    <w:rsid w:val="00394475"/>
    <w:rsid w:val="00394C48"/>
    <w:rsid w:val="0039517A"/>
    <w:rsid w:val="00395B51"/>
    <w:rsid w:val="00396796"/>
    <w:rsid w:val="00396EC6"/>
    <w:rsid w:val="00396F3C"/>
    <w:rsid w:val="003970BA"/>
    <w:rsid w:val="0039746C"/>
    <w:rsid w:val="00397DC6"/>
    <w:rsid w:val="003A02CC"/>
    <w:rsid w:val="003A0E82"/>
    <w:rsid w:val="003A0FAC"/>
    <w:rsid w:val="003A184D"/>
    <w:rsid w:val="003A1C35"/>
    <w:rsid w:val="003A1C85"/>
    <w:rsid w:val="003A1FB7"/>
    <w:rsid w:val="003A2962"/>
    <w:rsid w:val="003A302A"/>
    <w:rsid w:val="003A3152"/>
    <w:rsid w:val="003A371E"/>
    <w:rsid w:val="003A396F"/>
    <w:rsid w:val="003A3E8D"/>
    <w:rsid w:val="003A462A"/>
    <w:rsid w:val="003A4CE8"/>
    <w:rsid w:val="003A4FB3"/>
    <w:rsid w:val="003A595F"/>
    <w:rsid w:val="003A5EEC"/>
    <w:rsid w:val="003A79AE"/>
    <w:rsid w:val="003A7CA3"/>
    <w:rsid w:val="003B00B6"/>
    <w:rsid w:val="003B01C4"/>
    <w:rsid w:val="003B0BB0"/>
    <w:rsid w:val="003B11EE"/>
    <w:rsid w:val="003B1332"/>
    <w:rsid w:val="003B15F8"/>
    <w:rsid w:val="003B18EB"/>
    <w:rsid w:val="003B230B"/>
    <w:rsid w:val="003B23BC"/>
    <w:rsid w:val="003B2771"/>
    <w:rsid w:val="003B2DB5"/>
    <w:rsid w:val="003B2F05"/>
    <w:rsid w:val="003B3966"/>
    <w:rsid w:val="003B39B7"/>
    <w:rsid w:val="003B4EB0"/>
    <w:rsid w:val="003B5F6A"/>
    <w:rsid w:val="003B6B7F"/>
    <w:rsid w:val="003B7820"/>
    <w:rsid w:val="003C01A4"/>
    <w:rsid w:val="003C0219"/>
    <w:rsid w:val="003C07FE"/>
    <w:rsid w:val="003C0A6E"/>
    <w:rsid w:val="003C0C12"/>
    <w:rsid w:val="003C0CCE"/>
    <w:rsid w:val="003C120C"/>
    <w:rsid w:val="003C16EE"/>
    <w:rsid w:val="003C1C87"/>
    <w:rsid w:val="003C2C85"/>
    <w:rsid w:val="003C2F61"/>
    <w:rsid w:val="003C345E"/>
    <w:rsid w:val="003C4409"/>
    <w:rsid w:val="003C44A7"/>
    <w:rsid w:val="003C4997"/>
    <w:rsid w:val="003C4DA5"/>
    <w:rsid w:val="003C5666"/>
    <w:rsid w:val="003C6304"/>
    <w:rsid w:val="003C64F4"/>
    <w:rsid w:val="003C6DE1"/>
    <w:rsid w:val="003C724B"/>
    <w:rsid w:val="003C73DB"/>
    <w:rsid w:val="003D0185"/>
    <w:rsid w:val="003D02CB"/>
    <w:rsid w:val="003D0382"/>
    <w:rsid w:val="003D057A"/>
    <w:rsid w:val="003D069C"/>
    <w:rsid w:val="003D0BC2"/>
    <w:rsid w:val="003D191E"/>
    <w:rsid w:val="003D22A5"/>
    <w:rsid w:val="003D22C7"/>
    <w:rsid w:val="003D23A4"/>
    <w:rsid w:val="003D3414"/>
    <w:rsid w:val="003D3426"/>
    <w:rsid w:val="003D3721"/>
    <w:rsid w:val="003D46BA"/>
    <w:rsid w:val="003D590A"/>
    <w:rsid w:val="003D5A8C"/>
    <w:rsid w:val="003D6722"/>
    <w:rsid w:val="003D7428"/>
    <w:rsid w:val="003D77F2"/>
    <w:rsid w:val="003D78CC"/>
    <w:rsid w:val="003D7901"/>
    <w:rsid w:val="003D7D01"/>
    <w:rsid w:val="003D7ED8"/>
    <w:rsid w:val="003E0003"/>
    <w:rsid w:val="003E0099"/>
    <w:rsid w:val="003E08C7"/>
    <w:rsid w:val="003E0992"/>
    <w:rsid w:val="003E1A72"/>
    <w:rsid w:val="003E2138"/>
    <w:rsid w:val="003E2880"/>
    <w:rsid w:val="003E28FB"/>
    <w:rsid w:val="003E2A00"/>
    <w:rsid w:val="003E382C"/>
    <w:rsid w:val="003E3D00"/>
    <w:rsid w:val="003E3FD6"/>
    <w:rsid w:val="003E4531"/>
    <w:rsid w:val="003E4771"/>
    <w:rsid w:val="003E54A8"/>
    <w:rsid w:val="003E54AA"/>
    <w:rsid w:val="003E5833"/>
    <w:rsid w:val="003E5DA8"/>
    <w:rsid w:val="003E7109"/>
    <w:rsid w:val="003E77DC"/>
    <w:rsid w:val="003E7BC1"/>
    <w:rsid w:val="003F0355"/>
    <w:rsid w:val="003F0453"/>
    <w:rsid w:val="003F05D9"/>
    <w:rsid w:val="003F097D"/>
    <w:rsid w:val="003F0C9F"/>
    <w:rsid w:val="003F1113"/>
    <w:rsid w:val="003F144A"/>
    <w:rsid w:val="003F1B02"/>
    <w:rsid w:val="003F1EFE"/>
    <w:rsid w:val="003F2212"/>
    <w:rsid w:val="003F2240"/>
    <w:rsid w:val="003F2460"/>
    <w:rsid w:val="003F2BD1"/>
    <w:rsid w:val="003F2E7B"/>
    <w:rsid w:val="003F3932"/>
    <w:rsid w:val="003F39C7"/>
    <w:rsid w:val="003F3CD5"/>
    <w:rsid w:val="003F4473"/>
    <w:rsid w:val="003F4CF5"/>
    <w:rsid w:val="003F4E31"/>
    <w:rsid w:val="003F51EE"/>
    <w:rsid w:val="003F574E"/>
    <w:rsid w:val="003F60D6"/>
    <w:rsid w:val="003F68E9"/>
    <w:rsid w:val="003F6A91"/>
    <w:rsid w:val="003F73EA"/>
    <w:rsid w:val="003F7E15"/>
    <w:rsid w:val="003F7FDA"/>
    <w:rsid w:val="00400DE4"/>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1FB"/>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018"/>
    <w:rsid w:val="004133A5"/>
    <w:rsid w:val="00413B02"/>
    <w:rsid w:val="00413D45"/>
    <w:rsid w:val="00414197"/>
    <w:rsid w:val="004141E6"/>
    <w:rsid w:val="00414D68"/>
    <w:rsid w:val="00414FD9"/>
    <w:rsid w:val="00415773"/>
    <w:rsid w:val="00415CAE"/>
    <w:rsid w:val="00415EE7"/>
    <w:rsid w:val="004160FA"/>
    <w:rsid w:val="004164AE"/>
    <w:rsid w:val="0041669E"/>
    <w:rsid w:val="00416ACA"/>
    <w:rsid w:val="00416C56"/>
    <w:rsid w:val="00417294"/>
    <w:rsid w:val="004176B8"/>
    <w:rsid w:val="00417B99"/>
    <w:rsid w:val="00417CE0"/>
    <w:rsid w:val="004209D5"/>
    <w:rsid w:val="00420FAF"/>
    <w:rsid w:val="00421184"/>
    <w:rsid w:val="004212C1"/>
    <w:rsid w:val="004214B7"/>
    <w:rsid w:val="00421800"/>
    <w:rsid w:val="00421988"/>
    <w:rsid w:val="00421FB5"/>
    <w:rsid w:val="0042219F"/>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135D"/>
    <w:rsid w:val="0043227C"/>
    <w:rsid w:val="004335C0"/>
    <w:rsid w:val="00433AFC"/>
    <w:rsid w:val="00433CCD"/>
    <w:rsid w:val="00434193"/>
    <w:rsid w:val="00435068"/>
    <w:rsid w:val="00435715"/>
    <w:rsid w:val="0043571B"/>
    <w:rsid w:val="00435EE0"/>
    <w:rsid w:val="00435F29"/>
    <w:rsid w:val="0043610C"/>
    <w:rsid w:val="004366FF"/>
    <w:rsid w:val="004376D3"/>
    <w:rsid w:val="0043777D"/>
    <w:rsid w:val="00437D83"/>
    <w:rsid w:val="004401DD"/>
    <w:rsid w:val="00440344"/>
    <w:rsid w:val="00441264"/>
    <w:rsid w:val="00441B0F"/>
    <w:rsid w:val="00441DC3"/>
    <w:rsid w:val="004425C6"/>
    <w:rsid w:val="00443512"/>
    <w:rsid w:val="00443A55"/>
    <w:rsid w:val="00443CA6"/>
    <w:rsid w:val="00443D5D"/>
    <w:rsid w:val="00445CBA"/>
    <w:rsid w:val="004463CB"/>
    <w:rsid w:val="004466F7"/>
    <w:rsid w:val="00446858"/>
    <w:rsid w:val="00447037"/>
    <w:rsid w:val="00447304"/>
    <w:rsid w:val="00450127"/>
    <w:rsid w:val="0045075F"/>
    <w:rsid w:val="004516AD"/>
    <w:rsid w:val="00451E84"/>
    <w:rsid w:val="00451EA3"/>
    <w:rsid w:val="00451F01"/>
    <w:rsid w:val="00453349"/>
    <w:rsid w:val="004546A7"/>
    <w:rsid w:val="00454831"/>
    <w:rsid w:val="004548DF"/>
    <w:rsid w:val="00454AA7"/>
    <w:rsid w:val="00455A98"/>
    <w:rsid w:val="00455B98"/>
    <w:rsid w:val="00455E25"/>
    <w:rsid w:val="00456CC0"/>
    <w:rsid w:val="0045755C"/>
    <w:rsid w:val="00457933"/>
    <w:rsid w:val="00457C78"/>
    <w:rsid w:val="00460136"/>
    <w:rsid w:val="00460735"/>
    <w:rsid w:val="00460AD5"/>
    <w:rsid w:val="00460EB8"/>
    <w:rsid w:val="00461090"/>
    <w:rsid w:val="004611D5"/>
    <w:rsid w:val="004617D8"/>
    <w:rsid w:val="004618E5"/>
    <w:rsid w:val="00461991"/>
    <w:rsid w:val="00461A6B"/>
    <w:rsid w:val="00461C43"/>
    <w:rsid w:val="00462125"/>
    <w:rsid w:val="00463216"/>
    <w:rsid w:val="0046334D"/>
    <w:rsid w:val="00463848"/>
    <w:rsid w:val="00463BBF"/>
    <w:rsid w:val="00463C95"/>
    <w:rsid w:val="00463E1C"/>
    <w:rsid w:val="00464052"/>
    <w:rsid w:val="00464C9C"/>
    <w:rsid w:val="00465153"/>
    <w:rsid w:val="00465602"/>
    <w:rsid w:val="004669A6"/>
    <w:rsid w:val="00466AFD"/>
    <w:rsid w:val="00466E99"/>
    <w:rsid w:val="00470563"/>
    <w:rsid w:val="00470696"/>
    <w:rsid w:val="004724C9"/>
    <w:rsid w:val="00472585"/>
    <w:rsid w:val="00473045"/>
    <w:rsid w:val="00474130"/>
    <w:rsid w:val="004754E5"/>
    <w:rsid w:val="004754EE"/>
    <w:rsid w:val="00475A6C"/>
    <w:rsid w:val="004764AF"/>
    <w:rsid w:val="00476D04"/>
    <w:rsid w:val="0047775E"/>
    <w:rsid w:val="00477AAE"/>
    <w:rsid w:val="00477AF6"/>
    <w:rsid w:val="00477B3B"/>
    <w:rsid w:val="00477BCB"/>
    <w:rsid w:val="004801A7"/>
    <w:rsid w:val="00480E47"/>
    <w:rsid w:val="00481666"/>
    <w:rsid w:val="0048181B"/>
    <w:rsid w:val="00481F2B"/>
    <w:rsid w:val="00481F39"/>
    <w:rsid w:val="004820C5"/>
    <w:rsid w:val="00482198"/>
    <w:rsid w:val="004823D8"/>
    <w:rsid w:val="0048285B"/>
    <w:rsid w:val="00482F20"/>
    <w:rsid w:val="00483196"/>
    <w:rsid w:val="0048340F"/>
    <w:rsid w:val="0048384A"/>
    <w:rsid w:val="00483C25"/>
    <w:rsid w:val="0048423C"/>
    <w:rsid w:val="00484449"/>
    <w:rsid w:val="004845A6"/>
    <w:rsid w:val="00484A75"/>
    <w:rsid w:val="00484C71"/>
    <w:rsid w:val="004852CE"/>
    <w:rsid w:val="0048540C"/>
    <w:rsid w:val="0048561D"/>
    <w:rsid w:val="00485EDD"/>
    <w:rsid w:val="00485F92"/>
    <w:rsid w:val="004860BD"/>
    <w:rsid w:val="004865EC"/>
    <w:rsid w:val="004866E1"/>
    <w:rsid w:val="00486C72"/>
    <w:rsid w:val="004873A1"/>
    <w:rsid w:val="0049030D"/>
    <w:rsid w:val="00490954"/>
    <w:rsid w:val="00491282"/>
    <w:rsid w:val="004921DC"/>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29D6"/>
    <w:rsid w:val="004A3225"/>
    <w:rsid w:val="004A374A"/>
    <w:rsid w:val="004A395B"/>
    <w:rsid w:val="004A39D9"/>
    <w:rsid w:val="004A3C59"/>
    <w:rsid w:val="004A3FE2"/>
    <w:rsid w:val="004A480D"/>
    <w:rsid w:val="004A4B08"/>
    <w:rsid w:val="004A4D76"/>
    <w:rsid w:val="004A522F"/>
    <w:rsid w:val="004A5851"/>
    <w:rsid w:val="004A5A91"/>
    <w:rsid w:val="004A5B0F"/>
    <w:rsid w:val="004A5CF1"/>
    <w:rsid w:val="004A66E0"/>
    <w:rsid w:val="004A7225"/>
    <w:rsid w:val="004A7AAE"/>
    <w:rsid w:val="004A7D49"/>
    <w:rsid w:val="004A7F21"/>
    <w:rsid w:val="004B08DB"/>
    <w:rsid w:val="004B1422"/>
    <w:rsid w:val="004B2195"/>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98E"/>
    <w:rsid w:val="004C0BBE"/>
    <w:rsid w:val="004C0E2F"/>
    <w:rsid w:val="004C1194"/>
    <w:rsid w:val="004C222E"/>
    <w:rsid w:val="004C2561"/>
    <w:rsid w:val="004C2806"/>
    <w:rsid w:val="004C3ADD"/>
    <w:rsid w:val="004C4122"/>
    <w:rsid w:val="004C428E"/>
    <w:rsid w:val="004C4775"/>
    <w:rsid w:val="004C483D"/>
    <w:rsid w:val="004C48A9"/>
    <w:rsid w:val="004C590B"/>
    <w:rsid w:val="004C6326"/>
    <w:rsid w:val="004C63C7"/>
    <w:rsid w:val="004C6D39"/>
    <w:rsid w:val="004C6D98"/>
    <w:rsid w:val="004C7217"/>
    <w:rsid w:val="004C75B5"/>
    <w:rsid w:val="004C7743"/>
    <w:rsid w:val="004C77A7"/>
    <w:rsid w:val="004C7DBE"/>
    <w:rsid w:val="004C7F57"/>
    <w:rsid w:val="004D032B"/>
    <w:rsid w:val="004D039E"/>
    <w:rsid w:val="004D04A3"/>
    <w:rsid w:val="004D0C9F"/>
    <w:rsid w:val="004D15FD"/>
    <w:rsid w:val="004D1F80"/>
    <w:rsid w:val="004D2369"/>
    <w:rsid w:val="004D2485"/>
    <w:rsid w:val="004D2998"/>
    <w:rsid w:val="004D3A57"/>
    <w:rsid w:val="004D3B2A"/>
    <w:rsid w:val="004D47FF"/>
    <w:rsid w:val="004D4D35"/>
    <w:rsid w:val="004D518F"/>
    <w:rsid w:val="004D54D7"/>
    <w:rsid w:val="004D5BB7"/>
    <w:rsid w:val="004D6053"/>
    <w:rsid w:val="004D61EF"/>
    <w:rsid w:val="004D6FA4"/>
    <w:rsid w:val="004D7C23"/>
    <w:rsid w:val="004D7EB1"/>
    <w:rsid w:val="004D7EBE"/>
    <w:rsid w:val="004E01C6"/>
    <w:rsid w:val="004E0212"/>
    <w:rsid w:val="004E0ADC"/>
    <w:rsid w:val="004E0FB1"/>
    <w:rsid w:val="004E1043"/>
    <w:rsid w:val="004E1DCA"/>
    <w:rsid w:val="004E1F76"/>
    <w:rsid w:val="004E21B4"/>
    <w:rsid w:val="004E252B"/>
    <w:rsid w:val="004E2861"/>
    <w:rsid w:val="004E2A85"/>
    <w:rsid w:val="004E2C09"/>
    <w:rsid w:val="004E3F72"/>
    <w:rsid w:val="004E47F3"/>
    <w:rsid w:val="004E4A78"/>
    <w:rsid w:val="004E551E"/>
    <w:rsid w:val="004E58F6"/>
    <w:rsid w:val="004E5E37"/>
    <w:rsid w:val="004E5E4C"/>
    <w:rsid w:val="004E623E"/>
    <w:rsid w:val="004E6CF9"/>
    <w:rsid w:val="004E734E"/>
    <w:rsid w:val="004E7EC0"/>
    <w:rsid w:val="004E7F48"/>
    <w:rsid w:val="004F014E"/>
    <w:rsid w:val="004F0BC6"/>
    <w:rsid w:val="004F1123"/>
    <w:rsid w:val="004F1715"/>
    <w:rsid w:val="004F17DA"/>
    <w:rsid w:val="004F184C"/>
    <w:rsid w:val="004F2927"/>
    <w:rsid w:val="004F3BD2"/>
    <w:rsid w:val="004F4372"/>
    <w:rsid w:val="004F43E0"/>
    <w:rsid w:val="004F45EB"/>
    <w:rsid w:val="004F521B"/>
    <w:rsid w:val="004F52BB"/>
    <w:rsid w:val="004F53BF"/>
    <w:rsid w:val="004F5582"/>
    <w:rsid w:val="004F59B8"/>
    <w:rsid w:val="004F5BD9"/>
    <w:rsid w:val="004F62A7"/>
    <w:rsid w:val="004F62F9"/>
    <w:rsid w:val="004F64B2"/>
    <w:rsid w:val="004F66B3"/>
    <w:rsid w:val="004F674C"/>
    <w:rsid w:val="004F7352"/>
    <w:rsid w:val="004F7EE2"/>
    <w:rsid w:val="0050015C"/>
    <w:rsid w:val="00500418"/>
    <w:rsid w:val="00500CCF"/>
    <w:rsid w:val="00500E62"/>
    <w:rsid w:val="005010DE"/>
    <w:rsid w:val="005011FD"/>
    <w:rsid w:val="0050164B"/>
    <w:rsid w:val="00502958"/>
    <w:rsid w:val="00502BD2"/>
    <w:rsid w:val="00502DA4"/>
    <w:rsid w:val="00503F83"/>
    <w:rsid w:val="0050421C"/>
    <w:rsid w:val="00504A9B"/>
    <w:rsid w:val="00504E9A"/>
    <w:rsid w:val="00504F83"/>
    <w:rsid w:val="005059B9"/>
    <w:rsid w:val="00505F64"/>
    <w:rsid w:val="00506DCD"/>
    <w:rsid w:val="00507325"/>
    <w:rsid w:val="00507C56"/>
    <w:rsid w:val="00507F13"/>
    <w:rsid w:val="00510809"/>
    <w:rsid w:val="005109D4"/>
    <w:rsid w:val="00510CF4"/>
    <w:rsid w:val="0051160A"/>
    <w:rsid w:val="005118BA"/>
    <w:rsid w:val="00512D87"/>
    <w:rsid w:val="005130DA"/>
    <w:rsid w:val="00513998"/>
    <w:rsid w:val="00513B07"/>
    <w:rsid w:val="00513DDA"/>
    <w:rsid w:val="00513E19"/>
    <w:rsid w:val="005148B4"/>
    <w:rsid w:val="00514B29"/>
    <w:rsid w:val="00514C19"/>
    <w:rsid w:val="005152B1"/>
    <w:rsid w:val="005152F0"/>
    <w:rsid w:val="00515856"/>
    <w:rsid w:val="005163E6"/>
    <w:rsid w:val="005167B6"/>
    <w:rsid w:val="00516AAB"/>
    <w:rsid w:val="005172EC"/>
    <w:rsid w:val="0051740D"/>
    <w:rsid w:val="00517888"/>
    <w:rsid w:val="005178CE"/>
    <w:rsid w:val="00520575"/>
    <w:rsid w:val="00521CAB"/>
    <w:rsid w:val="005224EF"/>
    <w:rsid w:val="00522654"/>
    <w:rsid w:val="00522835"/>
    <w:rsid w:val="0052293D"/>
    <w:rsid w:val="00522AF4"/>
    <w:rsid w:val="00522B93"/>
    <w:rsid w:val="00523499"/>
    <w:rsid w:val="00523BC7"/>
    <w:rsid w:val="00523C08"/>
    <w:rsid w:val="00523C10"/>
    <w:rsid w:val="005245D5"/>
    <w:rsid w:val="00524889"/>
    <w:rsid w:val="0052575D"/>
    <w:rsid w:val="00525A53"/>
    <w:rsid w:val="00525C1F"/>
    <w:rsid w:val="00526569"/>
    <w:rsid w:val="00526726"/>
    <w:rsid w:val="00527256"/>
    <w:rsid w:val="00527B57"/>
    <w:rsid w:val="00527C8D"/>
    <w:rsid w:val="0053021B"/>
    <w:rsid w:val="00530AC4"/>
    <w:rsid w:val="00532115"/>
    <w:rsid w:val="0053265B"/>
    <w:rsid w:val="00533169"/>
    <w:rsid w:val="00533194"/>
    <w:rsid w:val="005332C8"/>
    <w:rsid w:val="0053464E"/>
    <w:rsid w:val="005346C8"/>
    <w:rsid w:val="005352C8"/>
    <w:rsid w:val="005354C1"/>
    <w:rsid w:val="00535ED7"/>
    <w:rsid w:val="00535F99"/>
    <w:rsid w:val="00536356"/>
    <w:rsid w:val="00536A45"/>
    <w:rsid w:val="00536CBB"/>
    <w:rsid w:val="00536DDD"/>
    <w:rsid w:val="00537033"/>
    <w:rsid w:val="00537085"/>
    <w:rsid w:val="00540A37"/>
    <w:rsid w:val="00540B49"/>
    <w:rsid w:val="005418DB"/>
    <w:rsid w:val="005434EA"/>
    <w:rsid w:val="005435FD"/>
    <w:rsid w:val="00545D55"/>
    <w:rsid w:val="005461AB"/>
    <w:rsid w:val="00546C6A"/>
    <w:rsid w:val="00546FBA"/>
    <w:rsid w:val="0054782D"/>
    <w:rsid w:val="00547F04"/>
    <w:rsid w:val="00550924"/>
    <w:rsid w:val="00550D63"/>
    <w:rsid w:val="00550DF2"/>
    <w:rsid w:val="00550EF1"/>
    <w:rsid w:val="00551075"/>
    <w:rsid w:val="005513C8"/>
    <w:rsid w:val="0055248E"/>
    <w:rsid w:val="0055352C"/>
    <w:rsid w:val="00553672"/>
    <w:rsid w:val="005538A6"/>
    <w:rsid w:val="00554F94"/>
    <w:rsid w:val="00555161"/>
    <w:rsid w:val="00555DE6"/>
    <w:rsid w:val="00555EB3"/>
    <w:rsid w:val="005567F6"/>
    <w:rsid w:val="00556E29"/>
    <w:rsid w:val="00556F3E"/>
    <w:rsid w:val="00557474"/>
    <w:rsid w:val="005575C9"/>
    <w:rsid w:val="00557DAA"/>
    <w:rsid w:val="00557DAD"/>
    <w:rsid w:val="00557E9B"/>
    <w:rsid w:val="00560078"/>
    <w:rsid w:val="00561138"/>
    <w:rsid w:val="00561699"/>
    <w:rsid w:val="0056194F"/>
    <w:rsid w:val="005619E1"/>
    <w:rsid w:val="00562629"/>
    <w:rsid w:val="005628FE"/>
    <w:rsid w:val="0056330E"/>
    <w:rsid w:val="0056364B"/>
    <w:rsid w:val="00564191"/>
    <w:rsid w:val="00564557"/>
    <w:rsid w:val="0056458C"/>
    <w:rsid w:val="00564628"/>
    <w:rsid w:val="005648B9"/>
    <w:rsid w:val="00564A3C"/>
    <w:rsid w:val="00564F82"/>
    <w:rsid w:val="005653AF"/>
    <w:rsid w:val="00565501"/>
    <w:rsid w:val="00565755"/>
    <w:rsid w:val="005659B1"/>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90"/>
    <w:rsid w:val="005733A8"/>
    <w:rsid w:val="00573B5B"/>
    <w:rsid w:val="00573F55"/>
    <w:rsid w:val="0057540E"/>
    <w:rsid w:val="005757B6"/>
    <w:rsid w:val="00576EB8"/>
    <w:rsid w:val="0058000F"/>
    <w:rsid w:val="00580557"/>
    <w:rsid w:val="0058074F"/>
    <w:rsid w:val="005808F3"/>
    <w:rsid w:val="00580A76"/>
    <w:rsid w:val="00581042"/>
    <w:rsid w:val="00581517"/>
    <w:rsid w:val="00581703"/>
    <w:rsid w:val="00581715"/>
    <w:rsid w:val="00581B15"/>
    <w:rsid w:val="005821DD"/>
    <w:rsid w:val="00582E42"/>
    <w:rsid w:val="00583908"/>
    <w:rsid w:val="005842FB"/>
    <w:rsid w:val="00584757"/>
    <w:rsid w:val="00584E21"/>
    <w:rsid w:val="005856D5"/>
    <w:rsid w:val="0058608B"/>
    <w:rsid w:val="005863C1"/>
    <w:rsid w:val="0058654D"/>
    <w:rsid w:val="00586786"/>
    <w:rsid w:val="00587051"/>
    <w:rsid w:val="00587729"/>
    <w:rsid w:val="00587886"/>
    <w:rsid w:val="00587A66"/>
    <w:rsid w:val="00590147"/>
    <w:rsid w:val="00590BD1"/>
    <w:rsid w:val="00590D26"/>
    <w:rsid w:val="00590F69"/>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A0"/>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201"/>
    <w:rsid w:val="005A0337"/>
    <w:rsid w:val="005A0532"/>
    <w:rsid w:val="005A07E7"/>
    <w:rsid w:val="005A0A57"/>
    <w:rsid w:val="005A0B9F"/>
    <w:rsid w:val="005A0DBB"/>
    <w:rsid w:val="005A0EBD"/>
    <w:rsid w:val="005A1270"/>
    <w:rsid w:val="005A1295"/>
    <w:rsid w:val="005A1FBF"/>
    <w:rsid w:val="005A2081"/>
    <w:rsid w:val="005A29B1"/>
    <w:rsid w:val="005A2EBF"/>
    <w:rsid w:val="005A380B"/>
    <w:rsid w:val="005A3C8B"/>
    <w:rsid w:val="005A4890"/>
    <w:rsid w:val="005A49D4"/>
    <w:rsid w:val="005A4D7C"/>
    <w:rsid w:val="005A51C9"/>
    <w:rsid w:val="005A5DC0"/>
    <w:rsid w:val="005A6857"/>
    <w:rsid w:val="005A6B6D"/>
    <w:rsid w:val="005A6F0E"/>
    <w:rsid w:val="005A6F57"/>
    <w:rsid w:val="005A7079"/>
    <w:rsid w:val="005A7235"/>
    <w:rsid w:val="005A795B"/>
    <w:rsid w:val="005A7A1A"/>
    <w:rsid w:val="005A7BAF"/>
    <w:rsid w:val="005B0652"/>
    <w:rsid w:val="005B1213"/>
    <w:rsid w:val="005B1329"/>
    <w:rsid w:val="005B1512"/>
    <w:rsid w:val="005B1B55"/>
    <w:rsid w:val="005B1DBD"/>
    <w:rsid w:val="005B2769"/>
    <w:rsid w:val="005B2828"/>
    <w:rsid w:val="005B3EBD"/>
    <w:rsid w:val="005B48E8"/>
    <w:rsid w:val="005B54F6"/>
    <w:rsid w:val="005B56D9"/>
    <w:rsid w:val="005B5BA3"/>
    <w:rsid w:val="005B5E62"/>
    <w:rsid w:val="005B6B52"/>
    <w:rsid w:val="005B727B"/>
    <w:rsid w:val="005B7341"/>
    <w:rsid w:val="005B778C"/>
    <w:rsid w:val="005B7E97"/>
    <w:rsid w:val="005B7F46"/>
    <w:rsid w:val="005C09A7"/>
    <w:rsid w:val="005C102D"/>
    <w:rsid w:val="005C132C"/>
    <w:rsid w:val="005C17FB"/>
    <w:rsid w:val="005C1833"/>
    <w:rsid w:val="005C1838"/>
    <w:rsid w:val="005C18C2"/>
    <w:rsid w:val="005C1D93"/>
    <w:rsid w:val="005C2063"/>
    <w:rsid w:val="005C244F"/>
    <w:rsid w:val="005C2767"/>
    <w:rsid w:val="005C2922"/>
    <w:rsid w:val="005C2DA9"/>
    <w:rsid w:val="005C2F60"/>
    <w:rsid w:val="005C323D"/>
    <w:rsid w:val="005C3772"/>
    <w:rsid w:val="005C39C3"/>
    <w:rsid w:val="005C4229"/>
    <w:rsid w:val="005C4580"/>
    <w:rsid w:val="005C5065"/>
    <w:rsid w:val="005C52F3"/>
    <w:rsid w:val="005C564C"/>
    <w:rsid w:val="005C6234"/>
    <w:rsid w:val="005C6605"/>
    <w:rsid w:val="005C71A0"/>
    <w:rsid w:val="005C751C"/>
    <w:rsid w:val="005C7802"/>
    <w:rsid w:val="005C7B50"/>
    <w:rsid w:val="005C7E73"/>
    <w:rsid w:val="005D029E"/>
    <w:rsid w:val="005D0427"/>
    <w:rsid w:val="005D0776"/>
    <w:rsid w:val="005D07AE"/>
    <w:rsid w:val="005D0B55"/>
    <w:rsid w:val="005D0C83"/>
    <w:rsid w:val="005D113B"/>
    <w:rsid w:val="005D1732"/>
    <w:rsid w:val="005D1BAC"/>
    <w:rsid w:val="005D2D9A"/>
    <w:rsid w:val="005D3A6E"/>
    <w:rsid w:val="005D3A7B"/>
    <w:rsid w:val="005D3B21"/>
    <w:rsid w:val="005D3BCB"/>
    <w:rsid w:val="005D4019"/>
    <w:rsid w:val="005D4194"/>
    <w:rsid w:val="005D41DC"/>
    <w:rsid w:val="005D43C3"/>
    <w:rsid w:val="005D460F"/>
    <w:rsid w:val="005D4638"/>
    <w:rsid w:val="005D4D7D"/>
    <w:rsid w:val="005D4DC5"/>
    <w:rsid w:val="005D5C22"/>
    <w:rsid w:val="005D5E6C"/>
    <w:rsid w:val="005D63A9"/>
    <w:rsid w:val="005D65D5"/>
    <w:rsid w:val="005D6AE2"/>
    <w:rsid w:val="005D6BF3"/>
    <w:rsid w:val="005D6C56"/>
    <w:rsid w:val="005D6F49"/>
    <w:rsid w:val="005D7E8A"/>
    <w:rsid w:val="005E06FA"/>
    <w:rsid w:val="005E11A5"/>
    <w:rsid w:val="005E13D4"/>
    <w:rsid w:val="005E1435"/>
    <w:rsid w:val="005E15A9"/>
    <w:rsid w:val="005E21F3"/>
    <w:rsid w:val="005E235C"/>
    <w:rsid w:val="005E3078"/>
    <w:rsid w:val="005E34C0"/>
    <w:rsid w:val="005E3D71"/>
    <w:rsid w:val="005E44F1"/>
    <w:rsid w:val="005E4612"/>
    <w:rsid w:val="005E49CA"/>
    <w:rsid w:val="005E5427"/>
    <w:rsid w:val="005E5428"/>
    <w:rsid w:val="005E5A7C"/>
    <w:rsid w:val="005E5C33"/>
    <w:rsid w:val="005E5F53"/>
    <w:rsid w:val="005E6976"/>
    <w:rsid w:val="005E69D9"/>
    <w:rsid w:val="005E6DB5"/>
    <w:rsid w:val="005E6E12"/>
    <w:rsid w:val="005E70CD"/>
    <w:rsid w:val="005E74B3"/>
    <w:rsid w:val="005E74EC"/>
    <w:rsid w:val="005E74F5"/>
    <w:rsid w:val="005E7AB6"/>
    <w:rsid w:val="005E7B1E"/>
    <w:rsid w:val="005E7CBC"/>
    <w:rsid w:val="005F0A62"/>
    <w:rsid w:val="005F0FA8"/>
    <w:rsid w:val="005F1C5D"/>
    <w:rsid w:val="005F222B"/>
    <w:rsid w:val="005F2317"/>
    <w:rsid w:val="005F2346"/>
    <w:rsid w:val="005F2550"/>
    <w:rsid w:val="005F297E"/>
    <w:rsid w:val="005F2B2D"/>
    <w:rsid w:val="005F2D9C"/>
    <w:rsid w:val="005F2FD5"/>
    <w:rsid w:val="005F340A"/>
    <w:rsid w:val="005F3AE8"/>
    <w:rsid w:val="005F3B09"/>
    <w:rsid w:val="005F3B47"/>
    <w:rsid w:val="005F3C78"/>
    <w:rsid w:val="005F47C1"/>
    <w:rsid w:val="005F4926"/>
    <w:rsid w:val="005F4B6F"/>
    <w:rsid w:val="005F5009"/>
    <w:rsid w:val="005F5054"/>
    <w:rsid w:val="005F530F"/>
    <w:rsid w:val="005F65D9"/>
    <w:rsid w:val="005F6704"/>
    <w:rsid w:val="005F6768"/>
    <w:rsid w:val="005F693C"/>
    <w:rsid w:val="005F69CF"/>
    <w:rsid w:val="005F6E39"/>
    <w:rsid w:val="005F6E58"/>
    <w:rsid w:val="005F704C"/>
    <w:rsid w:val="005F7A22"/>
    <w:rsid w:val="005F7B9D"/>
    <w:rsid w:val="00600501"/>
    <w:rsid w:val="006006CD"/>
    <w:rsid w:val="00600B0C"/>
    <w:rsid w:val="00600CC3"/>
    <w:rsid w:val="00601078"/>
    <w:rsid w:val="00601F8E"/>
    <w:rsid w:val="00602543"/>
    <w:rsid w:val="0060254C"/>
    <w:rsid w:val="00602DFA"/>
    <w:rsid w:val="006031D1"/>
    <w:rsid w:val="006033BF"/>
    <w:rsid w:val="00603702"/>
    <w:rsid w:val="006037F1"/>
    <w:rsid w:val="00603B4B"/>
    <w:rsid w:val="00603F20"/>
    <w:rsid w:val="006042BD"/>
    <w:rsid w:val="00604A11"/>
    <w:rsid w:val="00604F37"/>
    <w:rsid w:val="0060508A"/>
    <w:rsid w:val="006055AF"/>
    <w:rsid w:val="00605942"/>
    <w:rsid w:val="00605C9F"/>
    <w:rsid w:val="0060603F"/>
    <w:rsid w:val="00606814"/>
    <w:rsid w:val="006068E8"/>
    <w:rsid w:val="00606ADB"/>
    <w:rsid w:val="00606B74"/>
    <w:rsid w:val="00606B98"/>
    <w:rsid w:val="006072DE"/>
    <w:rsid w:val="006075F4"/>
    <w:rsid w:val="006078A8"/>
    <w:rsid w:val="00607BAD"/>
    <w:rsid w:val="00607EC7"/>
    <w:rsid w:val="0061048A"/>
    <w:rsid w:val="006104F8"/>
    <w:rsid w:val="00610AE7"/>
    <w:rsid w:val="00610BEE"/>
    <w:rsid w:val="00611178"/>
    <w:rsid w:val="0061148D"/>
    <w:rsid w:val="00611D01"/>
    <w:rsid w:val="006124B3"/>
    <w:rsid w:val="00612611"/>
    <w:rsid w:val="0061279A"/>
    <w:rsid w:val="00613009"/>
    <w:rsid w:val="006132EA"/>
    <w:rsid w:val="0061401C"/>
    <w:rsid w:val="0061420B"/>
    <w:rsid w:val="00614931"/>
    <w:rsid w:val="00614D33"/>
    <w:rsid w:val="0061537D"/>
    <w:rsid w:val="0061537F"/>
    <w:rsid w:val="00615DEA"/>
    <w:rsid w:val="006160BB"/>
    <w:rsid w:val="00616A60"/>
    <w:rsid w:val="00616EE6"/>
    <w:rsid w:val="006171FB"/>
    <w:rsid w:val="00617A2A"/>
    <w:rsid w:val="006207F4"/>
    <w:rsid w:val="00620C67"/>
    <w:rsid w:val="00621646"/>
    <w:rsid w:val="00621803"/>
    <w:rsid w:val="006220F1"/>
    <w:rsid w:val="00623C68"/>
    <w:rsid w:val="00623E46"/>
    <w:rsid w:val="00624604"/>
    <w:rsid w:val="00624D2C"/>
    <w:rsid w:val="00624EAD"/>
    <w:rsid w:val="00624EF1"/>
    <w:rsid w:val="00625145"/>
    <w:rsid w:val="0062538D"/>
    <w:rsid w:val="00625E17"/>
    <w:rsid w:val="00627402"/>
    <w:rsid w:val="00630480"/>
    <w:rsid w:val="0063058E"/>
    <w:rsid w:val="006305F8"/>
    <w:rsid w:val="00631DA7"/>
    <w:rsid w:val="006327CB"/>
    <w:rsid w:val="00632B9C"/>
    <w:rsid w:val="00632F18"/>
    <w:rsid w:val="006332D7"/>
    <w:rsid w:val="0063333D"/>
    <w:rsid w:val="006336EF"/>
    <w:rsid w:val="00634225"/>
    <w:rsid w:val="00635003"/>
    <w:rsid w:val="006351CE"/>
    <w:rsid w:val="006352FD"/>
    <w:rsid w:val="00635B15"/>
    <w:rsid w:val="006362E1"/>
    <w:rsid w:val="006367DA"/>
    <w:rsid w:val="00636FAD"/>
    <w:rsid w:val="006370E1"/>
    <w:rsid w:val="006375B2"/>
    <w:rsid w:val="006375BB"/>
    <w:rsid w:val="006379DE"/>
    <w:rsid w:val="006407FE"/>
    <w:rsid w:val="006409EE"/>
    <w:rsid w:val="00640BF7"/>
    <w:rsid w:val="00640C7D"/>
    <w:rsid w:val="00640E7E"/>
    <w:rsid w:val="00640FFF"/>
    <w:rsid w:val="00641557"/>
    <w:rsid w:val="00641761"/>
    <w:rsid w:val="006421D9"/>
    <w:rsid w:val="006424FE"/>
    <w:rsid w:val="006425FC"/>
    <w:rsid w:val="00642631"/>
    <w:rsid w:val="00642C3C"/>
    <w:rsid w:val="00642DF5"/>
    <w:rsid w:val="0064304A"/>
    <w:rsid w:val="0064329C"/>
    <w:rsid w:val="0064380B"/>
    <w:rsid w:val="00643A4F"/>
    <w:rsid w:val="00643FF5"/>
    <w:rsid w:val="0064415D"/>
    <w:rsid w:val="006441FD"/>
    <w:rsid w:val="00644E5A"/>
    <w:rsid w:val="00644F2C"/>
    <w:rsid w:val="00645141"/>
    <w:rsid w:val="00645AEE"/>
    <w:rsid w:val="006462BA"/>
    <w:rsid w:val="00646428"/>
    <w:rsid w:val="0064707F"/>
    <w:rsid w:val="006471E8"/>
    <w:rsid w:val="00647E90"/>
    <w:rsid w:val="00647FA3"/>
    <w:rsid w:val="006500F7"/>
    <w:rsid w:val="00650769"/>
    <w:rsid w:val="00650DF8"/>
    <w:rsid w:val="006516B7"/>
    <w:rsid w:val="006518E4"/>
    <w:rsid w:val="00651FB8"/>
    <w:rsid w:val="00651FFB"/>
    <w:rsid w:val="00652BA0"/>
    <w:rsid w:val="00652DF6"/>
    <w:rsid w:val="00652FCA"/>
    <w:rsid w:val="00653045"/>
    <w:rsid w:val="00653A25"/>
    <w:rsid w:val="00653D93"/>
    <w:rsid w:val="00653FDA"/>
    <w:rsid w:val="006541A0"/>
    <w:rsid w:val="00654E99"/>
    <w:rsid w:val="00655104"/>
    <w:rsid w:val="0065548F"/>
    <w:rsid w:val="0065558B"/>
    <w:rsid w:val="00655633"/>
    <w:rsid w:val="006559BB"/>
    <w:rsid w:val="00655A93"/>
    <w:rsid w:val="00655D93"/>
    <w:rsid w:val="00655E86"/>
    <w:rsid w:val="00656614"/>
    <w:rsid w:val="00656C4D"/>
    <w:rsid w:val="006577CD"/>
    <w:rsid w:val="006578A6"/>
    <w:rsid w:val="00657CCC"/>
    <w:rsid w:val="00660162"/>
    <w:rsid w:val="0066036D"/>
    <w:rsid w:val="006604FA"/>
    <w:rsid w:val="00660879"/>
    <w:rsid w:val="00661639"/>
    <w:rsid w:val="0066174D"/>
    <w:rsid w:val="00661E36"/>
    <w:rsid w:val="00661F03"/>
    <w:rsid w:val="006631D3"/>
    <w:rsid w:val="00663D0F"/>
    <w:rsid w:val="00664525"/>
    <w:rsid w:val="0066465B"/>
    <w:rsid w:val="00664C81"/>
    <w:rsid w:val="0066521A"/>
    <w:rsid w:val="0066540C"/>
    <w:rsid w:val="00665EAE"/>
    <w:rsid w:val="006661EA"/>
    <w:rsid w:val="00666909"/>
    <w:rsid w:val="00666EBC"/>
    <w:rsid w:val="00667034"/>
    <w:rsid w:val="00667189"/>
    <w:rsid w:val="0066749E"/>
    <w:rsid w:val="00667681"/>
    <w:rsid w:val="00667CCB"/>
    <w:rsid w:val="00667EFD"/>
    <w:rsid w:val="00670475"/>
    <w:rsid w:val="00670A4F"/>
    <w:rsid w:val="00670B8C"/>
    <w:rsid w:val="00670C4A"/>
    <w:rsid w:val="00671F3E"/>
    <w:rsid w:val="00672482"/>
    <w:rsid w:val="00672A18"/>
    <w:rsid w:val="006735D0"/>
    <w:rsid w:val="006739E9"/>
    <w:rsid w:val="00674AF5"/>
    <w:rsid w:val="00674D52"/>
    <w:rsid w:val="00674F93"/>
    <w:rsid w:val="0067546F"/>
    <w:rsid w:val="00675A94"/>
    <w:rsid w:val="00676CE4"/>
    <w:rsid w:val="00676EC2"/>
    <w:rsid w:val="00676FA5"/>
    <w:rsid w:val="006771A4"/>
    <w:rsid w:val="006771AD"/>
    <w:rsid w:val="006774A8"/>
    <w:rsid w:val="00677572"/>
    <w:rsid w:val="00681229"/>
    <w:rsid w:val="0068185E"/>
    <w:rsid w:val="00681BE5"/>
    <w:rsid w:val="00681E30"/>
    <w:rsid w:val="00682955"/>
    <w:rsid w:val="0068379B"/>
    <w:rsid w:val="00683D98"/>
    <w:rsid w:val="00683D99"/>
    <w:rsid w:val="00684079"/>
    <w:rsid w:val="006840C9"/>
    <w:rsid w:val="00685F24"/>
    <w:rsid w:val="0068629B"/>
    <w:rsid w:val="00686C12"/>
    <w:rsid w:val="00686D75"/>
    <w:rsid w:val="0068736A"/>
    <w:rsid w:val="00687D17"/>
    <w:rsid w:val="00690024"/>
    <w:rsid w:val="0069017D"/>
    <w:rsid w:val="006903A4"/>
    <w:rsid w:val="00690883"/>
    <w:rsid w:val="00690CAA"/>
    <w:rsid w:val="00690E5A"/>
    <w:rsid w:val="00690EFB"/>
    <w:rsid w:val="006911F9"/>
    <w:rsid w:val="006912CB"/>
    <w:rsid w:val="0069137B"/>
    <w:rsid w:val="006913EC"/>
    <w:rsid w:val="006914B7"/>
    <w:rsid w:val="00691742"/>
    <w:rsid w:val="00691DEE"/>
    <w:rsid w:val="00692147"/>
    <w:rsid w:val="00692242"/>
    <w:rsid w:val="0069236E"/>
    <w:rsid w:val="00692704"/>
    <w:rsid w:val="00692E67"/>
    <w:rsid w:val="00693ACF"/>
    <w:rsid w:val="00693EE5"/>
    <w:rsid w:val="00693FBC"/>
    <w:rsid w:val="006944C5"/>
    <w:rsid w:val="00694A7E"/>
    <w:rsid w:val="00694B8D"/>
    <w:rsid w:val="0069561C"/>
    <w:rsid w:val="00695634"/>
    <w:rsid w:val="0069600D"/>
    <w:rsid w:val="00696143"/>
    <w:rsid w:val="006963AE"/>
    <w:rsid w:val="0069640F"/>
    <w:rsid w:val="00696B07"/>
    <w:rsid w:val="00697053"/>
    <w:rsid w:val="006974FD"/>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5A45"/>
    <w:rsid w:val="006A5C13"/>
    <w:rsid w:val="006A608E"/>
    <w:rsid w:val="006A6B7B"/>
    <w:rsid w:val="006A73D2"/>
    <w:rsid w:val="006A78F8"/>
    <w:rsid w:val="006A7991"/>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0DA"/>
    <w:rsid w:val="006B53DC"/>
    <w:rsid w:val="006B5423"/>
    <w:rsid w:val="006B5855"/>
    <w:rsid w:val="006B5AB2"/>
    <w:rsid w:val="006B5C67"/>
    <w:rsid w:val="006B6B5D"/>
    <w:rsid w:val="006B6C0D"/>
    <w:rsid w:val="006B7825"/>
    <w:rsid w:val="006B7D68"/>
    <w:rsid w:val="006C033F"/>
    <w:rsid w:val="006C1818"/>
    <w:rsid w:val="006C1F8B"/>
    <w:rsid w:val="006C2721"/>
    <w:rsid w:val="006C323A"/>
    <w:rsid w:val="006C3868"/>
    <w:rsid w:val="006C38FF"/>
    <w:rsid w:val="006C39EC"/>
    <w:rsid w:val="006C3E6E"/>
    <w:rsid w:val="006C3EEA"/>
    <w:rsid w:val="006C43A6"/>
    <w:rsid w:val="006C44EC"/>
    <w:rsid w:val="006C4A4A"/>
    <w:rsid w:val="006C53EB"/>
    <w:rsid w:val="006C5D29"/>
    <w:rsid w:val="006C650D"/>
    <w:rsid w:val="006C69A5"/>
    <w:rsid w:val="006C6A4D"/>
    <w:rsid w:val="006C6CF3"/>
    <w:rsid w:val="006C701D"/>
    <w:rsid w:val="006C7740"/>
    <w:rsid w:val="006D0389"/>
    <w:rsid w:val="006D0848"/>
    <w:rsid w:val="006D0BA5"/>
    <w:rsid w:val="006D0C15"/>
    <w:rsid w:val="006D0D8B"/>
    <w:rsid w:val="006D0FBF"/>
    <w:rsid w:val="006D10DC"/>
    <w:rsid w:val="006D1586"/>
    <w:rsid w:val="006D19C1"/>
    <w:rsid w:val="006D23AC"/>
    <w:rsid w:val="006D2827"/>
    <w:rsid w:val="006D2848"/>
    <w:rsid w:val="006D2B19"/>
    <w:rsid w:val="006D2EC9"/>
    <w:rsid w:val="006D3A05"/>
    <w:rsid w:val="006D3B62"/>
    <w:rsid w:val="006D3FDF"/>
    <w:rsid w:val="006D4527"/>
    <w:rsid w:val="006D4B05"/>
    <w:rsid w:val="006D4EE5"/>
    <w:rsid w:val="006D4F86"/>
    <w:rsid w:val="006D4F91"/>
    <w:rsid w:val="006D51A2"/>
    <w:rsid w:val="006D5F98"/>
    <w:rsid w:val="006D6665"/>
    <w:rsid w:val="006D7098"/>
    <w:rsid w:val="006D740E"/>
    <w:rsid w:val="006D7C8A"/>
    <w:rsid w:val="006D7F72"/>
    <w:rsid w:val="006E00B7"/>
    <w:rsid w:val="006E0735"/>
    <w:rsid w:val="006E0CB5"/>
    <w:rsid w:val="006E0E5B"/>
    <w:rsid w:val="006E132F"/>
    <w:rsid w:val="006E2701"/>
    <w:rsid w:val="006E28D7"/>
    <w:rsid w:val="006E3023"/>
    <w:rsid w:val="006E3369"/>
    <w:rsid w:val="006E3D12"/>
    <w:rsid w:val="006E449C"/>
    <w:rsid w:val="006E4726"/>
    <w:rsid w:val="006E4E72"/>
    <w:rsid w:val="006E4FCD"/>
    <w:rsid w:val="006E50D0"/>
    <w:rsid w:val="006E5B0B"/>
    <w:rsid w:val="006E663E"/>
    <w:rsid w:val="006E6655"/>
    <w:rsid w:val="006E6EDF"/>
    <w:rsid w:val="006E7BA5"/>
    <w:rsid w:val="006F01E8"/>
    <w:rsid w:val="006F02D7"/>
    <w:rsid w:val="006F07FA"/>
    <w:rsid w:val="006F0EBB"/>
    <w:rsid w:val="006F1E96"/>
    <w:rsid w:val="006F2D24"/>
    <w:rsid w:val="006F37F7"/>
    <w:rsid w:val="006F38C3"/>
    <w:rsid w:val="006F3909"/>
    <w:rsid w:val="006F4036"/>
    <w:rsid w:val="006F428E"/>
    <w:rsid w:val="006F48E1"/>
    <w:rsid w:val="006F5160"/>
    <w:rsid w:val="006F5374"/>
    <w:rsid w:val="006F60DF"/>
    <w:rsid w:val="006F68C1"/>
    <w:rsid w:val="006F6B60"/>
    <w:rsid w:val="006F6CE2"/>
    <w:rsid w:val="006F6E10"/>
    <w:rsid w:val="006F7800"/>
    <w:rsid w:val="007014F8"/>
    <w:rsid w:val="0070150D"/>
    <w:rsid w:val="007016D2"/>
    <w:rsid w:val="007018D8"/>
    <w:rsid w:val="00702282"/>
    <w:rsid w:val="007026BC"/>
    <w:rsid w:val="007029E8"/>
    <w:rsid w:val="007030C7"/>
    <w:rsid w:val="00703107"/>
    <w:rsid w:val="00703138"/>
    <w:rsid w:val="00703277"/>
    <w:rsid w:val="0070356D"/>
    <w:rsid w:val="00703981"/>
    <w:rsid w:val="00703D7E"/>
    <w:rsid w:val="00703DE6"/>
    <w:rsid w:val="007041A7"/>
    <w:rsid w:val="0070495F"/>
    <w:rsid w:val="00704B6E"/>
    <w:rsid w:val="00704F73"/>
    <w:rsid w:val="0070508D"/>
    <w:rsid w:val="0070542E"/>
    <w:rsid w:val="00706096"/>
    <w:rsid w:val="007060D4"/>
    <w:rsid w:val="0070624C"/>
    <w:rsid w:val="00706451"/>
    <w:rsid w:val="00707E0F"/>
    <w:rsid w:val="007100F9"/>
    <w:rsid w:val="0071068A"/>
    <w:rsid w:val="00710E19"/>
    <w:rsid w:val="00710E52"/>
    <w:rsid w:val="0071154B"/>
    <w:rsid w:val="007116B6"/>
    <w:rsid w:val="0071174F"/>
    <w:rsid w:val="0071196A"/>
    <w:rsid w:val="00711C03"/>
    <w:rsid w:val="0071227C"/>
    <w:rsid w:val="007131CF"/>
    <w:rsid w:val="007132CD"/>
    <w:rsid w:val="007133C0"/>
    <w:rsid w:val="00713613"/>
    <w:rsid w:val="007137C6"/>
    <w:rsid w:val="007138FC"/>
    <w:rsid w:val="0071393D"/>
    <w:rsid w:val="00713E79"/>
    <w:rsid w:val="00714245"/>
    <w:rsid w:val="00714C20"/>
    <w:rsid w:val="00715441"/>
    <w:rsid w:val="00715739"/>
    <w:rsid w:val="0071576C"/>
    <w:rsid w:val="00715C94"/>
    <w:rsid w:val="00715EA7"/>
    <w:rsid w:val="00716A09"/>
    <w:rsid w:val="007170DB"/>
    <w:rsid w:val="00717880"/>
    <w:rsid w:val="00717CA8"/>
    <w:rsid w:val="007205E7"/>
    <w:rsid w:val="007209C4"/>
    <w:rsid w:val="00721ACB"/>
    <w:rsid w:val="00721E9E"/>
    <w:rsid w:val="007227FE"/>
    <w:rsid w:val="0072290A"/>
    <w:rsid w:val="007233C3"/>
    <w:rsid w:val="00723C95"/>
    <w:rsid w:val="007244E7"/>
    <w:rsid w:val="0072505F"/>
    <w:rsid w:val="00725B00"/>
    <w:rsid w:val="00725E54"/>
    <w:rsid w:val="0072680C"/>
    <w:rsid w:val="0072698B"/>
    <w:rsid w:val="00726A25"/>
    <w:rsid w:val="00726B3D"/>
    <w:rsid w:val="00726C64"/>
    <w:rsid w:val="00727A8E"/>
    <w:rsid w:val="007310B7"/>
    <w:rsid w:val="00731237"/>
    <w:rsid w:val="00731A52"/>
    <w:rsid w:val="0073207E"/>
    <w:rsid w:val="00732664"/>
    <w:rsid w:val="00732BA7"/>
    <w:rsid w:val="007333EA"/>
    <w:rsid w:val="00733535"/>
    <w:rsid w:val="00733601"/>
    <w:rsid w:val="00733A57"/>
    <w:rsid w:val="00733F36"/>
    <w:rsid w:val="007340CE"/>
    <w:rsid w:val="00734781"/>
    <w:rsid w:val="007349FC"/>
    <w:rsid w:val="00734B6F"/>
    <w:rsid w:val="00735293"/>
    <w:rsid w:val="00735376"/>
    <w:rsid w:val="0073555D"/>
    <w:rsid w:val="007363EA"/>
    <w:rsid w:val="00736E06"/>
    <w:rsid w:val="00736E37"/>
    <w:rsid w:val="00737286"/>
    <w:rsid w:val="007373DB"/>
    <w:rsid w:val="00737A72"/>
    <w:rsid w:val="00737F27"/>
    <w:rsid w:val="00737FD3"/>
    <w:rsid w:val="007407DB"/>
    <w:rsid w:val="0074085F"/>
    <w:rsid w:val="00740BFC"/>
    <w:rsid w:val="00740F76"/>
    <w:rsid w:val="00740FAE"/>
    <w:rsid w:val="00741037"/>
    <w:rsid w:val="0074198F"/>
    <w:rsid w:val="007422B3"/>
    <w:rsid w:val="007424BF"/>
    <w:rsid w:val="00742657"/>
    <w:rsid w:val="007434BD"/>
    <w:rsid w:val="007435F1"/>
    <w:rsid w:val="00743DDD"/>
    <w:rsid w:val="00744625"/>
    <w:rsid w:val="007446BB"/>
    <w:rsid w:val="00745882"/>
    <w:rsid w:val="00745A04"/>
    <w:rsid w:val="00745A0F"/>
    <w:rsid w:val="00745DFD"/>
    <w:rsid w:val="0074600A"/>
    <w:rsid w:val="00746197"/>
    <w:rsid w:val="0074689C"/>
    <w:rsid w:val="00746B3F"/>
    <w:rsid w:val="00747117"/>
    <w:rsid w:val="007479C2"/>
    <w:rsid w:val="00747B0D"/>
    <w:rsid w:val="00750712"/>
    <w:rsid w:val="007511BA"/>
    <w:rsid w:val="00751452"/>
    <w:rsid w:val="00751D06"/>
    <w:rsid w:val="00751D74"/>
    <w:rsid w:val="007521A5"/>
    <w:rsid w:val="00752243"/>
    <w:rsid w:val="007531BA"/>
    <w:rsid w:val="00753959"/>
    <w:rsid w:val="00753BED"/>
    <w:rsid w:val="00753DD6"/>
    <w:rsid w:val="00754A4A"/>
    <w:rsid w:val="00756114"/>
    <w:rsid w:val="007567A8"/>
    <w:rsid w:val="00760D1E"/>
    <w:rsid w:val="00760F66"/>
    <w:rsid w:val="00761103"/>
    <w:rsid w:val="007611F8"/>
    <w:rsid w:val="00761200"/>
    <w:rsid w:val="007615F6"/>
    <w:rsid w:val="007618E2"/>
    <w:rsid w:val="00761931"/>
    <w:rsid w:val="00761BD1"/>
    <w:rsid w:val="007627BA"/>
    <w:rsid w:val="0076291E"/>
    <w:rsid w:val="00762D81"/>
    <w:rsid w:val="0076317B"/>
    <w:rsid w:val="007634C7"/>
    <w:rsid w:val="00763CB9"/>
    <w:rsid w:val="007643D5"/>
    <w:rsid w:val="00765366"/>
    <w:rsid w:val="00765614"/>
    <w:rsid w:val="00765914"/>
    <w:rsid w:val="0076614D"/>
    <w:rsid w:val="0076624C"/>
    <w:rsid w:val="0076627D"/>
    <w:rsid w:val="00766304"/>
    <w:rsid w:val="00767A28"/>
    <w:rsid w:val="00767DD2"/>
    <w:rsid w:val="0077082B"/>
    <w:rsid w:val="00770B12"/>
    <w:rsid w:val="00770C44"/>
    <w:rsid w:val="00770E60"/>
    <w:rsid w:val="00771C8F"/>
    <w:rsid w:val="00772019"/>
    <w:rsid w:val="00772193"/>
    <w:rsid w:val="0077266E"/>
    <w:rsid w:val="0077292E"/>
    <w:rsid w:val="007737D8"/>
    <w:rsid w:val="0077391C"/>
    <w:rsid w:val="00773D24"/>
    <w:rsid w:val="00774576"/>
    <w:rsid w:val="0077508A"/>
    <w:rsid w:val="00775567"/>
    <w:rsid w:val="00775E0D"/>
    <w:rsid w:val="00776343"/>
    <w:rsid w:val="00776416"/>
    <w:rsid w:val="0077657E"/>
    <w:rsid w:val="00776C7B"/>
    <w:rsid w:val="00776CEF"/>
    <w:rsid w:val="0077790B"/>
    <w:rsid w:val="00777E7E"/>
    <w:rsid w:val="007804DD"/>
    <w:rsid w:val="0078095A"/>
    <w:rsid w:val="00780F3B"/>
    <w:rsid w:val="007816EE"/>
    <w:rsid w:val="00782071"/>
    <w:rsid w:val="00782946"/>
    <w:rsid w:val="00782AB1"/>
    <w:rsid w:val="00782ECD"/>
    <w:rsid w:val="0078363B"/>
    <w:rsid w:val="00783CCF"/>
    <w:rsid w:val="00783F5B"/>
    <w:rsid w:val="00784609"/>
    <w:rsid w:val="00784720"/>
    <w:rsid w:val="0078481D"/>
    <w:rsid w:val="007859FC"/>
    <w:rsid w:val="00785F4C"/>
    <w:rsid w:val="0078609C"/>
    <w:rsid w:val="00786355"/>
    <w:rsid w:val="0078668F"/>
    <w:rsid w:val="00787370"/>
    <w:rsid w:val="007874AE"/>
    <w:rsid w:val="0078750B"/>
    <w:rsid w:val="00787F5E"/>
    <w:rsid w:val="0079024D"/>
    <w:rsid w:val="007911B8"/>
    <w:rsid w:val="00791DAE"/>
    <w:rsid w:val="007930E8"/>
    <w:rsid w:val="007935F5"/>
    <w:rsid w:val="00793D04"/>
    <w:rsid w:val="00793F28"/>
    <w:rsid w:val="00793FDB"/>
    <w:rsid w:val="00794252"/>
    <w:rsid w:val="007944D2"/>
    <w:rsid w:val="00794B19"/>
    <w:rsid w:val="00795B8D"/>
    <w:rsid w:val="00795EB9"/>
    <w:rsid w:val="00795F0E"/>
    <w:rsid w:val="007960A9"/>
    <w:rsid w:val="00797D8F"/>
    <w:rsid w:val="007A0C00"/>
    <w:rsid w:val="007A0E15"/>
    <w:rsid w:val="007A176E"/>
    <w:rsid w:val="007A19BF"/>
    <w:rsid w:val="007A2A69"/>
    <w:rsid w:val="007A2CF1"/>
    <w:rsid w:val="007A2F78"/>
    <w:rsid w:val="007A41B5"/>
    <w:rsid w:val="007A4486"/>
    <w:rsid w:val="007A4682"/>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7C0"/>
    <w:rsid w:val="007B1C32"/>
    <w:rsid w:val="007B1DBB"/>
    <w:rsid w:val="007B221C"/>
    <w:rsid w:val="007B2319"/>
    <w:rsid w:val="007B2FBF"/>
    <w:rsid w:val="007B3E13"/>
    <w:rsid w:val="007B4046"/>
    <w:rsid w:val="007B4300"/>
    <w:rsid w:val="007B44CE"/>
    <w:rsid w:val="007B44F9"/>
    <w:rsid w:val="007B565C"/>
    <w:rsid w:val="007B595F"/>
    <w:rsid w:val="007B5D75"/>
    <w:rsid w:val="007B6388"/>
    <w:rsid w:val="007B6D5E"/>
    <w:rsid w:val="007B7115"/>
    <w:rsid w:val="007B736B"/>
    <w:rsid w:val="007B73B8"/>
    <w:rsid w:val="007C0090"/>
    <w:rsid w:val="007C0853"/>
    <w:rsid w:val="007C08D0"/>
    <w:rsid w:val="007C08FD"/>
    <w:rsid w:val="007C0C90"/>
    <w:rsid w:val="007C0E07"/>
    <w:rsid w:val="007C0E86"/>
    <w:rsid w:val="007C249E"/>
    <w:rsid w:val="007C26CF"/>
    <w:rsid w:val="007C271B"/>
    <w:rsid w:val="007C2C14"/>
    <w:rsid w:val="007C2D50"/>
    <w:rsid w:val="007C357D"/>
    <w:rsid w:val="007C3A55"/>
    <w:rsid w:val="007C4166"/>
    <w:rsid w:val="007C44E1"/>
    <w:rsid w:val="007C48DD"/>
    <w:rsid w:val="007C4A05"/>
    <w:rsid w:val="007C4D79"/>
    <w:rsid w:val="007C53A9"/>
    <w:rsid w:val="007C5711"/>
    <w:rsid w:val="007C57B9"/>
    <w:rsid w:val="007C6325"/>
    <w:rsid w:val="007C6C53"/>
    <w:rsid w:val="007C71FB"/>
    <w:rsid w:val="007C73A3"/>
    <w:rsid w:val="007C78F6"/>
    <w:rsid w:val="007C7975"/>
    <w:rsid w:val="007C7EF5"/>
    <w:rsid w:val="007D06AC"/>
    <w:rsid w:val="007D0741"/>
    <w:rsid w:val="007D0A53"/>
    <w:rsid w:val="007D0C62"/>
    <w:rsid w:val="007D0FFC"/>
    <w:rsid w:val="007D1013"/>
    <w:rsid w:val="007D19EC"/>
    <w:rsid w:val="007D2180"/>
    <w:rsid w:val="007D2608"/>
    <w:rsid w:val="007D30C3"/>
    <w:rsid w:val="007D35AC"/>
    <w:rsid w:val="007D36B1"/>
    <w:rsid w:val="007D36D7"/>
    <w:rsid w:val="007D3BA1"/>
    <w:rsid w:val="007D3BDB"/>
    <w:rsid w:val="007D3EC8"/>
    <w:rsid w:val="007D40AC"/>
    <w:rsid w:val="007D4317"/>
    <w:rsid w:val="007D4C12"/>
    <w:rsid w:val="007D5137"/>
    <w:rsid w:val="007D57E0"/>
    <w:rsid w:val="007D5962"/>
    <w:rsid w:val="007D63B2"/>
    <w:rsid w:val="007D651D"/>
    <w:rsid w:val="007D71B7"/>
    <w:rsid w:val="007D7C66"/>
    <w:rsid w:val="007D7CF3"/>
    <w:rsid w:val="007E0274"/>
    <w:rsid w:val="007E02A7"/>
    <w:rsid w:val="007E0415"/>
    <w:rsid w:val="007E0991"/>
    <w:rsid w:val="007E0B2C"/>
    <w:rsid w:val="007E107F"/>
    <w:rsid w:val="007E1C84"/>
    <w:rsid w:val="007E25ED"/>
    <w:rsid w:val="007E25EF"/>
    <w:rsid w:val="007E2EBD"/>
    <w:rsid w:val="007E2FD7"/>
    <w:rsid w:val="007E310B"/>
    <w:rsid w:val="007E38DA"/>
    <w:rsid w:val="007E3D65"/>
    <w:rsid w:val="007E3EE2"/>
    <w:rsid w:val="007E47E7"/>
    <w:rsid w:val="007E4A98"/>
    <w:rsid w:val="007E4EB6"/>
    <w:rsid w:val="007E5DD7"/>
    <w:rsid w:val="007E7139"/>
    <w:rsid w:val="007E7366"/>
    <w:rsid w:val="007E799A"/>
    <w:rsid w:val="007E7EA1"/>
    <w:rsid w:val="007E7EA4"/>
    <w:rsid w:val="007F0043"/>
    <w:rsid w:val="007F03CE"/>
    <w:rsid w:val="007F04D3"/>
    <w:rsid w:val="007F0DB7"/>
    <w:rsid w:val="007F0E95"/>
    <w:rsid w:val="007F137D"/>
    <w:rsid w:val="007F2926"/>
    <w:rsid w:val="007F2D8D"/>
    <w:rsid w:val="007F2EBF"/>
    <w:rsid w:val="007F3044"/>
    <w:rsid w:val="007F3249"/>
    <w:rsid w:val="007F399E"/>
    <w:rsid w:val="007F3F87"/>
    <w:rsid w:val="007F4309"/>
    <w:rsid w:val="007F4657"/>
    <w:rsid w:val="007F49E6"/>
    <w:rsid w:val="007F4BAC"/>
    <w:rsid w:val="007F525B"/>
    <w:rsid w:val="007F5609"/>
    <w:rsid w:val="007F5625"/>
    <w:rsid w:val="007F568A"/>
    <w:rsid w:val="007F59F7"/>
    <w:rsid w:val="007F5D13"/>
    <w:rsid w:val="007F5E21"/>
    <w:rsid w:val="007F619D"/>
    <w:rsid w:val="007F6413"/>
    <w:rsid w:val="007F676E"/>
    <w:rsid w:val="007F6B11"/>
    <w:rsid w:val="007F6C91"/>
    <w:rsid w:val="007F6E2B"/>
    <w:rsid w:val="007F6F3C"/>
    <w:rsid w:val="007F7D12"/>
    <w:rsid w:val="007F7F02"/>
    <w:rsid w:val="00800258"/>
    <w:rsid w:val="00800562"/>
    <w:rsid w:val="00800C97"/>
    <w:rsid w:val="00800E69"/>
    <w:rsid w:val="008015BF"/>
    <w:rsid w:val="0080220F"/>
    <w:rsid w:val="00802735"/>
    <w:rsid w:val="008028C2"/>
    <w:rsid w:val="00802DDB"/>
    <w:rsid w:val="00803165"/>
    <w:rsid w:val="008037D8"/>
    <w:rsid w:val="00803B7E"/>
    <w:rsid w:val="00803DA6"/>
    <w:rsid w:val="00803EFB"/>
    <w:rsid w:val="008040D9"/>
    <w:rsid w:val="0080436E"/>
    <w:rsid w:val="00804937"/>
    <w:rsid w:val="00804E1E"/>
    <w:rsid w:val="00804E43"/>
    <w:rsid w:val="008050F5"/>
    <w:rsid w:val="00805112"/>
    <w:rsid w:val="0080512F"/>
    <w:rsid w:val="0080519C"/>
    <w:rsid w:val="008054C0"/>
    <w:rsid w:val="00810BC2"/>
    <w:rsid w:val="00811683"/>
    <w:rsid w:val="00811AFF"/>
    <w:rsid w:val="00812102"/>
    <w:rsid w:val="00812373"/>
    <w:rsid w:val="00813F3A"/>
    <w:rsid w:val="008140E8"/>
    <w:rsid w:val="00814271"/>
    <w:rsid w:val="00814941"/>
    <w:rsid w:val="00814955"/>
    <w:rsid w:val="00814A65"/>
    <w:rsid w:val="00814BD9"/>
    <w:rsid w:val="008158AC"/>
    <w:rsid w:val="00815CF4"/>
    <w:rsid w:val="00816805"/>
    <w:rsid w:val="00816AC4"/>
    <w:rsid w:val="00816BE8"/>
    <w:rsid w:val="00816CD5"/>
    <w:rsid w:val="00816DBD"/>
    <w:rsid w:val="00816FE2"/>
    <w:rsid w:val="00817062"/>
    <w:rsid w:val="00817991"/>
    <w:rsid w:val="00817F58"/>
    <w:rsid w:val="008203C5"/>
    <w:rsid w:val="00820B84"/>
    <w:rsid w:val="0082199B"/>
    <w:rsid w:val="00821C2A"/>
    <w:rsid w:val="008226A4"/>
    <w:rsid w:val="008227B7"/>
    <w:rsid w:val="008243A8"/>
    <w:rsid w:val="00824925"/>
    <w:rsid w:val="00824C8B"/>
    <w:rsid w:val="008252E8"/>
    <w:rsid w:val="00825BA8"/>
    <w:rsid w:val="00825C14"/>
    <w:rsid w:val="00825FD5"/>
    <w:rsid w:val="0082641D"/>
    <w:rsid w:val="008267CA"/>
    <w:rsid w:val="0082722B"/>
    <w:rsid w:val="00827C1B"/>
    <w:rsid w:val="0083016B"/>
    <w:rsid w:val="008301F1"/>
    <w:rsid w:val="00830C0E"/>
    <w:rsid w:val="00830D97"/>
    <w:rsid w:val="008313E0"/>
    <w:rsid w:val="00831742"/>
    <w:rsid w:val="008317EC"/>
    <w:rsid w:val="0083195D"/>
    <w:rsid w:val="00831B7B"/>
    <w:rsid w:val="00831D90"/>
    <w:rsid w:val="008324F3"/>
    <w:rsid w:val="00832691"/>
    <w:rsid w:val="0083296B"/>
    <w:rsid w:val="00833547"/>
    <w:rsid w:val="00833852"/>
    <w:rsid w:val="00833AB9"/>
    <w:rsid w:val="008344EC"/>
    <w:rsid w:val="00834820"/>
    <w:rsid w:val="00834C82"/>
    <w:rsid w:val="00834DB6"/>
    <w:rsid w:val="00834F93"/>
    <w:rsid w:val="008354DB"/>
    <w:rsid w:val="00840C4A"/>
    <w:rsid w:val="008411B9"/>
    <w:rsid w:val="0084122F"/>
    <w:rsid w:val="00841573"/>
    <w:rsid w:val="00841D08"/>
    <w:rsid w:val="00842D37"/>
    <w:rsid w:val="00842D43"/>
    <w:rsid w:val="0084323E"/>
    <w:rsid w:val="0084375D"/>
    <w:rsid w:val="00843D50"/>
    <w:rsid w:val="0084464E"/>
    <w:rsid w:val="008458BF"/>
    <w:rsid w:val="00846262"/>
    <w:rsid w:val="00846370"/>
    <w:rsid w:val="0084689E"/>
    <w:rsid w:val="008469F3"/>
    <w:rsid w:val="00846DCD"/>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734A"/>
    <w:rsid w:val="00857AF7"/>
    <w:rsid w:val="00860109"/>
    <w:rsid w:val="008601BD"/>
    <w:rsid w:val="00860359"/>
    <w:rsid w:val="00860700"/>
    <w:rsid w:val="00860E43"/>
    <w:rsid w:val="00860EE9"/>
    <w:rsid w:val="00861075"/>
    <w:rsid w:val="00861252"/>
    <w:rsid w:val="0086171A"/>
    <w:rsid w:val="00861B89"/>
    <w:rsid w:val="0086226C"/>
    <w:rsid w:val="00862C76"/>
    <w:rsid w:val="00863968"/>
    <w:rsid w:val="008644A4"/>
    <w:rsid w:val="00864A6C"/>
    <w:rsid w:val="00864BB1"/>
    <w:rsid w:val="00864DF7"/>
    <w:rsid w:val="00864FDB"/>
    <w:rsid w:val="00865278"/>
    <w:rsid w:val="008654F9"/>
    <w:rsid w:val="008657DA"/>
    <w:rsid w:val="008658C0"/>
    <w:rsid w:val="00866388"/>
    <w:rsid w:val="00866FE3"/>
    <w:rsid w:val="0086722D"/>
    <w:rsid w:val="00867D56"/>
    <w:rsid w:val="0087028A"/>
    <w:rsid w:val="00870BAA"/>
    <w:rsid w:val="00870D91"/>
    <w:rsid w:val="008716D1"/>
    <w:rsid w:val="008716ED"/>
    <w:rsid w:val="0087193F"/>
    <w:rsid w:val="008724E6"/>
    <w:rsid w:val="00872767"/>
    <w:rsid w:val="008728C8"/>
    <w:rsid w:val="00872A79"/>
    <w:rsid w:val="00873205"/>
    <w:rsid w:val="008735E8"/>
    <w:rsid w:val="0087377E"/>
    <w:rsid w:val="008739AB"/>
    <w:rsid w:val="00874043"/>
    <w:rsid w:val="00874594"/>
    <w:rsid w:val="00874776"/>
    <w:rsid w:val="0087487C"/>
    <w:rsid w:val="00874A07"/>
    <w:rsid w:val="00874B75"/>
    <w:rsid w:val="00875007"/>
    <w:rsid w:val="008750DB"/>
    <w:rsid w:val="00875144"/>
    <w:rsid w:val="008751B4"/>
    <w:rsid w:val="0087527F"/>
    <w:rsid w:val="0087543F"/>
    <w:rsid w:val="008754B5"/>
    <w:rsid w:val="008758A8"/>
    <w:rsid w:val="00875AF3"/>
    <w:rsid w:val="00875C06"/>
    <w:rsid w:val="008765E9"/>
    <w:rsid w:val="00876605"/>
    <w:rsid w:val="00876B13"/>
    <w:rsid w:val="00880017"/>
    <w:rsid w:val="00880305"/>
    <w:rsid w:val="00880315"/>
    <w:rsid w:val="0088031C"/>
    <w:rsid w:val="0088088A"/>
    <w:rsid w:val="00880A3F"/>
    <w:rsid w:val="00880EE2"/>
    <w:rsid w:val="00881318"/>
    <w:rsid w:val="00881732"/>
    <w:rsid w:val="008818A2"/>
    <w:rsid w:val="008820FB"/>
    <w:rsid w:val="0088213D"/>
    <w:rsid w:val="008821C6"/>
    <w:rsid w:val="0088243C"/>
    <w:rsid w:val="0088243D"/>
    <w:rsid w:val="0088251A"/>
    <w:rsid w:val="00882862"/>
    <w:rsid w:val="00882D28"/>
    <w:rsid w:val="00883A67"/>
    <w:rsid w:val="0088400F"/>
    <w:rsid w:val="008848E9"/>
    <w:rsid w:val="00884FD8"/>
    <w:rsid w:val="00885244"/>
    <w:rsid w:val="008857C7"/>
    <w:rsid w:val="008858B3"/>
    <w:rsid w:val="008866CF"/>
    <w:rsid w:val="00886782"/>
    <w:rsid w:val="008869A1"/>
    <w:rsid w:val="00886B3F"/>
    <w:rsid w:val="0089015D"/>
    <w:rsid w:val="0089021A"/>
    <w:rsid w:val="0089022E"/>
    <w:rsid w:val="00890475"/>
    <w:rsid w:val="00890A7C"/>
    <w:rsid w:val="00890D11"/>
    <w:rsid w:val="008910EE"/>
    <w:rsid w:val="00891A26"/>
    <w:rsid w:val="008923F8"/>
    <w:rsid w:val="0089253F"/>
    <w:rsid w:val="008928F1"/>
    <w:rsid w:val="00892BBF"/>
    <w:rsid w:val="00892DB5"/>
    <w:rsid w:val="00892F62"/>
    <w:rsid w:val="0089389C"/>
    <w:rsid w:val="0089414C"/>
    <w:rsid w:val="008942BD"/>
    <w:rsid w:val="0089478A"/>
    <w:rsid w:val="0089480A"/>
    <w:rsid w:val="00894BEE"/>
    <w:rsid w:val="00894F71"/>
    <w:rsid w:val="00894FE5"/>
    <w:rsid w:val="008954D2"/>
    <w:rsid w:val="00895658"/>
    <w:rsid w:val="008956DA"/>
    <w:rsid w:val="008959E5"/>
    <w:rsid w:val="00895BA9"/>
    <w:rsid w:val="00895D79"/>
    <w:rsid w:val="0089601B"/>
    <w:rsid w:val="0089655D"/>
    <w:rsid w:val="00896784"/>
    <w:rsid w:val="00897824"/>
    <w:rsid w:val="008979DB"/>
    <w:rsid w:val="00897BCB"/>
    <w:rsid w:val="00897C07"/>
    <w:rsid w:val="00897DBA"/>
    <w:rsid w:val="008A02FA"/>
    <w:rsid w:val="008A06A8"/>
    <w:rsid w:val="008A1AAC"/>
    <w:rsid w:val="008A1D3C"/>
    <w:rsid w:val="008A20CA"/>
    <w:rsid w:val="008A239B"/>
    <w:rsid w:val="008A27D1"/>
    <w:rsid w:val="008A2956"/>
    <w:rsid w:val="008A2EA1"/>
    <w:rsid w:val="008A2EF6"/>
    <w:rsid w:val="008A3480"/>
    <w:rsid w:val="008A425D"/>
    <w:rsid w:val="008A4B88"/>
    <w:rsid w:val="008A4F3C"/>
    <w:rsid w:val="008A51AD"/>
    <w:rsid w:val="008A53BA"/>
    <w:rsid w:val="008A551D"/>
    <w:rsid w:val="008A56BA"/>
    <w:rsid w:val="008A570A"/>
    <w:rsid w:val="008A58E4"/>
    <w:rsid w:val="008A58E7"/>
    <w:rsid w:val="008A5A64"/>
    <w:rsid w:val="008A5C1D"/>
    <w:rsid w:val="008A615A"/>
    <w:rsid w:val="008A650C"/>
    <w:rsid w:val="008A6A36"/>
    <w:rsid w:val="008A6CB9"/>
    <w:rsid w:val="008A6DC1"/>
    <w:rsid w:val="008A7100"/>
    <w:rsid w:val="008A7139"/>
    <w:rsid w:val="008A776D"/>
    <w:rsid w:val="008A7C74"/>
    <w:rsid w:val="008B0107"/>
    <w:rsid w:val="008B04C0"/>
    <w:rsid w:val="008B0A83"/>
    <w:rsid w:val="008B0B13"/>
    <w:rsid w:val="008B0E93"/>
    <w:rsid w:val="008B198D"/>
    <w:rsid w:val="008B2709"/>
    <w:rsid w:val="008B29A4"/>
    <w:rsid w:val="008B2BB4"/>
    <w:rsid w:val="008B2C30"/>
    <w:rsid w:val="008B2D73"/>
    <w:rsid w:val="008B3AB6"/>
    <w:rsid w:val="008B3C2B"/>
    <w:rsid w:val="008B4679"/>
    <w:rsid w:val="008B4D00"/>
    <w:rsid w:val="008B4D13"/>
    <w:rsid w:val="008B4E78"/>
    <w:rsid w:val="008B4FE2"/>
    <w:rsid w:val="008B61A1"/>
    <w:rsid w:val="008B66EE"/>
    <w:rsid w:val="008B6793"/>
    <w:rsid w:val="008B6E62"/>
    <w:rsid w:val="008B6E87"/>
    <w:rsid w:val="008B728A"/>
    <w:rsid w:val="008B7342"/>
    <w:rsid w:val="008B75C2"/>
    <w:rsid w:val="008B770F"/>
    <w:rsid w:val="008B787A"/>
    <w:rsid w:val="008C0773"/>
    <w:rsid w:val="008C0A89"/>
    <w:rsid w:val="008C0E71"/>
    <w:rsid w:val="008C1852"/>
    <w:rsid w:val="008C27B4"/>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E21"/>
    <w:rsid w:val="008C7F4F"/>
    <w:rsid w:val="008D00F3"/>
    <w:rsid w:val="008D0F27"/>
    <w:rsid w:val="008D15A2"/>
    <w:rsid w:val="008D18CD"/>
    <w:rsid w:val="008D1F86"/>
    <w:rsid w:val="008D20E0"/>
    <w:rsid w:val="008D2796"/>
    <w:rsid w:val="008D2B6E"/>
    <w:rsid w:val="008D30AA"/>
    <w:rsid w:val="008D335C"/>
    <w:rsid w:val="008D35B7"/>
    <w:rsid w:val="008D4007"/>
    <w:rsid w:val="008D436A"/>
    <w:rsid w:val="008D4C72"/>
    <w:rsid w:val="008D50BA"/>
    <w:rsid w:val="008D561B"/>
    <w:rsid w:val="008D582B"/>
    <w:rsid w:val="008D5CF9"/>
    <w:rsid w:val="008D5D0A"/>
    <w:rsid w:val="008D6794"/>
    <w:rsid w:val="008D6EE4"/>
    <w:rsid w:val="008D7F65"/>
    <w:rsid w:val="008E0178"/>
    <w:rsid w:val="008E02F8"/>
    <w:rsid w:val="008E1189"/>
    <w:rsid w:val="008E12AF"/>
    <w:rsid w:val="008E1592"/>
    <w:rsid w:val="008E211C"/>
    <w:rsid w:val="008E2BB3"/>
    <w:rsid w:val="008E2BC5"/>
    <w:rsid w:val="008E2C79"/>
    <w:rsid w:val="008E3176"/>
    <w:rsid w:val="008E3564"/>
    <w:rsid w:val="008E3A0B"/>
    <w:rsid w:val="008E3A90"/>
    <w:rsid w:val="008E3AAB"/>
    <w:rsid w:val="008E4043"/>
    <w:rsid w:val="008E4163"/>
    <w:rsid w:val="008E41E2"/>
    <w:rsid w:val="008E4520"/>
    <w:rsid w:val="008E54E8"/>
    <w:rsid w:val="008E5740"/>
    <w:rsid w:val="008E5868"/>
    <w:rsid w:val="008E5DC8"/>
    <w:rsid w:val="008E642C"/>
    <w:rsid w:val="008E6465"/>
    <w:rsid w:val="008E6C57"/>
    <w:rsid w:val="008E6E66"/>
    <w:rsid w:val="008E7082"/>
    <w:rsid w:val="008E72AF"/>
    <w:rsid w:val="008F047B"/>
    <w:rsid w:val="008F0952"/>
    <w:rsid w:val="008F1154"/>
    <w:rsid w:val="008F1B84"/>
    <w:rsid w:val="008F1B9D"/>
    <w:rsid w:val="008F1DB6"/>
    <w:rsid w:val="008F1DDC"/>
    <w:rsid w:val="008F39C0"/>
    <w:rsid w:val="008F3CC0"/>
    <w:rsid w:val="008F4A84"/>
    <w:rsid w:val="008F57CD"/>
    <w:rsid w:val="008F5960"/>
    <w:rsid w:val="008F5A0C"/>
    <w:rsid w:val="008F5CD0"/>
    <w:rsid w:val="008F6100"/>
    <w:rsid w:val="008F629A"/>
    <w:rsid w:val="008F6A9B"/>
    <w:rsid w:val="008F6F03"/>
    <w:rsid w:val="008F6F9D"/>
    <w:rsid w:val="008F7603"/>
    <w:rsid w:val="008F769D"/>
    <w:rsid w:val="008F76DC"/>
    <w:rsid w:val="008F771F"/>
    <w:rsid w:val="008F7A06"/>
    <w:rsid w:val="008F7D2F"/>
    <w:rsid w:val="008F7EFC"/>
    <w:rsid w:val="009013C5"/>
    <w:rsid w:val="0090147B"/>
    <w:rsid w:val="00901649"/>
    <w:rsid w:val="00901CBA"/>
    <w:rsid w:val="00901DC6"/>
    <w:rsid w:val="009021DC"/>
    <w:rsid w:val="00902297"/>
    <w:rsid w:val="00903026"/>
    <w:rsid w:val="0090357B"/>
    <w:rsid w:val="00903832"/>
    <w:rsid w:val="00904088"/>
    <w:rsid w:val="009044BE"/>
    <w:rsid w:val="009048EB"/>
    <w:rsid w:val="00904913"/>
    <w:rsid w:val="00904D4B"/>
    <w:rsid w:val="009050B3"/>
    <w:rsid w:val="00905945"/>
    <w:rsid w:val="00905FEB"/>
    <w:rsid w:val="00906252"/>
    <w:rsid w:val="0090672E"/>
    <w:rsid w:val="00906A4F"/>
    <w:rsid w:val="00906BD6"/>
    <w:rsid w:val="00907074"/>
    <w:rsid w:val="00907240"/>
    <w:rsid w:val="009073C7"/>
    <w:rsid w:val="009078BA"/>
    <w:rsid w:val="009079C7"/>
    <w:rsid w:val="009079F7"/>
    <w:rsid w:val="00907B44"/>
    <w:rsid w:val="00907C33"/>
    <w:rsid w:val="009105EC"/>
    <w:rsid w:val="009108D2"/>
    <w:rsid w:val="00910C20"/>
    <w:rsid w:val="00910FE1"/>
    <w:rsid w:val="0091106A"/>
    <w:rsid w:val="009117D0"/>
    <w:rsid w:val="00911C77"/>
    <w:rsid w:val="00911D1C"/>
    <w:rsid w:val="00912F38"/>
    <w:rsid w:val="00913C58"/>
    <w:rsid w:val="00913FCD"/>
    <w:rsid w:val="009140B4"/>
    <w:rsid w:val="00914174"/>
    <w:rsid w:val="0091425A"/>
    <w:rsid w:val="0091428A"/>
    <w:rsid w:val="00914733"/>
    <w:rsid w:val="00914AA5"/>
    <w:rsid w:val="009162DD"/>
    <w:rsid w:val="009163E7"/>
    <w:rsid w:val="0091671A"/>
    <w:rsid w:val="009169F6"/>
    <w:rsid w:val="00916D5B"/>
    <w:rsid w:val="0091715C"/>
    <w:rsid w:val="0091719D"/>
    <w:rsid w:val="00917903"/>
    <w:rsid w:val="009200D3"/>
    <w:rsid w:val="00920997"/>
    <w:rsid w:val="00920B1E"/>
    <w:rsid w:val="00920DD5"/>
    <w:rsid w:val="00921161"/>
    <w:rsid w:val="0092158B"/>
    <w:rsid w:val="00921E0A"/>
    <w:rsid w:val="00922492"/>
    <w:rsid w:val="009224EB"/>
    <w:rsid w:val="0092272F"/>
    <w:rsid w:val="00922BE2"/>
    <w:rsid w:val="00922EDE"/>
    <w:rsid w:val="0092337C"/>
    <w:rsid w:val="009237D9"/>
    <w:rsid w:val="0092388C"/>
    <w:rsid w:val="009239D2"/>
    <w:rsid w:val="0092406C"/>
    <w:rsid w:val="00924096"/>
    <w:rsid w:val="009243BC"/>
    <w:rsid w:val="009244D5"/>
    <w:rsid w:val="009252F1"/>
    <w:rsid w:val="00925588"/>
    <w:rsid w:val="009258EA"/>
    <w:rsid w:val="00925AF5"/>
    <w:rsid w:val="00925C76"/>
    <w:rsid w:val="00926268"/>
    <w:rsid w:val="009264A2"/>
    <w:rsid w:val="00926F3D"/>
    <w:rsid w:val="0092715D"/>
    <w:rsid w:val="00927206"/>
    <w:rsid w:val="00930057"/>
    <w:rsid w:val="00930632"/>
    <w:rsid w:val="009310BC"/>
    <w:rsid w:val="00931D3F"/>
    <w:rsid w:val="009324C4"/>
    <w:rsid w:val="00932671"/>
    <w:rsid w:val="00932A7A"/>
    <w:rsid w:val="009330BF"/>
    <w:rsid w:val="00933817"/>
    <w:rsid w:val="00933C07"/>
    <w:rsid w:val="00934510"/>
    <w:rsid w:val="0093476C"/>
    <w:rsid w:val="009353F6"/>
    <w:rsid w:val="00935A1E"/>
    <w:rsid w:val="00935B7C"/>
    <w:rsid w:val="00935E3A"/>
    <w:rsid w:val="00936005"/>
    <w:rsid w:val="0093607C"/>
    <w:rsid w:val="00937A83"/>
    <w:rsid w:val="00937B51"/>
    <w:rsid w:val="00937D6C"/>
    <w:rsid w:val="00940008"/>
    <w:rsid w:val="00940FFA"/>
    <w:rsid w:val="00941503"/>
    <w:rsid w:val="00941543"/>
    <w:rsid w:val="0094187D"/>
    <w:rsid w:val="00942C90"/>
    <w:rsid w:val="00942F29"/>
    <w:rsid w:val="00942FB6"/>
    <w:rsid w:val="009434EB"/>
    <w:rsid w:val="00943EA6"/>
    <w:rsid w:val="00944400"/>
    <w:rsid w:val="009448F2"/>
    <w:rsid w:val="009448F3"/>
    <w:rsid w:val="0094524B"/>
    <w:rsid w:val="009456E3"/>
    <w:rsid w:val="00945759"/>
    <w:rsid w:val="009466E9"/>
    <w:rsid w:val="00946CB3"/>
    <w:rsid w:val="00946D20"/>
    <w:rsid w:val="00946E51"/>
    <w:rsid w:val="009473F4"/>
    <w:rsid w:val="0094767D"/>
    <w:rsid w:val="00950231"/>
    <w:rsid w:val="00950794"/>
    <w:rsid w:val="009507AA"/>
    <w:rsid w:val="0095088B"/>
    <w:rsid w:val="009509EF"/>
    <w:rsid w:val="009515CA"/>
    <w:rsid w:val="00951691"/>
    <w:rsid w:val="00951A1F"/>
    <w:rsid w:val="00951FCE"/>
    <w:rsid w:val="009521CC"/>
    <w:rsid w:val="0095226C"/>
    <w:rsid w:val="00952C05"/>
    <w:rsid w:val="00952D52"/>
    <w:rsid w:val="009540B7"/>
    <w:rsid w:val="009543D0"/>
    <w:rsid w:val="00954DAE"/>
    <w:rsid w:val="00955410"/>
    <w:rsid w:val="0095555D"/>
    <w:rsid w:val="009558EE"/>
    <w:rsid w:val="009559D5"/>
    <w:rsid w:val="00955C17"/>
    <w:rsid w:val="00955D04"/>
    <w:rsid w:val="00955FFA"/>
    <w:rsid w:val="00956170"/>
    <w:rsid w:val="00956332"/>
    <w:rsid w:val="00956BA1"/>
    <w:rsid w:val="00956D42"/>
    <w:rsid w:val="00956F0F"/>
    <w:rsid w:val="00957065"/>
    <w:rsid w:val="0095727F"/>
    <w:rsid w:val="009572AF"/>
    <w:rsid w:val="00957E41"/>
    <w:rsid w:val="0096023A"/>
    <w:rsid w:val="0096068A"/>
    <w:rsid w:val="009607AB"/>
    <w:rsid w:val="00960A9A"/>
    <w:rsid w:val="009615DB"/>
    <w:rsid w:val="00962683"/>
    <w:rsid w:val="00962E23"/>
    <w:rsid w:val="00963149"/>
    <w:rsid w:val="009643CA"/>
    <w:rsid w:val="0096456D"/>
    <w:rsid w:val="0096487C"/>
    <w:rsid w:val="00964BC2"/>
    <w:rsid w:val="00964D4A"/>
    <w:rsid w:val="00964EAE"/>
    <w:rsid w:val="00965023"/>
    <w:rsid w:val="009650B7"/>
    <w:rsid w:val="0096515D"/>
    <w:rsid w:val="00965841"/>
    <w:rsid w:val="00965EE1"/>
    <w:rsid w:val="00966623"/>
    <w:rsid w:val="009668D5"/>
    <w:rsid w:val="00966D23"/>
    <w:rsid w:val="009678DB"/>
    <w:rsid w:val="00970728"/>
    <w:rsid w:val="009707C9"/>
    <w:rsid w:val="0097082A"/>
    <w:rsid w:val="00971618"/>
    <w:rsid w:val="00971E0B"/>
    <w:rsid w:val="00972101"/>
    <w:rsid w:val="00972D22"/>
    <w:rsid w:val="00972FB5"/>
    <w:rsid w:val="00973510"/>
    <w:rsid w:val="009736FE"/>
    <w:rsid w:val="00973B96"/>
    <w:rsid w:val="00973BAA"/>
    <w:rsid w:val="00973E3C"/>
    <w:rsid w:val="00974763"/>
    <w:rsid w:val="009757CA"/>
    <w:rsid w:val="00975C9D"/>
    <w:rsid w:val="00976E76"/>
    <w:rsid w:val="00977065"/>
    <w:rsid w:val="00977A14"/>
    <w:rsid w:val="00977B3D"/>
    <w:rsid w:val="00977E9B"/>
    <w:rsid w:val="009807BF"/>
    <w:rsid w:val="009809CE"/>
    <w:rsid w:val="009809E3"/>
    <w:rsid w:val="00980D42"/>
    <w:rsid w:val="0098131F"/>
    <w:rsid w:val="00981479"/>
    <w:rsid w:val="00981CF9"/>
    <w:rsid w:val="00982295"/>
    <w:rsid w:val="009829B3"/>
    <w:rsid w:val="00982C31"/>
    <w:rsid w:val="00982D45"/>
    <w:rsid w:val="00982FE4"/>
    <w:rsid w:val="00983165"/>
    <w:rsid w:val="00983343"/>
    <w:rsid w:val="009833C4"/>
    <w:rsid w:val="009834E0"/>
    <w:rsid w:val="009838FF"/>
    <w:rsid w:val="00984149"/>
    <w:rsid w:val="00984788"/>
    <w:rsid w:val="00984909"/>
    <w:rsid w:val="00984D7E"/>
    <w:rsid w:val="00984FF3"/>
    <w:rsid w:val="00984FF9"/>
    <w:rsid w:val="009850C5"/>
    <w:rsid w:val="0098580E"/>
    <w:rsid w:val="00986326"/>
    <w:rsid w:val="00986849"/>
    <w:rsid w:val="009869A2"/>
    <w:rsid w:val="00986BB7"/>
    <w:rsid w:val="00986D4B"/>
    <w:rsid w:val="00986E1E"/>
    <w:rsid w:val="00986F6D"/>
    <w:rsid w:val="0098727C"/>
    <w:rsid w:val="00987708"/>
    <w:rsid w:val="00987DDD"/>
    <w:rsid w:val="00987DF0"/>
    <w:rsid w:val="00987DF4"/>
    <w:rsid w:val="00987E2E"/>
    <w:rsid w:val="0099008B"/>
    <w:rsid w:val="00991202"/>
    <w:rsid w:val="0099177B"/>
    <w:rsid w:val="009917E0"/>
    <w:rsid w:val="0099367E"/>
    <w:rsid w:val="00993FE4"/>
    <w:rsid w:val="0099425E"/>
    <w:rsid w:val="0099482F"/>
    <w:rsid w:val="00994CDC"/>
    <w:rsid w:val="0099650D"/>
    <w:rsid w:val="009969CD"/>
    <w:rsid w:val="00996CFC"/>
    <w:rsid w:val="0099770A"/>
    <w:rsid w:val="00997769"/>
    <w:rsid w:val="00997A2E"/>
    <w:rsid w:val="009A048E"/>
    <w:rsid w:val="009A119F"/>
    <w:rsid w:val="009A1609"/>
    <w:rsid w:val="009A1A7E"/>
    <w:rsid w:val="009A3480"/>
    <w:rsid w:val="009A3DB8"/>
    <w:rsid w:val="009A4356"/>
    <w:rsid w:val="009A43B3"/>
    <w:rsid w:val="009A464D"/>
    <w:rsid w:val="009A496F"/>
    <w:rsid w:val="009A4B78"/>
    <w:rsid w:val="009A4D73"/>
    <w:rsid w:val="009A4E41"/>
    <w:rsid w:val="009A5297"/>
    <w:rsid w:val="009A5326"/>
    <w:rsid w:val="009A5D40"/>
    <w:rsid w:val="009A5E10"/>
    <w:rsid w:val="009A5E9E"/>
    <w:rsid w:val="009A629D"/>
    <w:rsid w:val="009A6665"/>
    <w:rsid w:val="009A6785"/>
    <w:rsid w:val="009A743F"/>
    <w:rsid w:val="009A74F7"/>
    <w:rsid w:val="009A76B0"/>
    <w:rsid w:val="009A7FD7"/>
    <w:rsid w:val="009B00F2"/>
    <w:rsid w:val="009B0FB2"/>
    <w:rsid w:val="009B1113"/>
    <w:rsid w:val="009B13B4"/>
    <w:rsid w:val="009B1C34"/>
    <w:rsid w:val="009B1D22"/>
    <w:rsid w:val="009B1E86"/>
    <w:rsid w:val="009B27C4"/>
    <w:rsid w:val="009B2D92"/>
    <w:rsid w:val="009B3250"/>
    <w:rsid w:val="009B3344"/>
    <w:rsid w:val="009B42D2"/>
    <w:rsid w:val="009B4A06"/>
    <w:rsid w:val="009B5E9C"/>
    <w:rsid w:val="009B609E"/>
    <w:rsid w:val="009B70C8"/>
    <w:rsid w:val="009B722F"/>
    <w:rsid w:val="009B737C"/>
    <w:rsid w:val="009B742E"/>
    <w:rsid w:val="009C0AC6"/>
    <w:rsid w:val="009C0E66"/>
    <w:rsid w:val="009C0ED5"/>
    <w:rsid w:val="009C0F10"/>
    <w:rsid w:val="009C11B2"/>
    <w:rsid w:val="009C1456"/>
    <w:rsid w:val="009C164F"/>
    <w:rsid w:val="009C1C30"/>
    <w:rsid w:val="009C22DD"/>
    <w:rsid w:val="009C2640"/>
    <w:rsid w:val="009C29D5"/>
    <w:rsid w:val="009C30A0"/>
    <w:rsid w:val="009C3525"/>
    <w:rsid w:val="009C359E"/>
    <w:rsid w:val="009C35C5"/>
    <w:rsid w:val="009C37FE"/>
    <w:rsid w:val="009C4082"/>
    <w:rsid w:val="009C4806"/>
    <w:rsid w:val="009C4A38"/>
    <w:rsid w:val="009C4AD8"/>
    <w:rsid w:val="009C4C4C"/>
    <w:rsid w:val="009C4D3D"/>
    <w:rsid w:val="009C55E2"/>
    <w:rsid w:val="009C5A4E"/>
    <w:rsid w:val="009C5EE5"/>
    <w:rsid w:val="009C61E3"/>
    <w:rsid w:val="009C6B56"/>
    <w:rsid w:val="009C6C93"/>
    <w:rsid w:val="009C76F9"/>
    <w:rsid w:val="009C7785"/>
    <w:rsid w:val="009C7DB8"/>
    <w:rsid w:val="009C7FF0"/>
    <w:rsid w:val="009D010D"/>
    <w:rsid w:val="009D0244"/>
    <w:rsid w:val="009D050F"/>
    <w:rsid w:val="009D0F71"/>
    <w:rsid w:val="009D111C"/>
    <w:rsid w:val="009D141A"/>
    <w:rsid w:val="009D17A0"/>
    <w:rsid w:val="009D1A08"/>
    <w:rsid w:val="009D1F7A"/>
    <w:rsid w:val="009D2165"/>
    <w:rsid w:val="009D2873"/>
    <w:rsid w:val="009D2942"/>
    <w:rsid w:val="009D2EAE"/>
    <w:rsid w:val="009D3175"/>
    <w:rsid w:val="009D3827"/>
    <w:rsid w:val="009D3A1A"/>
    <w:rsid w:val="009D426A"/>
    <w:rsid w:val="009D5BDB"/>
    <w:rsid w:val="009D5CCA"/>
    <w:rsid w:val="009D6B03"/>
    <w:rsid w:val="009D6B3D"/>
    <w:rsid w:val="009D7422"/>
    <w:rsid w:val="009D77A4"/>
    <w:rsid w:val="009D78E7"/>
    <w:rsid w:val="009E0505"/>
    <w:rsid w:val="009E0742"/>
    <w:rsid w:val="009E1291"/>
    <w:rsid w:val="009E12BC"/>
    <w:rsid w:val="009E224D"/>
    <w:rsid w:val="009E26D5"/>
    <w:rsid w:val="009E276C"/>
    <w:rsid w:val="009E2A07"/>
    <w:rsid w:val="009E3398"/>
    <w:rsid w:val="009E3577"/>
    <w:rsid w:val="009E3D2B"/>
    <w:rsid w:val="009E3E84"/>
    <w:rsid w:val="009E4097"/>
    <w:rsid w:val="009E4664"/>
    <w:rsid w:val="009E4D8E"/>
    <w:rsid w:val="009E4E90"/>
    <w:rsid w:val="009E4EB7"/>
    <w:rsid w:val="009E56C7"/>
    <w:rsid w:val="009E57C1"/>
    <w:rsid w:val="009E624A"/>
    <w:rsid w:val="009E6B32"/>
    <w:rsid w:val="009E70F3"/>
    <w:rsid w:val="009E7E98"/>
    <w:rsid w:val="009F00EE"/>
    <w:rsid w:val="009F0827"/>
    <w:rsid w:val="009F0BED"/>
    <w:rsid w:val="009F1673"/>
    <w:rsid w:val="009F1EA5"/>
    <w:rsid w:val="009F24E1"/>
    <w:rsid w:val="009F3160"/>
    <w:rsid w:val="009F3255"/>
    <w:rsid w:val="009F34AA"/>
    <w:rsid w:val="009F3DCE"/>
    <w:rsid w:val="009F44FF"/>
    <w:rsid w:val="009F46E8"/>
    <w:rsid w:val="009F472D"/>
    <w:rsid w:val="009F4CF0"/>
    <w:rsid w:val="009F4E88"/>
    <w:rsid w:val="009F50D1"/>
    <w:rsid w:val="009F568A"/>
    <w:rsid w:val="009F573B"/>
    <w:rsid w:val="009F5918"/>
    <w:rsid w:val="009F596D"/>
    <w:rsid w:val="009F6A91"/>
    <w:rsid w:val="009F6D3E"/>
    <w:rsid w:val="009F71A6"/>
    <w:rsid w:val="009F71AA"/>
    <w:rsid w:val="009F7326"/>
    <w:rsid w:val="009F754A"/>
    <w:rsid w:val="009F791F"/>
    <w:rsid w:val="009F7F86"/>
    <w:rsid w:val="00A0034D"/>
    <w:rsid w:val="00A00BFB"/>
    <w:rsid w:val="00A00DCF"/>
    <w:rsid w:val="00A01046"/>
    <w:rsid w:val="00A0126C"/>
    <w:rsid w:val="00A012DA"/>
    <w:rsid w:val="00A0187E"/>
    <w:rsid w:val="00A02450"/>
    <w:rsid w:val="00A026F0"/>
    <w:rsid w:val="00A02B4B"/>
    <w:rsid w:val="00A02F2D"/>
    <w:rsid w:val="00A02F61"/>
    <w:rsid w:val="00A03BF0"/>
    <w:rsid w:val="00A03E0E"/>
    <w:rsid w:val="00A040D1"/>
    <w:rsid w:val="00A04424"/>
    <w:rsid w:val="00A04A0A"/>
    <w:rsid w:val="00A050A8"/>
    <w:rsid w:val="00A056A3"/>
    <w:rsid w:val="00A056AA"/>
    <w:rsid w:val="00A05B51"/>
    <w:rsid w:val="00A06286"/>
    <w:rsid w:val="00A06318"/>
    <w:rsid w:val="00A063BC"/>
    <w:rsid w:val="00A068E1"/>
    <w:rsid w:val="00A06A80"/>
    <w:rsid w:val="00A06D8A"/>
    <w:rsid w:val="00A0711F"/>
    <w:rsid w:val="00A07B0B"/>
    <w:rsid w:val="00A07CC9"/>
    <w:rsid w:val="00A102A0"/>
    <w:rsid w:val="00A108C2"/>
    <w:rsid w:val="00A114FA"/>
    <w:rsid w:val="00A11AF3"/>
    <w:rsid w:val="00A12C09"/>
    <w:rsid w:val="00A13084"/>
    <w:rsid w:val="00A1327F"/>
    <w:rsid w:val="00A13285"/>
    <w:rsid w:val="00A13817"/>
    <w:rsid w:val="00A138D3"/>
    <w:rsid w:val="00A13E0F"/>
    <w:rsid w:val="00A144B7"/>
    <w:rsid w:val="00A14951"/>
    <w:rsid w:val="00A149B4"/>
    <w:rsid w:val="00A15F4F"/>
    <w:rsid w:val="00A160AB"/>
    <w:rsid w:val="00A160F0"/>
    <w:rsid w:val="00A16223"/>
    <w:rsid w:val="00A16745"/>
    <w:rsid w:val="00A16747"/>
    <w:rsid w:val="00A17C1D"/>
    <w:rsid w:val="00A20013"/>
    <w:rsid w:val="00A20582"/>
    <w:rsid w:val="00A20C65"/>
    <w:rsid w:val="00A214B2"/>
    <w:rsid w:val="00A21767"/>
    <w:rsid w:val="00A21FD5"/>
    <w:rsid w:val="00A22751"/>
    <w:rsid w:val="00A22940"/>
    <w:rsid w:val="00A23102"/>
    <w:rsid w:val="00A23284"/>
    <w:rsid w:val="00A2343F"/>
    <w:rsid w:val="00A23505"/>
    <w:rsid w:val="00A23598"/>
    <w:rsid w:val="00A2373B"/>
    <w:rsid w:val="00A23B4C"/>
    <w:rsid w:val="00A2428B"/>
    <w:rsid w:val="00A2476B"/>
    <w:rsid w:val="00A247E5"/>
    <w:rsid w:val="00A24D81"/>
    <w:rsid w:val="00A24EA5"/>
    <w:rsid w:val="00A25173"/>
    <w:rsid w:val="00A251AA"/>
    <w:rsid w:val="00A25287"/>
    <w:rsid w:val="00A252F0"/>
    <w:rsid w:val="00A259F2"/>
    <w:rsid w:val="00A25FDB"/>
    <w:rsid w:val="00A26463"/>
    <w:rsid w:val="00A26608"/>
    <w:rsid w:val="00A2660E"/>
    <w:rsid w:val="00A26916"/>
    <w:rsid w:val="00A26B47"/>
    <w:rsid w:val="00A26FF1"/>
    <w:rsid w:val="00A27806"/>
    <w:rsid w:val="00A3068C"/>
    <w:rsid w:val="00A3127F"/>
    <w:rsid w:val="00A31922"/>
    <w:rsid w:val="00A31BCC"/>
    <w:rsid w:val="00A31C70"/>
    <w:rsid w:val="00A32382"/>
    <w:rsid w:val="00A325BB"/>
    <w:rsid w:val="00A3297A"/>
    <w:rsid w:val="00A32A58"/>
    <w:rsid w:val="00A32EEC"/>
    <w:rsid w:val="00A336C5"/>
    <w:rsid w:val="00A3510A"/>
    <w:rsid w:val="00A3515F"/>
    <w:rsid w:val="00A35751"/>
    <w:rsid w:val="00A35762"/>
    <w:rsid w:val="00A3577F"/>
    <w:rsid w:val="00A35BBC"/>
    <w:rsid w:val="00A35DAB"/>
    <w:rsid w:val="00A36724"/>
    <w:rsid w:val="00A367AF"/>
    <w:rsid w:val="00A36AA0"/>
    <w:rsid w:val="00A36B2D"/>
    <w:rsid w:val="00A36C13"/>
    <w:rsid w:val="00A377C2"/>
    <w:rsid w:val="00A37A31"/>
    <w:rsid w:val="00A40B1F"/>
    <w:rsid w:val="00A40B4D"/>
    <w:rsid w:val="00A411E2"/>
    <w:rsid w:val="00A41319"/>
    <w:rsid w:val="00A41373"/>
    <w:rsid w:val="00A41638"/>
    <w:rsid w:val="00A41B15"/>
    <w:rsid w:val="00A4224E"/>
    <w:rsid w:val="00A4229F"/>
    <w:rsid w:val="00A428A9"/>
    <w:rsid w:val="00A42ACA"/>
    <w:rsid w:val="00A43AAB"/>
    <w:rsid w:val="00A43AFE"/>
    <w:rsid w:val="00A446CA"/>
    <w:rsid w:val="00A44AAD"/>
    <w:rsid w:val="00A44E8A"/>
    <w:rsid w:val="00A45280"/>
    <w:rsid w:val="00A45BF7"/>
    <w:rsid w:val="00A463B5"/>
    <w:rsid w:val="00A463BA"/>
    <w:rsid w:val="00A46675"/>
    <w:rsid w:val="00A471A3"/>
    <w:rsid w:val="00A47597"/>
    <w:rsid w:val="00A47E08"/>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486"/>
    <w:rsid w:val="00A5298E"/>
    <w:rsid w:val="00A52B3E"/>
    <w:rsid w:val="00A5313B"/>
    <w:rsid w:val="00A5320E"/>
    <w:rsid w:val="00A53F7B"/>
    <w:rsid w:val="00A54090"/>
    <w:rsid w:val="00A54282"/>
    <w:rsid w:val="00A549D3"/>
    <w:rsid w:val="00A54DF0"/>
    <w:rsid w:val="00A56E99"/>
    <w:rsid w:val="00A57212"/>
    <w:rsid w:val="00A5775D"/>
    <w:rsid w:val="00A57E98"/>
    <w:rsid w:val="00A60849"/>
    <w:rsid w:val="00A6105B"/>
    <w:rsid w:val="00A61355"/>
    <w:rsid w:val="00A61668"/>
    <w:rsid w:val="00A621D3"/>
    <w:rsid w:val="00A628F8"/>
    <w:rsid w:val="00A62B7A"/>
    <w:rsid w:val="00A632EA"/>
    <w:rsid w:val="00A634BE"/>
    <w:rsid w:val="00A6376E"/>
    <w:rsid w:val="00A63AD7"/>
    <w:rsid w:val="00A63BFD"/>
    <w:rsid w:val="00A6444A"/>
    <w:rsid w:val="00A6491F"/>
    <w:rsid w:val="00A64C72"/>
    <w:rsid w:val="00A64D1A"/>
    <w:rsid w:val="00A65320"/>
    <w:rsid w:val="00A65BA5"/>
    <w:rsid w:val="00A66288"/>
    <w:rsid w:val="00A66354"/>
    <w:rsid w:val="00A66E37"/>
    <w:rsid w:val="00A66ECF"/>
    <w:rsid w:val="00A67E38"/>
    <w:rsid w:val="00A7018D"/>
    <w:rsid w:val="00A703E4"/>
    <w:rsid w:val="00A7098D"/>
    <w:rsid w:val="00A70DC6"/>
    <w:rsid w:val="00A71080"/>
    <w:rsid w:val="00A713B3"/>
    <w:rsid w:val="00A71986"/>
    <w:rsid w:val="00A71E73"/>
    <w:rsid w:val="00A72740"/>
    <w:rsid w:val="00A736AF"/>
    <w:rsid w:val="00A73A64"/>
    <w:rsid w:val="00A742AD"/>
    <w:rsid w:val="00A746D7"/>
    <w:rsid w:val="00A74AB2"/>
    <w:rsid w:val="00A75A46"/>
    <w:rsid w:val="00A75B36"/>
    <w:rsid w:val="00A762F1"/>
    <w:rsid w:val="00A7663A"/>
    <w:rsid w:val="00A7696B"/>
    <w:rsid w:val="00A769D4"/>
    <w:rsid w:val="00A80268"/>
    <w:rsid w:val="00A804C7"/>
    <w:rsid w:val="00A80857"/>
    <w:rsid w:val="00A80A39"/>
    <w:rsid w:val="00A80DF0"/>
    <w:rsid w:val="00A80E64"/>
    <w:rsid w:val="00A81A16"/>
    <w:rsid w:val="00A823A7"/>
    <w:rsid w:val="00A825C8"/>
    <w:rsid w:val="00A82742"/>
    <w:rsid w:val="00A82E81"/>
    <w:rsid w:val="00A835A0"/>
    <w:rsid w:val="00A83984"/>
    <w:rsid w:val="00A83A1E"/>
    <w:rsid w:val="00A84198"/>
    <w:rsid w:val="00A841AB"/>
    <w:rsid w:val="00A84C7D"/>
    <w:rsid w:val="00A84FFD"/>
    <w:rsid w:val="00A85EBF"/>
    <w:rsid w:val="00A86104"/>
    <w:rsid w:val="00A8655A"/>
    <w:rsid w:val="00A87203"/>
    <w:rsid w:val="00A87744"/>
    <w:rsid w:val="00A87AE6"/>
    <w:rsid w:val="00A87B09"/>
    <w:rsid w:val="00A87C22"/>
    <w:rsid w:val="00A90590"/>
    <w:rsid w:val="00A905C2"/>
    <w:rsid w:val="00A90A97"/>
    <w:rsid w:val="00A90CB4"/>
    <w:rsid w:val="00A910DA"/>
    <w:rsid w:val="00A91DC9"/>
    <w:rsid w:val="00A920E1"/>
    <w:rsid w:val="00A923D6"/>
    <w:rsid w:val="00A92A91"/>
    <w:rsid w:val="00A92B42"/>
    <w:rsid w:val="00A933AE"/>
    <w:rsid w:val="00A937C8"/>
    <w:rsid w:val="00A93863"/>
    <w:rsid w:val="00A9415E"/>
    <w:rsid w:val="00A9423F"/>
    <w:rsid w:val="00A94EBD"/>
    <w:rsid w:val="00A9510D"/>
    <w:rsid w:val="00A956AC"/>
    <w:rsid w:val="00A95D2A"/>
    <w:rsid w:val="00A96214"/>
    <w:rsid w:val="00A967E8"/>
    <w:rsid w:val="00A96C52"/>
    <w:rsid w:val="00A96F24"/>
    <w:rsid w:val="00A97AF8"/>
    <w:rsid w:val="00A97D38"/>
    <w:rsid w:val="00A97F4B"/>
    <w:rsid w:val="00AA04C5"/>
    <w:rsid w:val="00AA1044"/>
    <w:rsid w:val="00AA10B1"/>
    <w:rsid w:val="00AA190B"/>
    <w:rsid w:val="00AA239B"/>
    <w:rsid w:val="00AA2803"/>
    <w:rsid w:val="00AA2BF2"/>
    <w:rsid w:val="00AA2D65"/>
    <w:rsid w:val="00AA2D68"/>
    <w:rsid w:val="00AA2D6F"/>
    <w:rsid w:val="00AA3987"/>
    <w:rsid w:val="00AA3B68"/>
    <w:rsid w:val="00AA3E79"/>
    <w:rsid w:val="00AA447C"/>
    <w:rsid w:val="00AA4FB4"/>
    <w:rsid w:val="00AA5C0B"/>
    <w:rsid w:val="00AA5E3B"/>
    <w:rsid w:val="00AA63AD"/>
    <w:rsid w:val="00AA65B4"/>
    <w:rsid w:val="00AA745E"/>
    <w:rsid w:val="00AA7E43"/>
    <w:rsid w:val="00AB0352"/>
    <w:rsid w:val="00AB047A"/>
    <w:rsid w:val="00AB04AB"/>
    <w:rsid w:val="00AB0733"/>
    <w:rsid w:val="00AB09D2"/>
    <w:rsid w:val="00AB0B64"/>
    <w:rsid w:val="00AB0C30"/>
    <w:rsid w:val="00AB161B"/>
    <w:rsid w:val="00AB176B"/>
    <w:rsid w:val="00AB37E6"/>
    <w:rsid w:val="00AB3DBA"/>
    <w:rsid w:val="00AB431C"/>
    <w:rsid w:val="00AB470E"/>
    <w:rsid w:val="00AB4E38"/>
    <w:rsid w:val="00AB5A7E"/>
    <w:rsid w:val="00AB7538"/>
    <w:rsid w:val="00AB75A7"/>
    <w:rsid w:val="00AB77F3"/>
    <w:rsid w:val="00AB7BE7"/>
    <w:rsid w:val="00AC0AAD"/>
    <w:rsid w:val="00AC0C2A"/>
    <w:rsid w:val="00AC1231"/>
    <w:rsid w:val="00AC15D4"/>
    <w:rsid w:val="00AC1992"/>
    <w:rsid w:val="00AC1E14"/>
    <w:rsid w:val="00AC2CFA"/>
    <w:rsid w:val="00AC3263"/>
    <w:rsid w:val="00AC3E12"/>
    <w:rsid w:val="00AC406E"/>
    <w:rsid w:val="00AC430C"/>
    <w:rsid w:val="00AC4A6B"/>
    <w:rsid w:val="00AC5C19"/>
    <w:rsid w:val="00AC60F0"/>
    <w:rsid w:val="00AC6657"/>
    <w:rsid w:val="00AC6A24"/>
    <w:rsid w:val="00AC6D7A"/>
    <w:rsid w:val="00AC72B0"/>
    <w:rsid w:val="00AC7363"/>
    <w:rsid w:val="00AC7401"/>
    <w:rsid w:val="00AC7901"/>
    <w:rsid w:val="00AC79F3"/>
    <w:rsid w:val="00AC7F15"/>
    <w:rsid w:val="00AC7FDD"/>
    <w:rsid w:val="00AD0949"/>
    <w:rsid w:val="00AD0F1D"/>
    <w:rsid w:val="00AD1179"/>
    <w:rsid w:val="00AD1359"/>
    <w:rsid w:val="00AD194B"/>
    <w:rsid w:val="00AD19F0"/>
    <w:rsid w:val="00AD1FCE"/>
    <w:rsid w:val="00AD26E1"/>
    <w:rsid w:val="00AD29CC"/>
    <w:rsid w:val="00AD3268"/>
    <w:rsid w:val="00AD3DE2"/>
    <w:rsid w:val="00AD4261"/>
    <w:rsid w:val="00AD4473"/>
    <w:rsid w:val="00AD46F5"/>
    <w:rsid w:val="00AD4FA4"/>
    <w:rsid w:val="00AD51A3"/>
    <w:rsid w:val="00AD598B"/>
    <w:rsid w:val="00AD6023"/>
    <w:rsid w:val="00AD7154"/>
    <w:rsid w:val="00AD7844"/>
    <w:rsid w:val="00AD797D"/>
    <w:rsid w:val="00AD7C94"/>
    <w:rsid w:val="00AD7E02"/>
    <w:rsid w:val="00AE0483"/>
    <w:rsid w:val="00AE08DD"/>
    <w:rsid w:val="00AE13BD"/>
    <w:rsid w:val="00AE1681"/>
    <w:rsid w:val="00AE1AF9"/>
    <w:rsid w:val="00AE1E60"/>
    <w:rsid w:val="00AE2068"/>
    <w:rsid w:val="00AE2258"/>
    <w:rsid w:val="00AE277E"/>
    <w:rsid w:val="00AE2A36"/>
    <w:rsid w:val="00AE2BC6"/>
    <w:rsid w:val="00AE2D1B"/>
    <w:rsid w:val="00AE3251"/>
    <w:rsid w:val="00AE3FE0"/>
    <w:rsid w:val="00AE44A2"/>
    <w:rsid w:val="00AE4565"/>
    <w:rsid w:val="00AE4A71"/>
    <w:rsid w:val="00AE5058"/>
    <w:rsid w:val="00AE5170"/>
    <w:rsid w:val="00AE51CD"/>
    <w:rsid w:val="00AE5471"/>
    <w:rsid w:val="00AE54AA"/>
    <w:rsid w:val="00AE60E4"/>
    <w:rsid w:val="00AE6872"/>
    <w:rsid w:val="00AE6C58"/>
    <w:rsid w:val="00AE72C4"/>
    <w:rsid w:val="00AE7F05"/>
    <w:rsid w:val="00AE7F38"/>
    <w:rsid w:val="00AF054D"/>
    <w:rsid w:val="00AF0939"/>
    <w:rsid w:val="00AF0A7C"/>
    <w:rsid w:val="00AF1813"/>
    <w:rsid w:val="00AF24E7"/>
    <w:rsid w:val="00AF272B"/>
    <w:rsid w:val="00AF291B"/>
    <w:rsid w:val="00AF2DAA"/>
    <w:rsid w:val="00AF2EBD"/>
    <w:rsid w:val="00AF33AE"/>
    <w:rsid w:val="00AF409A"/>
    <w:rsid w:val="00AF44B1"/>
    <w:rsid w:val="00AF5800"/>
    <w:rsid w:val="00AF6986"/>
    <w:rsid w:val="00AF6D1B"/>
    <w:rsid w:val="00AF73ED"/>
    <w:rsid w:val="00AF7ACC"/>
    <w:rsid w:val="00AF7D69"/>
    <w:rsid w:val="00AF7ED2"/>
    <w:rsid w:val="00B004D8"/>
    <w:rsid w:val="00B00830"/>
    <w:rsid w:val="00B00CC5"/>
    <w:rsid w:val="00B00F8A"/>
    <w:rsid w:val="00B016D2"/>
    <w:rsid w:val="00B01E41"/>
    <w:rsid w:val="00B02091"/>
    <w:rsid w:val="00B02B3F"/>
    <w:rsid w:val="00B02B43"/>
    <w:rsid w:val="00B02BCB"/>
    <w:rsid w:val="00B03D36"/>
    <w:rsid w:val="00B03F3D"/>
    <w:rsid w:val="00B04384"/>
    <w:rsid w:val="00B04540"/>
    <w:rsid w:val="00B04FD9"/>
    <w:rsid w:val="00B05116"/>
    <w:rsid w:val="00B051A7"/>
    <w:rsid w:val="00B05574"/>
    <w:rsid w:val="00B05F1A"/>
    <w:rsid w:val="00B07B33"/>
    <w:rsid w:val="00B07FA2"/>
    <w:rsid w:val="00B100CF"/>
    <w:rsid w:val="00B105DD"/>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3A59"/>
    <w:rsid w:val="00B142D9"/>
    <w:rsid w:val="00B14BC4"/>
    <w:rsid w:val="00B156C8"/>
    <w:rsid w:val="00B158A3"/>
    <w:rsid w:val="00B15B25"/>
    <w:rsid w:val="00B15EA0"/>
    <w:rsid w:val="00B17A4E"/>
    <w:rsid w:val="00B17B2A"/>
    <w:rsid w:val="00B17B30"/>
    <w:rsid w:val="00B17C2F"/>
    <w:rsid w:val="00B21175"/>
    <w:rsid w:val="00B2153E"/>
    <w:rsid w:val="00B21FA7"/>
    <w:rsid w:val="00B22022"/>
    <w:rsid w:val="00B225E4"/>
    <w:rsid w:val="00B234AE"/>
    <w:rsid w:val="00B23F7A"/>
    <w:rsid w:val="00B240B1"/>
    <w:rsid w:val="00B24208"/>
    <w:rsid w:val="00B24728"/>
    <w:rsid w:val="00B248A9"/>
    <w:rsid w:val="00B24D28"/>
    <w:rsid w:val="00B24F1C"/>
    <w:rsid w:val="00B25890"/>
    <w:rsid w:val="00B25D76"/>
    <w:rsid w:val="00B27032"/>
    <w:rsid w:val="00B30003"/>
    <w:rsid w:val="00B31201"/>
    <w:rsid w:val="00B3167E"/>
    <w:rsid w:val="00B319F7"/>
    <w:rsid w:val="00B31B4B"/>
    <w:rsid w:val="00B31CD5"/>
    <w:rsid w:val="00B31E36"/>
    <w:rsid w:val="00B32E26"/>
    <w:rsid w:val="00B338B7"/>
    <w:rsid w:val="00B34061"/>
    <w:rsid w:val="00B3440A"/>
    <w:rsid w:val="00B34441"/>
    <w:rsid w:val="00B34954"/>
    <w:rsid w:val="00B3506B"/>
    <w:rsid w:val="00B35534"/>
    <w:rsid w:val="00B35A87"/>
    <w:rsid w:val="00B35AB6"/>
    <w:rsid w:val="00B35AFD"/>
    <w:rsid w:val="00B35F9A"/>
    <w:rsid w:val="00B36236"/>
    <w:rsid w:val="00B3662E"/>
    <w:rsid w:val="00B366D2"/>
    <w:rsid w:val="00B366FA"/>
    <w:rsid w:val="00B36E86"/>
    <w:rsid w:val="00B37122"/>
    <w:rsid w:val="00B379BA"/>
    <w:rsid w:val="00B40139"/>
    <w:rsid w:val="00B410E1"/>
    <w:rsid w:val="00B412FD"/>
    <w:rsid w:val="00B422BE"/>
    <w:rsid w:val="00B4241D"/>
    <w:rsid w:val="00B426BB"/>
    <w:rsid w:val="00B429D4"/>
    <w:rsid w:val="00B42EB9"/>
    <w:rsid w:val="00B434E9"/>
    <w:rsid w:val="00B441FE"/>
    <w:rsid w:val="00B44821"/>
    <w:rsid w:val="00B44AD3"/>
    <w:rsid w:val="00B44BDC"/>
    <w:rsid w:val="00B45152"/>
    <w:rsid w:val="00B45E54"/>
    <w:rsid w:val="00B461E5"/>
    <w:rsid w:val="00B464E4"/>
    <w:rsid w:val="00B4689A"/>
    <w:rsid w:val="00B46D5F"/>
    <w:rsid w:val="00B46E7B"/>
    <w:rsid w:val="00B47DC5"/>
    <w:rsid w:val="00B505B3"/>
    <w:rsid w:val="00B50A74"/>
    <w:rsid w:val="00B520A0"/>
    <w:rsid w:val="00B5257E"/>
    <w:rsid w:val="00B525CE"/>
    <w:rsid w:val="00B52CFD"/>
    <w:rsid w:val="00B545A8"/>
    <w:rsid w:val="00B548E8"/>
    <w:rsid w:val="00B553AA"/>
    <w:rsid w:val="00B56527"/>
    <w:rsid w:val="00B56918"/>
    <w:rsid w:val="00B576DA"/>
    <w:rsid w:val="00B57710"/>
    <w:rsid w:val="00B601C9"/>
    <w:rsid w:val="00B60D04"/>
    <w:rsid w:val="00B61EE8"/>
    <w:rsid w:val="00B62D9B"/>
    <w:rsid w:val="00B633A3"/>
    <w:rsid w:val="00B63533"/>
    <w:rsid w:val="00B63BDB"/>
    <w:rsid w:val="00B64A0E"/>
    <w:rsid w:val="00B64CC6"/>
    <w:rsid w:val="00B64DDF"/>
    <w:rsid w:val="00B65728"/>
    <w:rsid w:val="00B6601E"/>
    <w:rsid w:val="00B663AA"/>
    <w:rsid w:val="00B66DD5"/>
    <w:rsid w:val="00B6715C"/>
    <w:rsid w:val="00B67582"/>
    <w:rsid w:val="00B67B97"/>
    <w:rsid w:val="00B67F01"/>
    <w:rsid w:val="00B711AB"/>
    <w:rsid w:val="00B714E9"/>
    <w:rsid w:val="00B714F0"/>
    <w:rsid w:val="00B71A40"/>
    <w:rsid w:val="00B71BFA"/>
    <w:rsid w:val="00B71C8C"/>
    <w:rsid w:val="00B71CB4"/>
    <w:rsid w:val="00B71FD7"/>
    <w:rsid w:val="00B72003"/>
    <w:rsid w:val="00B7210F"/>
    <w:rsid w:val="00B725E7"/>
    <w:rsid w:val="00B72C07"/>
    <w:rsid w:val="00B72DF7"/>
    <w:rsid w:val="00B72F42"/>
    <w:rsid w:val="00B73E44"/>
    <w:rsid w:val="00B74290"/>
    <w:rsid w:val="00B74510"/>
    <w:rsid w:val="00B74822"/>
    <w:rsid w:val="00B74BD4"/>
    <w:rsid w:val="00B74BF7"/>
    <w:rsid w:val="00B7583B"/>
    <w:rsid w:val="00B76185"/>
    <w:rsid w:val="00B7676C"/>
    <w:rsid w:val="00B76BCD"/>
    <w:rsid w:val="00B76FBC"/>
    <w:rsid w:val="00B7782B"/>
    <w:rsid w:val="00B779E6"/>
    <w:rsid w:val="00B804E2"/>
    <w:rsid w:val="00B811B2"/>
    <w:rsid w:val="00B82024"/>
    <w:rsid w:val="00B8276E"/>
    <w:rsid w:val="00B83997"/>
    <w:rsid w:val="00B83A62"/>
    <w:rsid w:val="00B83B59"/>
    <w:rsid w:val="00B84252"/>
    <w:rsid w:val="00B84677"/>
    <w:rsid w:val="00B8468F"/>
    <w:rsid w:val="00B84FC6"/>
    <w:rsid w:val="00B857F5"/>
    <w:rsid w:val="00B85A56"/>
    <w:rsid w:val="00B85B2C"/>
    <w:rsid w:val="00B86D6C"/>
    <w:rsid w:val="00B86F47"/>
    <w:rsid w:val="00B874B4"/>
    <w:rsid w:val="00B875E9"/>
    <w:rsid w:val="00B8787A"/>
    <w:rsid w:val="00B87887"/>
    <w:rsid w:val="00B87DF6"/>
    <w:rsid w:val="00B90123"/>
    <w:rsid w:val="00B90196"/>
    <w:rsid w:val="00B90A56"/>
    <w:rsid w:val="00B90FBE"/>
    <w:rsid w:val="00B911C1"/>
    <w:rsid w:val="00B92008"/>
    <w:rsid w:val="00B922C3"/>
    <w:rsid w:val="00B9272E"/>
    <w:rsid w:val="00B927A7"/>
    <w:rsid w:val="00B92875"/>
    <w:rsid w:val="00B92B9E"/>
    <w:rsid w:val="00B92DAD"/>
    <w:rsid w:val="00B93315"/>
    <w:rsid w:val="00B93519"/>
    <w:rsid w:val="00B9372A"/>
    <w:rsid w:val="00B93FD0"/>
    <w:rsid w:val="00B9425C"/>
    <w:rsid w:val="00B94AAF"/>
    <w:rsid w:val="00B94DB1"/>
    <w:rsid w:val="00B953FF"/>
    <w:rsid w:val="00B9622D"/>
    <w:rsid w:val="00B96263"/>
    <w:rsid w:val="00B968A5"/>
    <w:rsid w:val="00B96C38"/>
    <w:rsid w:val="00B972CD"/>
    <w:rsid w:val="00B9769B"/>
    <w:rsid w:val="00B977E7"/>
    <w:rsid w:val="00B97D02"/>
    <w:rsid w:val="00BA0025"/>
    <w:rsid w:val="00BA0304"/>
    <w:rsid w:val="00BA0557"/>
    <w:rsid w:val="00BA2A34"/>
    <w:rsid w:val="00BA3038"/>
    <w:rsid w:val="00BA3319"/>
    <w:rsid w:val="00BA370A"/>
    <w:rsid w:val="00BA3826"/>
    <w:rsid w:val="00BA48BC"/>
    <w:rsid w:val="00BA4A29"/>
    <w:rsid w:val="00BA4BE7"/>
    <w:rsid w:val="00BA5F20"/>
    <w:rsid w:val="00BA68D9"/>
    <w:rsid w:val="00BA7172"/>
    <w:rsid w:val="00BA764B"/>
    <w:rsid w:val="00BA7B01"/>
    <w:rsid w:val="00BB02D7"/>
    <w:rsid w:val="00BB0B28"/>
    <w:rsid w:val="00BB0D9F"/>
    <w:rsid w:val="00BB0DEE"/>
    <w:rsid w:val="00BB1031"/>
    <w:rsid w:val="00BB1B33"/>
    <w:rsid w:val="00BB2480"/>
    <w:rsid w:val="00BB2C4E"/>
    <w:rsid w:val="00BB2E29"/>
    <w:rsid w:val="00BB2F74"/>
    <w:rsid w:val="00BB2F7A"/>
    <w:rsid w:val="00BB3206"/>
    <w:rsid w:val="00BB32C2"/>
    <w:rsid w:val="00BB3B0D"/>
    <w:rsid w:val="00BB524C"/>
    <w:rsid w:val="00BB5DAB"/>
    <w:rsid w:val="00BB6195"/>
    <w:rsid w:val="00BB61A3"/>
    <w:rsid w:val="00BB707E"/>
    <w:rsid w:val="00BB71D7"/>
    <w:rsid w:val="00BB73A7"/>
    <w:rsid w:val="00BB7568"/>
    <w:rsid w:val="00BB76F3"/>
    <w:rsid w:val="00BB7DD3"/>
    <w:rsid w:val="00BB7F82"/>
    <w:rsid w:val="00BC007C"/>
    <w:rsid w:val="00BC0AB2"/>
    <w:rsid w:val="00BC103C"/>
    <w:rsid w:val="00BC1308"/>
    <w:rsid w:val="00BC1BF4"/>
    <w:rsid w:val="00BC2600"/>
    <w:rsid w:val="00BC2F24"/>
    <w:rsid w:val="00BC33BE"/>
    <w:rsid w:val="00BC3A47"/>
    <w:rsid w:val="00BC3EEB"/>
    <w:rsid w:val="00BC4780"/>
    <w:rsid w:val="00BC4DD7"/>
    <w:rsid w:val="00BC4F46"/>
    <w:rsid w:val="00BC52C8"/>
    <w:rsid w:val="00BC5485"/>
    <w:rsid w:val="00BC549C"/>
    <w:rsid w:val="00BC570E"/>
    <w:rsid w:val="00BC5A6C"/>
    <w:rsid w:val="00BC5AF6"/>
    <w:rsid w:val="00BC5B4B"/>
    <w:rsid w:val="00BC5EDB"/>
    <w:rsid w:val="00BC69A2"/>
    <w:rsid w:val="00BC6ED6"/>
    <w:rsid w:val="00BC6F03"/>
    <w:rsid w:val="00BC6FA1"/>
    <w:rsid w:val="00BD024F"/>
    <w:rsid w:val="00BD0570"/>
    <w:rsid w:val="00BD0853"/>
    <w:rsid w:val="00BD112D"/>
    <w:rsid w:val="00BD214E"/>
    <w:rsid w:val="00BD22F7"/>
    <w:rsid w:val="00BD2395"/>
    <w:rsid w:val="00BD25B8"/>
    <w:rsid w:val="00BD2842"/>
    <w:rsid w:val="00BD2892"/>
    <w:rsid w:val="00BD3120"/>
    <w:rsid w:val="00BD3354"/>
    <w:rsid w:val="00BD368C"/>
    <w:rsid w:val="00BD384E"/>
    <w:rsid w:val="00BD3E76"/>
    <w:rsid w:val="00BD3EE2"/>
    <w:rsid w:val="00BD3FCF"/>
    <w:rsid w:val="00BD42D2"/>
    <w:rsid w:val="00BD47D7"/>
    <w:rsid w:val="00BD4EFB"/>
    <w:rsid w:val="00BD5076"/>
    <w:rsid w:val="00BD5551"/>
    <w:rsid w:val="00BD5AF1"/>
    <w:rsid w:val="00BD686A"/>
    <w:rsid w:val="00BD6D43"/>
    <w:rsid w:val="00BD7090"/>
    <w:rsid w:val="00BD7490"/>
    <w:rsid w:val="00BD767F"/>
    <w:rsid w:val="00BE0395"/>
    <w:rsid w:val="00BE0404"/>
    <w:rsid w:val="00BE09C3"/>
    <w:rsid w:val="00BE0C27"/>
    <w:rsid w:val="00BE15BB"/>
    <w:rsid w:val="00BE198F"/>
    <w:rsid w:val="00BE1A78"/>
    <w:rsid w:val="00BE473E"/>
    <w:rsid w:val="00BE5135"/>
    <w:rsid w:val="00BE5964"/>
    <w:rsid w:val="00BE5A4B"/>
    <w:rsid w:val="00BE5F2B"/>
    <w:rsid w:val="00BE660B"/>
    <w:rsid w:val="00BE6AFE"/>
    <w:rsid w:val="00BE6BBE"/>
    <w:rsid w:val="00BE6FDA"/>
    <w:rsid w:val="00BE7021"/>
    <w:rsid w:val="00BE7300"/>
    <w:rsid w:val="00BE784F"/>
    <w:rsid w:val="00BE78CE"/>
    <w:rsid w:val="00BF0238"/>
    <w:rsid w:val="00BF0717"/>
    <w:rsid w:val="00BF071D"/>
    <w:rsid w:val="00BF0E40"/>
    <w:rsid w:val="00BF1750"/>
    <w:rsid w:val="00BF178E"/>
    <w:rsid w:val="00BF189F"/>
    <w:rsid w:val="00BF1B44"/>
    <w:rsid w:val="00BF1F01"/>
    <w:rsid w:val="00BF21FF"/>
    <w:rsid w:val="00BF23CC"/>
    <w:rsid w:val="00BF243F"/>
    <w:rsid w:val="00BF284E"/>
    <w:rsid w:val="00BF2F93"/>
    <w:rsid w:val="00BF3ACF"/>
    <w:rsid w:val="00BF3C2A"/>
    <w:rsid w:val="00BF4C2B"/>
    <w:rsid w:val="00BF507A"/>
    <w:rsid w:val="00BF53F1"/>
    <w:rsid w:val="00BF5717"/>
    <w:rsid w:val="00BF5B9D"/>
    <w:rsid w:val="00BF5CD8"/>
    <w:rsid w:val="00BF5FA3"/>
    <w:rsid w:val="00BF62F2"/>
    <w:rsid w:val="00BF63A5"/>
    <w:rsid w:val="00BF72A7"/>
    <w:rsid w:val="00BF7558"/>
    <w:rsid w:val="00BF75DB"/>
    <w:rsid w:val="00C0111E"/>
    <w:rsid w:val="00C02676"/>
    <w:rsid w:val="00C029AB"/>
    <w:rsid w:val="00C02DF4"/>
    <w:rsid w:val="00C03BD5"/>
    <w:rsid w:val="00C03C8B"/>
    <w:rsid w:val="00C03F3C"/>
    <w:rsid w:val="00C049BE"/>
    <w:rsid w:val="00C04A71"/>
    <w:rsid w:val="00C04DF0"/>
    <w:rsid w:val="00C05A4C"/>
    <w:rsid w:val="00C05A67"/>
    <w:rsid w:val="00C06925"/>
    <w:rsid w:val="00C073E0"/>
    <w:rsid w:val="00C0770A"/>
    <w:rsid w:val="00C1001D"/>
    <w:rsid w:val="00C10519"/>
    <w:rsid w:val="00C10B5A"/>
    <w:rsid w:val="00C11113"/>
    <w:rsid w:val="00C11687"/>
    <w:rsid w:val="00C117BE"/>
    <w:rsid w:val="00C11E28"/>
    <w:rsid w:val="00C1225B"/>
    <w:rsid w:val="00C122F9"/>
    <w:rsid w:val="00C12459"/>
    <w:rsid w:val="00C1253A"/>
    <w:rsid w:val="00C128C9"/>
    <w:rsid w:val="00C12B36"/>
    <w:rsid w:val="00C12CF3"/>
    <w:rsid w:val="00C12F88"/>
    <w:rsid w:val="00C131A8"/>
    <w:rsid w:val="00C1322D"/>
    <w:rsid w:val="00C135A3"/>
    <w:rsid w:val="00C1477A"/>
    <w:rsid w:val="00C14A62"/>
    <w:rsid w:val="00C158EB"/>
    <w:rsid w:val="00C159B1"/>
    <w:rsid w:val="00C161F5"/>
    <w:rsid w:val="00C16C92"/>
    <w:rsid w:val="00C16DE9"/>
    <w:rsid w:val="00C1706B"/>
    <w:rsid w:val="00C17648"/>
    <w:rsid w:val="00C17DB7"/>
    <w:rsid w:val="00C17E48"/>
    <w:rsid w:val="00C17E81"/>
    <w:rsid w:val="00C17FF5"/>
    <w:rsid w:val="00C201E7"/>
    <w:rsid w:val="00C20AA2"/>
    <w:rsid w:val="00C20B91"/>
    <w:rsid w:val="00C21155"/>
    <w:rsid w:val="00C21180"/>
    <w:rsid w:val="00C2146C"/>
    <w:rsid w:val="00C214D7"/>
    <w:rsid w:val="00C21561"/>
    <w:rsid w:val="00C217EE"/>
    <w:rsid w:val="00C21CBF"/>
    <w:rsid w:val="00C22784"/>
    <w:rsid w:val="00C227D6"/>
    <w:rsid w:val="00C2395D"/>
    <w:rsid w:val="00C23A4C"/>
    <w:rsid w:val="00C2419D"/>
    <w:rsid w:val="00C243A4"/>
    <w:rsid w:val="00C24416"/>
    <w:rsid w:val="00C248DB"/>
    <w:rsid w:val="00C2609D"/>
    <w:rsid w:val="00C26170"/>
    <w:rsid w:val="00C26B5A"/>
    <w:rsid w:val="00C26D52"/>
    <w:rsid w:val="00C26F21"/>
    <w:rsid w:val="00C277DA"/>
    <w:rsid w:val="00C303E4"/>
    <w:rsid w:val="00C30775"/>
    <w:rsid w:val="00C30B8D"/>
    <w:rsid w:val="00C310BA"/>
    <w:rsid w:val="00C3134E"/>
    <w:rsid w:val="00C315D8"/>
    <w:rsid w:val="00C31C15"/>
    <w:rsid w:val="00C31C4A"/>
    <w:rsid w:val="00C31D2D"/>
    <w:rsid w:val="00C32639"/>
    <w:rsid w:val="00C32AD2"/>
    <w:rsid w:val="00C34193"/>
    <w:rsid w:val="00C347FD"/>
    <w:rsid w:val="00C34DAE"/>
    <w:rsid w:val="00C34E1E"/>
    <w:rsid w:val="00C34E5A"/>
    <w:rsid w:val="00C35A84"/>
    <w:rsid w:val="00C36219"/>
    <w:rsid w:val="00C3698E"/>
    <w:rsid w:val="00C36CCA"/>
    <w:rsid w:val="00C36E1C"/>
    <w:rsid w:val="00C36F42"/>
    <w:rsid w:val="00C3718A"/>
    <w:rsid w:val="00C377B1"/>
    <w:rsid w:val="00C379C5"/>
    <w:rsid w:val="00C37E84"/>
    <w:rsid w:val="00C37EEE"/>
    <w:rsid w:val="00C40453"/>
    <w:rsid w:val="00C40E71"/>
    <w:rsid w:val="00C41879"/>
    <w:rsid w:val="00C41A7C"/>
    <w:rsid w:val="00C424F5"/>
    <w:rsid w:val="00C42651"/>
    <w:rsid w:val="00C42CEF"/>
    <w:rsid w:val="00C42D55"/>
    <w:rsid w:val="00C43080"/>
    <w:rsid w:val="00C4370E"/>
    <w:rsid w:val="00C43823"/>
    <w:rsid w:val="00C4384B"/>
    <w:rsid w:val="00C4393C"/>
    <w:rsid w:val="00C44068"/>
    <w:rsid w:val="00C442AE"/>
    <w:rsid w:val="00C44813"/>
    <w:rsid w:val="00C4518B"/>
    <w:rsid w:val="00C45780"/>
    <w:rsid w:val="00C458D6"/>
    <w:rsid w:val="00C46268"/>
    <w:rsid w:val="00C4655A"/>
    <w:rsid w:val="00C466BF"/>
    <w:rsid w:val="00C47385"/>
    <w:rsid w:val="00C47555"/>
    <w:rsid w:val="00C476AC"/>
    <w:rsid w:val="00C47E67"/>
    <w:rsid w:val="00C47FD9"/>
    <w:rsid w:val="00C50387"/>
    <w:rsid w:val="00C50C1A"/>
    <w:rsid w:val="00C51508"/>
    <w:rsid w:val="00C51D73"/>
    <w:rsid w:val="00C51DEB"/>
    <w:rsid w:val="00C52A05"/>
    <w:rsid w:val="00C52AC3"/>
    <w:rsid w:val="00C52E97"/>
    <w:rsid w:val="00C52EAF"/>
    <w:rsid w:val="00C53189"/>
    <w:rsid w:val="00C534E5"/>
    <w:rsid w:val="00C534F4"/>
    <w:rsid w:val="00C5375B"/>
    <w:rsid w:val="00C53B15"/>
    <w:rsid w:val="00C53DA9"/>
    <w:rsid w:val="00C53EF7"/>
    <w:rsid w:val="00C54280"/>
    <w:rsid w:val="00C54929"/>
    <w:rsid w:val="00C556B1"/>
    <w:rsid w:val="00C55A05"/>
    <w:rsid w:val="00C55A12"/>
    <w:rsid w:val="00C5600F"/>
    <w:rsid w:val="00C56101"/>
    <w:rsid w:val="00C565F2"/>
    <w:rsid w:val="00C56C45"/>
    <w:rsid w:val="00C573CC"/>
    <w:rsid w:val="00C57B81"/>
    <w:rsid w:val="00C57FB9"/>
    <w:rsid w:val="00C60145"/>
    <w:rsid w:val="00C6077B"/>
    <w:rsid w:val="00C60950"/>
    <w:rsid w:val="00C609FD"/>
    <w:rsid w:val="00C60DD1"/>
    <w:rsid w:val="00C60EA8"/>
    <w:rsid w:val="00C61565"/>
    <w:rsid w:val="00C61574"/>
    <w:rsid w:val="00C615B4"/>
    <w:rsid w:val="00C61765"/>
    <w:rsid w:val="00C61A90"/>
    <w:rsid w:val="00C6211D"/>
    <w:rsid w:val="00C62B32"/>
    <w:rsid w:val="00C63DED"/>
    <w:rsid w:val="00C63E88"/>
    <w:rsid w:val="00C64F97"/>
    <w:rsid w:val="00C65585"/>
    <w:rsid w:val="00C656EB"/>
    <w:rsid w:val="00C65C5A"/>
    <w:rsid w:val="00C65D7B"/>
    <w:rsid w:val="00C65DF4"/>
    <w:rsid w:val="00C6762C"/>
    <w:rsid w:val="00C67B49"/>
    <w:rsid w:val="00C67CAC"/>
    <w:rsid w:val="00C70942"/>
    <w:rsid w:val="00C70C5E"/>
    <w:rsid w:val="00C711F5"/>
    <w:rsid w:val="00C713A1"/>
    <w:rsid w:val="00C71828"/>
    <w:rsid w:val="00C72105"/>
    <w:rsid w:val="00C72137"/>
    <w:rsid w:val="00C72BCE"/>
    <w:rsid w:val="00C74954"/>
    <w:rsid w:val="00C76028"/>
    <w:rsid w:val="00C76184"/>
    <w:rsid w:val="00C7673D"/>
    <w:rsid w:val="00C76A80"/>
    <w:rsid w:val="00C76C27"/>
    <w:rsid w:val="00C76F07"/>
    <w:rsid w:val="00C77EF6"/>
    <w:rsid w:val="00C80B4B"/>
    <w:rsid w:val="00C80D63"/>
    <w:rsid w:val="00C812D5"/>
    <w:rsid w:val="00C818D0"/>
    <w:rsid w:val="00C81BEA"/>
    <w:rsid w:val="00C81DF5"/>
    <w:rsid w:val="00C82188"/>
    <w:rsid w:val="00C8242B"/>
    <w:rsid w:val="00C829FA"/>
    <w:rsid w:val="00C82A50"/>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272E"/>
    <w:rsid w:val="00C9319C"/>
    <w:rsid w:val="00C934F6"/>
    <w:rsid w:val="00C93874"/>
    <w:rsid w:val="00C93A4C"/>
    <w:rsid w:val="00C9448D"/>
    <w:rsid w:val="00C94B87"/>
    <w:rsid w:val="00C94FD2"/>
    <w:rsid w:val="00C9514C"/>
    <w:rsid w:val="00C95319"/>
    <w:rsid w:val="00C95341"/>
    <w:rsid w:val="00C95B76"/>
    <w:rsid w:val="00C964C3"/>
    <w:rsid w:val="00C96635"/>
    <w:rsid w:val="00C966B7"/>
    <w:rsid w:val="00C969DB"/>
    <w:rsid w:val="00C978E5"/>
    <w:rsid w:val="00C97A4A"/>
    <w:rsid w:val="00C97ADD"/>
    <w:rsid w:val="00C97DC9"/>
    <w:rsid w:val="00C97EE3"/>
    <w:rsid w:val="00CA12BA"/>
    <w:rsid w:val="00CA165C"/>
    <w:rsid w:val="00CA1C0D"/>
    <w:rsid w:val="00CA1DAE"/>
    <w:rsid w:val="00CA1E27"/>
    <w:rsid w:val="00CA2267"/>
    <w:rsid w:val="00CA38AD"/>
    <w:rsid w:val="00CA413F"/>
    <w:rsid w:val="00CA5098"/>
    <w:rsid w:val="00CA5503"/>
    <w:rsid w:val="00CA55C3"/>
    <w:rsid w:val="00CA5EF0"/>
    <w:rsid w:val="00CA6289"/>
    <w:rsid w:val="00CA65B3"/>
    <w:rsid w:val="00CA66C3"/>
    <w:rsid w:val="00CA6CAD"/>
    <w:rsid w:val="00CA70A8"/>
    <w:rsid w:val="00CA70D0"/>
    <w:rsid w:val="00CA74A4"/>
    <w:rsid w:val="00CA7683"/>
    <w:rsid w:val="00CA7EA1"/>
    <w:rsid w:val="00CA7EEB"/>
    <w:rsid w:val="00CB009B"/>
    <w:rsid w:val="00CB0231"/>
    <w:rsid w:val="00CB0838"/>
    <w:rsid w:val="00CB1AFD"/>
    <w:rsid w:val="00CB1E7F"/>
    <w:rsid w:val="00CB1EB3"/>
    <w:rsid w:val="00CB2126"/>
    <w:rsid w:val="00CB24AD"/>
    <w:rsid w:val="00CB2C59"/>
    <w:rsid w:val="00CB2D9C"/>
    <w:rsid w:val="00CB34AB"/>
    <w:rsid w:val="00CB3529"/>
    <w:rsid w:val="00CB3562"/>
    <w:rsid w:val="00CB38A9"/>
    <w:rsid w:val="00CB4728"/>
    <w:rsid w:val="00CB4994"/>
    <w:rsid w:val="00CB556C"/>
    <w:rsid w:val="00CB59E7"/>
    <w:rsid w:val="00CB5E4A"/>
    <w:rsid w:val="00CB668A"/>
    <w:rsid w:val="00CB6976"/>
    <w:rsid w:val="00CB6FCA"/>
    <w:rsid w:val="00CB724D"/>
    <w:rsid w:val="00CB73EA"/>
    <w:rsid w:val="00CB7D4E"/>
    <w:rsid w:val="00CC002B"/>
    <w:rsid w:val="00CC07E5"/>
    <w:rsid w:val="00CC09F0"/>
    <w:rsid w:val="00CC0C11"/>
    <w:rsid w:val="00CC1310"/>
    <w:rsid w:val="00CC15B5"/>
    <w:rsid w:val="00CC1671"/>
    <w:rsid w:val="00CC1F52"/>
    <w:rsid w:val="00CC233F"/>
    <w:rsid w:val="00CC27FD"/>
    <w:rsid w:val="00CC31E8"/>
    <w:rsid w:val="00CC33C6"/>
    <w:rsid w:val="00CC369C"/>
    <w:rsid w:val="00CC3AB9"/>
    <w:rsid w:val="00CC3C9E"/>
    <w:rsid w:val="00CC45E0"/>
    <w:rsid w:val="00CC4BBE"/>
    <w:rsid w:val="00CC4BC3"/>
    <w:rsid w:val="00CC4ED5"/>
    <w:rsid w:val="00CC50C7"/>
    <w:rsid w:val="00CC55AC"/>
    <w:rsid w:val="00CC5859"/>
    <w:rsid w:val="00CC6159"/>
    <w:rsid w:val="00CC65A8"/>
    <w:rsid w:val="00CC6FF2"/>
    <w:rsid w:val="00CC71F3"/>
    <w:rsid w:val="00CC72C0"/>
    <w:rsid w:val="00CC757D"/>
    <w:rsid w:val="00CC7C74"/>
    <w:rsid w:val="00CD00DB"/>
    <w:rsid w:val="00CD0119"/>
    <w:rsid w:val="00CD07FD"/>
    <w:rsid w:val="00CD0866"/>
    <w:rsid w:val="00CD1169"/>
    <w:rsid w:val="00CD16C7"/>
    <w:rsid w:val="00CD1A40"/>
    <w:rsid w:val="00CD1B33"/>
    <w:rsid w:val="00CD239C"/>
    <w:rsid w:val="00CD25F3"/>
    <w:rsid w:val="00CD27FF"/>
    <w:rsid w:val="00CD305C"/>
    <w:rsid w:val="00CD3A6D"/>
    <w:rsid w:val="00CD3E5A"/>
    <w:rsid w:val="00CD3E63"/>
    <w:rsid w:val="00CD40A3"/>
    <w:rsid w:val="00CD4CD3"/>
    <w:rsid w:val="00CD4DDD"/>
    <w:rsid w:val="00CD578C"/>
    <w:rsid w:val="00CD589F"/>
    <w:rsid w:val="00CD60C9"/>
    <w:rsid w:val="00CD6345"/>
    <w:rsid w:val="00CD6BBB"/>
    <w:rsid w:val="00CD6C19"/>
    <w:rsid w:val="00CD6E47"/>
    <w:rsid w:val="00CD7482"/>
    <w:rsid w:val="00CE07C1"/>
    <w:rsid w:val="00CE1567"/>
    <w:rsid w:val="00CE186F"/>
    <w:rsid w:val="00CE1BC4"/>
    <w:rsid w:val="00CE1C09"/>
    <w:rsid w:val="00CE206F"/>
    <w:rsid w:val="00CE20E3"/>
    <w:rsid w:val="00CE24B7"/>
    <w:rsid w:val="00CE273A"/>
    <w:rsid w:val="00CE321C"/>
    <w:rsid w:val="00CE32E8"/>
    <w:rsid w:val="00CE3700"/>
    <w:rsid w:val="00CE3B69"/>
    <w:rsid w:val="00CE3B77"/>
    <w:rsid w:val="00CE4559"/>
    <w:rsid w:val="00CE5118"/>
    <w:rsid w:val="00CE5487"/>
    <w:rsid w:val="00CE59B5"/>
    <w:rsid w:val="00CE59DB"/>
    <w:rsid w:val="00CE5D3A"/>
    <w:rsid w:val="00CE6D79"/>
    <w:rsid w:val="00CE7381"/>
    <w:rsid w:val="00CE7447"/>
    <w:rsid w:val="00CE74CE"/>
    <w:rsid w:val="00CE7F36"/>
    <w:rsid w:val="00CF0829"/>
    <w:rsid w:val="00CF0E74"/>
    <w:rsid w:val="00CF1833"/>
    <w:rsid w:val="00CF1AEA"/>
    <w:rsid w:val="00CF1B4F"/>
    <w:rsid w:val="00CF2091"/>
    <w:rsid w:val="00CF21F6"/>
    <w:rsid w:val="00CF2278"/>
    <w:rsid w:val="00CF2C62"/>
    <w:rsid w:val="00CF2F66"/>
    <w:rsid w:val="00CF337B"/>
    <w:rsid w:val="00CF3FE7"/>
    <w:rsid w:val="00CF4059"/>
    <w:rsid w:val="00CF4416"/>
    <w:rsid w:val="00CF5762"/>
    <w:rsid w:val="00CF615D"/>
    <w:rsid w:val="00CF65B4"/>
    <w:rsid w:val="00CF69B0"/>
    <w:rsid w:val="00CF6C05"/>
    <w:rsid w:val="00CF7485"/>
    <w:rsid w:val="00CF7E56"/>
    <w:rsid w:val="00D01113"/>
    <w:rsid w:val="00D0139C"/>
    <w:rsid w:val="00D01744"/>
    <w:rsid w:val="00D02461"/>
    <w:rsid w:val="00D025CE"/>
    <w:rsid w:val="00D02A0F"/>
    <w:rsid w:val="00D02DF3"/>
    <w:rsid w:val="00D02FB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1E73"/>
    <w:rsid w:val="00D121F5"/>
    <w:rsid w:val="00D126E4"/>
    <w:rsid w:val="00D131BF"/>
    <w:rsid w:val="00D140E6"/>
    <w:rsid w:val="00D15862"/>
    <w:rsid w:val="00D158EF"/>
    <w:rsid w:val="00D15C14"/>
    <w:rsid w:val="00D15E74"/>
    <w:rsid w:val="00D15FAA"/>
    <w:rsid w:val="00D16ECB"/>
    <w:rsid w:val="00D16EEE"/>
    <w:rsid w:val="00D17167"/>
    <w:rsid w:val="00D173B7"/>
    <w:rsid w:val="00D1794C"/>
    <w:rsid w:val="00D17BA5"/>
    <w:rsid w:val="00D17EC9"/>
    <w:rsid w:val="00D2058D"/>
    <w:rsid w:val="00D21342"/>
    <w:rsid w:val="00D2176E"/>
    <w:rsid w:val="00D2182A"/>
    <w:rsid w:val="00D22105"/>
    <w:rsid w:val="00D2211C"/>
    <w:rsid w:val="00D22945"/>
    <w:rsid w:val="00D22B55"/>
    <w:rsid w:val="00D23055"/>
    <w:rsid w:val="00D230AD"/>
    <w:rsid w:val="00D24B34"/>
    <w:rsid w:val="00D251AB"/>
    <w:rsid w:val="00D25AC6"/>
    <w:rsid w:val="00D261D3"/>
    <w:rsid w:val="00D31255"/>
    <w:rsid w:val="00D319DF"/>
    <w:rsid w:val="00D3225E"/>
    <w:rsid w:val="00D324BC"/>
    <w:rsid w:val="00D33565"/>
    <w:rsid w:val="00D33762"/>
    <w:rsid w:val="00D34025"/>
    <w:rsid w:val="00D3413A"/>
    <w:rsid w:val="00D34BD1"/>
    <w:rsid w:val="00D35177"/>
    <w:rsid w:val="00D356E1"/>
    <w:rsid w:val="00D359F0"/>
    <w:rsid w:val="00D37006"/>
    <w:rsid w:val="00D40609"/>
    <w:rsid w:val="00D40983"/>
    <w:rsid w:val="00D41188"/>
    <w:rsid w:val="00D417D3"/>
    <w:rsid w:val="00D418D5"/>
    <w:rsid w:val="00D41A6B"/>
    <w:rsid w:val="00D41DB1"/>
    <w:rsid w:val="00D42045"/>
    <w:rsid w:val="00D4276D"/>
    <w:rsid w:val="00D42798"/>
    <w:rsid w:val="00D42970"/>
    <w:rsid w:val="00D43492"/>
    <w:rsid w:val="00D4364E"/>
    <w:rsid w:val="00D43AED"/>
    <w:rsid w:val="00D44916"/>
    <w:rsid w:val="00D45CA4"/>
    <w:rsid w:val="00D45EA7"/>
    <w:rsid w:val="00D45F22"/>
    <w:rsid w:val="00D46485"/>
    <w:rsid w:val="00D46D7E"/>
    <w:rsid w:val="00D47178"/>
    <w:rsid w:val="00D4752E"/>
    <w:rsid w:val="00D47842"/>
    <w:rsid w:val="00D478A8"/>
    <w:rsid w:val="00D47BEF"/>
    <w:rsid w:val="00D47E63"/>
    <w:rsid w:val="00D50826"/>
    <w:rsid w:val="00D51675"/>
    <w:rsid w:val="00D51A75"/>
    <w:rsid w:val="00D51F73"/>
    <w:rsid w:val="00D52827"/>
    <w:rsid w:val="00D529BE"/>
    <w:rsid w:val="00D52CF6"/>
    <w:rsid w:val="00D52DC6"/>
    <w:rsid w:val="00D53198"/>
    <w:rsid w:val="00D53D3E"/>
    <w:rsid w:val="00D546D6"/>
    <w:rsid w:val="00D547E0"/>
    <w:rsid w:val="00D54992"/>
    <w:rsid w:val="00D55291"/>
    <w:rsid w:val="00D55C48"/>
    <w:rsid w:val="00D55E47"/>
    <w:rsid w:val="00D56997"/>
    <w:rsid w:val="00D570E6"/>
    <w:rsid w:val="00D5730F"/>
    <w:rsid w:val="00D5774F"/>
    <w:rsid w:val="00D578B1"/>
    <w:rsid w:val="00D57A52"/>
    <w:rsid w:val="00D60809"/>
    <w:rsid w:val="00D60D7F"/>
    <w:rsid w:val="00D61C9C"/>
    <w:rsid w:val="00D62111"/>
    <w:rsid w:val="00D62229"/>
    <w:rsid w:val="00D625B8"/>
    <w:rsid w:val="00D626F8"/>
    <w:rsid w:val="00D634CD"/>
    <w:rsid w:val="00D636DC"/>
    <w:rsid w:val="00D63F4C"/>
    <w:rsid w:val="00D64265"/>
    <w:rsid w:val="00D64613"/>
    <w:rsid w:val="00D64702"/>
    <w:rsid w:val="00D66BD9"/>
    <w:rsid w:val="00D66BFD"/>
    <w:rsid w:val="00D66C91"/>
    <w:rsid w:val="00D674EE"/>
    <w:rsid w:val="00D67535"/>
    <w:rsid w:val="00D67B2A"/>
    <w:rsid w:val="00D67BC9"/>
    <w:rsid w:val="00D67DBC"/>
    <w:rsid w:val="00D704D9"/>
    <w:rsid w:val="00D70BD2"/>
    <w:rsid w:val="00D713F2"/>
    <w:rsid w:val="00D721AA"/>
    <w:rsid w:val="00D72705"/>
    <w:rsid w:val="00D738BF"/>
    <w:rsid w:val="00D73B93"/>
    <w:rsid w:val="00D73C6B"/>
    <w:rsid w:val="00D73C95"/>
    <w:rsid w:val="00D73F99"/>
    <w:rsid w:val="00D745C1"/>
    <w:rsid w:val="00D7567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2FA"/>
    <w:rsid w:val="00D82D02"/>
    <w:rsid w:val="00D82D0F"/>
    <w:rsid w:val="00D83A5A"/>
    <w:rsid w:val="00D84157"/>
    <w:rsid w:val="00D84BD7"/>
    <w:rsid w:val="00D84DCA"/>
    <w:rsid w:val="00D850FC"/>
    <w:rsid w:val="00D85114"/>
    <w:rsid w:val="00D857BC"/>
    <w:rsid w:val="00D86144"/>
    <w:rsid w:val="00D8622E"/>
    <w:rsid w:val="00D86F60"/>
    <w:rsid w:val="00D8718F"/>
    <w:rsid w:val="00D871B6"/>
    <w:rsid w:val="00D875E1"/>
    <w:rsid w:val="00D90275"/>
    <w:rsid w:val="00D902F5"/>
    <w:rsid w:val="00D9075D"/>
    <w:rsid w:val="00D90959"/>
    <w:rsid w:val="00D91410"/>
    <w:rsid w:val="00D91438"/>
    <w:rsid w:val="00D91594"/>
    <w:rsid w:val="00D91A8F"/>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526"/>
    <w:rsid w:val="00DA0639"/>
    <w:rsid w:val="00DA0CF7"/>
    <w:rsid w:val="00DA0E96"/>
    <w:rsid w:val="00DA1203"/>
    <w:rsid w:val="00DA18DA"/>
    <w:rsid w:val="00DA1F0C"/>
    <w:rsid w:val="00DA1F38"/>
    <w:rsid w:val="00DA2F0F"/>
    <w:rsid w:val="00DA3565"/>
    <w:rsid w:val="00DA3A5B"/>
    <w:rsid w:val="00DA3D0B"/>
    <w:rsid w:val="00DA3F51"/>
    <w:rsid w:val="00DA45DB"/>
    <w:rsid w:val="00DA48D9"/>
    <w:rsid w:val="00DA49F8"/>
    <w:rsid w:val="00DA4AAE"/>
    <w:rsid w:val="00DA5572"/>
    <w:rsid w:val="00DA6704"/>
    <w:rsid w:val="00DA6A15"/>
    <w:rsid w:val="00DA6CC2"/>
    <w:rsid w:val="00DA7029"/>
    <w:rsid w:val="00DA77A0"/>
    <w:rsid w:val="00DB09A2"/>
    <w:rsid w:val="00DB0C79"/>
    <w:rsid w:val="00DB103D"/>
    <w:rsid w:val="00DB1448"/>
    <w:rsid w:val="00DB1998"/>
    <w:rsid w:val="00DB1FC4"/>
    <w:rsid w:val="00DB21F0"/>
    <w:rsid w:val="00DB24C0"/>
    <w:rsid w:val="00DB2C5F"/>
    <w:rsid w:val="00DB3A58"/>
    <w:rsid w:val="00DB3BDF"/>
    <w:rsid w:val="00DB3C58"/>
    <w:rsid w:val="00DB3D46"/>
    <w:rsid w:val="00DB401C"/>
    <w:rsid w:val="00DB46C8"/>
    <w:rsid w:val="00DB540E"/>
    <w:rsid w:val="00DB5A63"/>
    <w:rsid w:val="00DB6166"/>
    <w:rsid w:val="00DB656B"/>
    <w:rsid w:val="00DB691E"/>
    <w:rsid w:val="00DB75A3"/>
    <w:rsid w:val="00DB799D"/>
    <w:rsid w:val="00DB79C8"/>
    <w:rsid w:val="00DC0574"/>
    <w:rsid w:val="00DC0C65"/>
    <w:rsid w:val="00DC16BF"/>
    <w:rsid w:val="00DC16E1"/>
    <w:rsid w:val="00DC16FC"/>
    <w:rsid w:val="00DC1881"/>
    <w:rsid w:val="00DC1ED7"/>
    <w:rsid w:val="00DC3A6F"/>
    <w:rsid w:val="00DC3D1C"/>
    <w:rsid w:val="00DC43E1"/>
    <w:rsid w:val="00DC4EE7"/>
    <w:rsid w:val="00DC5199"/>
    <w:rsid w:val="00DC5A32"/>
    <w:rsid w:val="00DC5E4E"/>
    <w:rsid w:val="00DC651B"/>
    <w:rsid w:val="00DC662F"/>
    <w:rsid w:val="00DC6E78"/>
    <w:rsid w:val="00DC729A"/>
    <w:rsid w:val="00DC7328"/>
    <w:rsid w:val="00DC73B1"/>
    <w:rsid w:val="00DC7519"/>
    <w:rsid w:val="00DC75C6"/>
    <w:rsid w:val="00DC7630"/>
    <w:rsid w:val="00DC7EB5"/>
    <w:rsid w:val="00DD04AC"/>
    <w:rsid w:val="00DD04DD"/>
    <w:rsid w:val="00DD0891"/>
    <w:rsid w:val="00DD0B35"/>
    <w:rsid w:val="00DD0F9F"/>
    <w:rsid w:val="00DD11A7"/>
    <w:rsid w:val="00DD1298"/>
    <w:rsid w:val="00DD1ED1"/>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4F6"/>
    <w:rsid w:val="00DD6C53"/>
    <w:rsid w:val="00DD7198"/>
    <w:rsid w:val="00DD7199"/>
    <w:rsid w:val="00DD7C44"/>
    <w:rsid w:val="00DD7CB6"/>
    <w:rsid w:val="00DE0077"/>
    <w:rsid w:val="00DE0137"/>
    <w:rsid w:val="00DE01BA"/>
    <w:rsid w:val="00DE0DCF"/>
    <w:rsid w:val="00DE137B"/>
    <w:rsid w:val="00DE13D4"/>
    <w:rsid w:val="00DE13FD"/>
    <w:rsid w:val="00DE19D9"/>
    <w:rsid w:val="00DE1C18"/>
    <w:rsid w:val="00DE1DC6"/>
    <w:rsid w:val="00DE1F77"/>
    <w:rsid w:val="00DE21C6"/>
    <w:rsid w:val="00DE22AA"/>
    <w:rsid w:val="00DE288F"/>
    <w:rsid w:val="00DE2D49"/>
    <w:rsid w:val="00DE388A"/>
    <w:rsid w:val="00DE3E66"/>
    <w:rsid w:val="00DE3F75"/>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DB6"/>
    <w:rsid w:val="00DF1F8A"/>
    <w:rsid w:val="00DF248E"/>
    <w:rsid w:val="00DF253D"/>
    <w:rsid w:val="00DF3222"/>
    <w:rsid w:val="00DF3577"/>
    <w:rsid w:val="00DF4063"/>
    <w:rsid w:val="00DF5F13"/>
    <w:rsid w:val="00DF63DD"/>
    <w:rsid w:val="00DF6B62"/>
    <w:rsid w:val="00DF7828"/>
    <w:rsid w:val="00DF7BD0"/>
    <w:rsid w:val="00DF7BDF"/>
    <w:rsid w:val="00DF7DFE"/>
    <w:rsid w:val="00E00303"/>
    <w:rsid w:val="00E00489"/>
    <w:rsid w:val="00E00A62"/>
    <w:rsid w:val="00E010A0"/>
    <w:rsid w:val="00E0125E"/>
    <w:rsid w:val="00E01668"/>
    <w:rsid w:val="00E0173A"/>
    <w:rsid w:val="00E01849"/>
    <w:rsid w:val="00E020D1"/>
    <w:rsid w:val="00E02B64"/>
    <w:rsid w:val="00E02EAD"/>
    <w:rsid w:val="00E03D3F"/>
    <w:rsid w:val="00E0437C"/>
    <w:rsid w:val="00E0452C"/>
    <w:rsid w:val="00E04D61"/>
    <w:rsid w:val="00E0504C"/>
    <w:rsid w:val="00E05074"/>
    <w:rsid w:val="00E0540D"/>
    <w:rsid w:val="00E05489"/>
    <w:rsid w:val="00E05741"/>
    <w:rsid w:val="00E05F7F"/>
    <w:rsid w:val="00E06930"/>
    <w:rsid w:val="00E06971"/>
    <w:rsid w:val="00E06B43"/>
    <w:rsid w:val="00E06E32"/>
    <w:rsid w:val="00E06EC4"/>
    <w:rsid w:val="00E070D9"/>
    <w:rsid w:val="00E105B3"/>
    <w:rsid w:val="00E10846"/>
    <w:rsid w:val="00E108F4"/>
    <w:rsid w:val="00E10A4B"/>
    <w:rsid w:val="00E10D4E"/>
    <w:rsid w:val="00E1100C"/>
    <w:rsid w:val="00E11489"/>
    <w:rsid w:val="00E11711"/>
    <w:rsid w:val="00E11E63"/>
    <w:rsid w:val="00E12696"/>
    <w:rsid w:val="00E12DEE"/>
    <w:rsid w:val="00E1310D"/>
    <w:rsid w:val="00E132FF"/>
    <w:rsid w:val="00E13359"/>
    <w:rsid w:val="00E134B8"/>
    <w:rsid w:val="00E138BF"/>
    <w:rsid w:val="00E13A2D"/>
    <w:rsid w:val="00E140DF"/>
    <w:rsid w:val="00E14EFA"/>
    <w:rsid w:val="00E1518A"/>
    <w:rsid w:val="00E151B9"/>
    <w:rsid w:val="00E1566E"/>
    <w:rsid w:val="00E158C4"/>
    <w:rsid w:val="00E161E6"/>
    <w:rsid w:val="00E167C9"/>
    <w:rsid w:val="00E1698C"/>
    <w:rsid w:val="00E16D50"/>
    <w:rsid w:val="00E172BE"/>
    <w:rsid w:val="00E17CF7"/>
    <w:rsid w:val="00E205D6"/>
    <w:rsid w:val="00E216EC"/>
    <w:rsid w:val="00E2189A"/>
    <w:rsid w:val="00E22B5A"/>
    <w:rsid w:val="00E22B68"/>
    <w:rsid w:val="00E231C9"/>
    <w:rsid w:val="00E23379"/>
    <w:rsid w:val="00E23EBF"/>
    <w:rsid w:val="00E23FD5"/>
    <w:rsid w:val="00E24669"/>
    <w:rsid w:val="00E248B2"/>
    <w:rsid w:val="00E24C48"/>
    <w:rsid w:val="00E24D50"/>
    <w:rsid w:val="00E25981"/>
    <w:rsid w:val="00E25BC1"/>
    <w:rsid w:val="00E26141"/>
    <w:rsid w:val="00E266F5"/>
    <w:rsid w:val="00E26F90"/>
    <w:rsid w:val="00E270D3"/>
    <w:rsid w:val="00E27FC7"/>
    <w:rsid w:val="00E30700"/>
    <w:rsid w:val="00E309B8"/>
    <w:rsid w:val="00E30B60"/>
    <w:rsid w:val="00E30D87"/>
    <w:rsid w:val="00E30E57"/>
    <w:rsid w:val="00E31360"/>
    <w:rsid w:val="00E31D28"/>
    <w:rsid w:val="00E325FF"/>
    <w:rsid w:val="00E32642"/>
    <w:rsid w:val="00E32CB8"/>
    <w:rsid w:val="00E3419B"/>
    <w:rsid w:val="00E3440F"/>
    <w:rsid w:val="00E34F3A"/>
    <w:rsid w:val="00E35030"/>
    <w:rsid w:val="00E35F99"/>
    <w:rsid w:val="00E35F9A"/>
    <w:rsid w:val="00E3637F"/>
    <w:rsid w:val="00E364B6"/>
    <w:rsid w:val="00E36723"/>
    <w:rsid w:val="00E3713C"/>
    <w:rsid w:val="00E3767B"/>
    <w:rsid w:val="00E37A3D"/>
    <w:rsid w:val="00E37E1C"/>
    <w:rsid w:val="00E40126"/>
    <w:rsid w:val="00E40CBF"/>
    <w:rsid w:val="00E40E7D"/>
    <w:rsid w:val="00E40EE4"/>
    <w:rsid w:val="00E412D3"/>
    <w:rsid w:val="00E413C6"/>
    <w:rsid w:val="00E417D1"/>
    <w:rsid w:val="00E4195F"/>
    <w:rsid w:val="00E41C4E"/>
    <w:rsid w:val="00E420D5"/>
    <w:rsid w:val="00E42517"/>
    <w:rsid w:val="00E42D55"/>
    <w:rsid w:val="00E42FFE"/>
    <w:rsid w:val="00E4316E"/>
    <w:rsid w:val="00E435AB"/>
    <w:rsid w:val="00E43785"/>
    <w:rsid w:val="00E44275"/>
    <w:rsid w:val="00E44777"/>
    <w:rsid w:val="00E4535F"/>
    <w:rsid w:val="00E45691"/>
    <w:rsid w:val="00E466BC"/>
    <w:rsid w:val="00E4686A"/>
    <w:rsid w:val="00E47538"/>
    <w:rsid w:val="00E479FD"/>
    <w:rsid w:val="00E504D6"/>
    <w:rsid w:val="00E50B6F"/>
    <w:rsid w:val="00E50DF1"/>
    <w:rsid w:val="00E50EBE"/>
    <w:rsid w:val="00E50F69"/>
    <w:rsid w:val="00E50FC6"/>
    <w:rsid w:val="00E517CD"/>
    <w:rsid w:val="00E51C36"/>
    <w:rsid w:val="00E52185"/>
    <w:rsid w:val="00E52372"/>
    <w:rsid w:val="00E52786"/>
    <w:rsid w:val="00E52C21"/>
    <w:rsid w:val="00E52F05"/>
    <w:rsid w:val="00E53785"/>
    <w:rsid w:val="00E53DB1"/>
    <w:rsid w:val="00E540CA"/>
    <w:rsid w:val="00E54B37"/>
    <w:rsid w:val="00E54DE9"/>
    <w:rsid w:val="00E55B28"/>
    <w:rsid w:val="00E56D4A"/>
    <w:rsid w:val="00E57119"/>
    <w:rsid w:val="00E5719E"/>
    <w:rsid w:val="00E57D7B"/>
    <w:rsid w:val="00E57F4B"/>
    <w:rsid w:val="00E602E5"/>
    <w:rsid w:val="00E602F8"/>
    <w:rsid w:val="00E6085B"/>
    <w:rsid w:val="00E60FBA"/>
    <w:rsid w:val="00E60FBF"/>
    <w:rsid w:val="00E616F9"/>
    <w:rsid w:val="00E61852"/>
    <w:rsid w:val="00E61A0C"/>
    <w:rsid w:val="00E61D22"/>
    <w:rsid w:val="00E61D96"/>
    <w:rsid w:val="00E61E4B"/>
    <w:rsid w:val="00E6342F"/>
    <w:rsid w:val="00E63DA2"/>
    <w:rsid w:val="00E63F5D"/>
    <w:rsid w:val="00E642AF"/>
    <w:rsid w:val="00E644C6"/>
    <w:rsid w:val="00E64555"/>
    <w:rsid w:val="00E64595"/>
    <w:rsid w:val="00E646BB"/>
    <w:rsid w:val="00E64D24"/>
    <w:rsid w:val="00E64E69"/>
    <w:rsid w:val="00E6549C"/>
    <w:rsid w:val="00E654B9"/>
    <w:rsid w:val="00E6589D"/>
    <w:rsid w:val="00E65E8C"/>
    <w:rsid w:val="00E665E7"/>
    <w:rsid w:val="00E66C96"/>
    <w:rsid w:val="00E6703E"/>
    <w:rsid w:val="00E672AE"/>
    <w:rsid w:val="00E67F60"/>
    <w:rsid w:val="00E70130"/>
    <w:rsid w:val="00E7063F"/>
    <w:rsid w:val="00E715FC"/>
    <w:rsid w:val="00E71A45"/>
    <w:rsid w:val="00E71C21"/>
    <w:rsid w:val="00E72D84"/>
    <w:rsid w:val="00E730FC"/>
    <w:rsid w:val="00E7318D"/>
    <w:rsid w:val="00E7385A"/>
    <w:rsid w:val="00E73CE6"/>
    <w:rsid w:val="00E74780"/>
    <w:rsid w:val="00E7487D"/>
    <w:rsid w:val="00E74956"/>
    <w:rsid w:val="00E752F7"/>
    <w:rsid w:val="00E75848"/>
    <w:rsid w:val="00E759D4"/>
    <w:rsid w:val="00E76A3C"/>
    <w:rsid w:val="00E76F9B"/>
    <w:rsid w:val="00E771FC"/>
    <w:rsid w:val="00E773E5"/>
    <w:rsid w:val="00E77511"/>
    <w:rsid w:val="00E77BDD"/>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75B"/>
    <w:rsid w:val="00E85931"/>
    <w:rsid w:val="00E85E4E"/>
    <w:rsid w:val="00E862BB"/>
    <w:rsid w:val="00E86327"/>
    <w:rsid w:val="00E86DF0"/>
    <w:rsid w:val="00E87BD2"/>
    <w:rsid w:val="00E87CDC"/>
    <w:rsid w:val="00E906E0"/>
    <w:rsid w:val="00E90B33"/>
    <w:rsid w:val="00E911E0"/>
    <w:rsid w:val="00E93407"/>
    <w:rsid w:val="00E934E4"/>
    <w:rsid w:val="00E940A8"/>
    <w:rsid w:val="00E94759"/>
    <w:rsid w:val="00E947E8"/>
    <w:rsid w:val="00E9498E"/>
    <w:rsid w:val="00E94B0F"/>
    <w:rsid w:val="00E9503F"/>
    <w:rsid w:val="00E95B3C"/>
    <w:rsid w:val="00E96726"/>
    <w:rsid w:val="00E96E68"/>
    <w:rsid w:val="00E973BA"/>
    <w:rsid w:val="00E97EA1"/>
    <w:rsid w:val="00EA0BBE"/>
    <w:rsid w:val="00EA1F01"/>
    <w:rsid w:val="00EA1FBC"/>
    <w:rsid w:val="00EA20A1"/>
    <w:rsid w:val="00EA212B"/>
    <w:rsid w:val="00EA24FB"/>
    <w:rsid w:val="00EA2D44"/>
    <w:rsid w:val="00EA306E"/>
    <w:rsid w:val="00EA32F4"/>
    <w:rsid w:val="00EA33FA"/>
    <w:rsid w:val="00EA3A0E"/>
    <w:rsid w:val="00EA3A1D"/>
    <w:rsid w:val="00EA3CD7"/>
    <w:rsid w:val="00EA3E2D"/>
    <w:rsid w:val="00EA429D"/>
    <w:rsid w:val="00EA43AF"/>
    <w:rsid w:val="00EA4676"/>
    <w:rsid w:val="00EA4C7C"/>
    <w:rsid w:val="00EA4D4C"/>
    <w:rsid w:val="00EA554F"/>
    <w:rsid w:val="00EA6250"/>
    <w:rsid w:val="00EA66A4"/>
    <w:rsid w:val="00EA6819"/>
    <w:rsid w:val="00EA69E4"/>
    <w:rsid w:val="00EA6A1E"/>
    <w:rsid w:val="00EA75BD"/>
    <w:rsid w:val="00EA760C"/>
    <w:rsid w:val="00EA7C47"/>
    <w:rsid w:val="00EB0BB7"/>
    <w:rsid w:val="00EB0C01"/>
    <w:rsid w:val="00EB0F0F"/>
    <w:rsid w:val="00EB1053"/>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FE9"/>
    <w:rsid w:val="00EB72FF"/>
    <w:rsid w:val="00EB756F"/>
    <w:rsid w:val="00EB79C8"/>
    <w:rsid w:val="00EB7E78"/>
    <w:rsid w:val="00EC0301"/>
    <w:rsid w:val="00EC09C6"/>
    <w:rsid w:val="00EC0EA5"/>
    <w:rsid w:val="00EC1056"/>
    <w:rsid w:val="00EC1470"/>
    <w:rsid w:val="00EC1F99"/>
    <w:rsid w:val="00EC222E"/>
    <w:rsid w:val="00EC2369"/>
    <w:rsid w:val="00EC25CD"/>
    <w:rsid w:val="00EC2716"/>
    <w:rsid w:val="00EC2DBB"/>
    <w:rsid w:val="00EC3107"/>
    <w:rsid w:val="00EC358E"/>
    <w:rsid w:val="00EC3B82"/>
    <w:rsid w:val="00EC3F3F"/>
    <w:rsid w:val="00EC3FD2"/>
    <w:rsid w:val="00EC4095"/>
    <w:rsid w:val="00EC43B5"/>
    <w:rsid w:val="00EC4537"/>
    <w:rsid w:val="00EC4960"/>
    <w:rsid w:val="00EC4AE3"/>
    <w:rsid w:val="00EC522B"/>
    <w:rsid w:val="00EC54EE"/>
    <w:rsid w:val="00EC59B2"/>
    <w:rsid w:val="00EC5A3B"/>
    <w:rsid w:val="00EC6BCB"/>
    <w:rsid w:val="00EC774E"/>
    <w:rsid w:val="00EC786C"/>
    <w:rsid w:val="00EC7ADD"/>
    <w:rsid w:val="00EC7E60"/>
    <w:rsid w:val="00ED04FE"/>
    <w:rsid w:val="00ED0DD0"/>
    <w:rsid w:val="00ED1989"/>
    <w:rsid w:val="00ED28F2"/>
    <w:rsid w:val="00ED3145"/>
    <w:rsid w:val="00ED3309"/>
    <w:rsid w:val="00ED356E"/>
    <w:rsid w:val="00ED3BDA"/>
    <w:rsid w:val="00ED3DA4"/>
    <w:rsid w:val="00ED4B67"/>
    <w:rsid w:val="00ED4B69"/>
    <w:rsid w:val="00ED5A3B"/>
    <w:rsid w:val="00ED5C30"/>
    <w:rsid w:val="00ED5E02"/>
    <w:rsid w:val="00ED5EED"/>
    <w:rsid w:val="00ED602B"/>
    <w:rsid w:val="00ED6B1C"/>
    <w:rsid w:val="00ED6CF7"/>
    <w:rsid w:val="00ED6F33"/>
    <w:rsid w:val="00ED741E"/>
    <w:rsid w:val="00ED7716"/>
    <w:rsid w:val="00ED7737"/>
    <w:rsid w:val="00ED7747"/>
    <w:rsid w:val="00ED7CF4"/>
    <w:rsid w:val="00EE0EA8"/>
    <w:rsid w:val="00EE1B0E"/>
    <w:rsid w:val="00EE22FB"/>
    <w:rsid w:val="00EE2407"/>
    <w:rsid w:val="00EE26AE"/>
    <w:rsid w:val="00EE29C8"/>
    <w:rsid w:val="00EE2A54"/>
    <w:rsid w:val="00EE2FC2"/>
    <w:rsid w:val="00EE39BB"/>
    <w:rsid w:val="00EE3B88"/>
    <w:rsid w:val="00EE3D97"/>
    <w:rsid w:val="00EE4B75"/>
    <w:rsid w:val="00EE4DBD"/>
    <w:rsid w:val="00EE57D6"/>
    <w:rsid w:val="00EE6025"/>
    <w:rsid w:val="00EE667A"/>
    <w:rsid w:val="00EE6AC6"/>
    <w:rsid w:val="00EE6E26"/>
    <w:rsid w:val="00EE784F"/>
    <w:rsid w:val="00EE7A1D"/>
    <w:rsid w:val="00EF0500"/>
    <w:rsid w:val="00EF07D2"/>
    <w:rsid w:val="00EF0B66"/>
    <w:rsid w:val="00EF1002"/>
    <w:rsid w:val="00EF143F"/>
    <w:rsid w:val="00EF1F88"/>
    <w:rsid w:val="00EF23D8"/>
    <w:rsid w:val="00EF2A5A"/>
    <w:rsid w:val="00EF2A87"/>
    <w:rsid w:val="00EF3A74"/>
    <w:rsid w:val="00EF3AE9"/>
    <w:rsid w:val="00EF3E7A"/>
    <w:rsid w:val="00EF3EA5"/>
    <w:rsid w:val="00EF40DC"/>
    <w:rsid w:val="00EF49FB"/>
    <w:rsid w:val="00EF4D23"/>
    <w:rsid w:val="00EF5117"/>
    <w:rsid w:val="00EF55D6"/>
    <w:rsid w:val="00EF644D"/>
    <w:rsid w:val="00EF6D29"/>
    <w:rsid w:val="00EF7138"/>
    <w:rsid w:val="00EF7149"/>
    <w:rsid w:val="00F00881"/>
    <w:rsid w:val="00F00917"/>
    <w:rsid w:val="00F01032"/>
    <w:rsid w:val="00F010BB"/>
    <w:rsid w:val="00F012C1"/>
    <w:rsid w:val="00F0175F"/>
    <w:rsid w:val="00F01C5B"/>
    <w:rsid w:val="00F03280"/>
    <w:rsid w:val="00F0362A"/>
    <w:rsid w:val="00F0385C"/>
    <w:rsid w:val="00F03ABE"/>
    <w:rsid w:val="00F03D14"/>
    <w:rsid w:val="00F04345"/>
    <w:rsid w:val="00F047A4"/>
    <w:rsid w:val="00F04F52"/>
    <w:rsid w:val="00F0510F"/>
    <w:rsid w:val="00F053FE"/>
    <w:rsid w:val="00F0563F"/>
    <w:rsid w:val="00F06239"/>
    <w:rsid w:val="00F064EF"/>
    <w:rsid w:val="00F06558"/>
    <w:rsid w:val="00F06F42"/>
    <w:rsid w:val="00F07122"/>
    <w:rsid w:val="00F074C9"/>
    <w:rsid w:val="00F07C82"/>
    <w:rsid w:val="00F07F5E"/>
    <w:rsid w:val="00F1001E"/>
    <w:rsid w:val="00F106BB"/>
    <w:rsid w:val="00F10DD5"/>
    <w:rsid w:val="00F11027"/>
    <w:rsid w:val="00F1106C"/>
    <w:rsid w:val="00F111BA"/>
    <w:rsid w:val="00F116DD"/>
    <w:rsid w:val="00F11D9F"/>
    <w:rsid w:val="00F11E31"/>
    <w:rsid w:val="00F13137"/>
    <w:rsid w:val="00F13AA1"/>
    <w:rsid w:val="00F13F2A"/>
    <w:rsid w:val="00F140EC"/>
    <w:rsid w:val="00F15097"/>
    <w:rsid w:val="00F15671"/>
    <w:rsid w:val="00F15DC7"/>
    <w:rsid w:val="00F16695"/>
    <w:rsid w:val="00F202E3"/>
    <w:rsid w:val="00F20C6E"/>
    <w:rsid w:val="00F20C99"/>
    <w:rsid w:val="00F20D6C"/>
    <w:rsid w:val="00F2242D"/>
    <w:rsid w:val="00F2255F"/>
    <w:rsid w:val="00F225CF"/>
    <w:rsid w:val="00F22882"/>
    <w:rsid w:val="00F22985"/>
    <w:rsid w:val="00F22AEF"/>
    <w:rsid w:val="00F22F7A"/>
    <w:rsid w:val="00F2322E"/>
    <w:rsid w:val="00F2343C"/>
    <w:rsid w:val="00F23CFC"/>
    <w:rsid w:val="00F24076"/>
    <w:rsid w:val="00F240CB"/>
    <w:rsid w:val="00F2492F"/>
    <w:rsid w:val="00F2500D"/>
    <w:rsid w:val="00F256DA"/>
    <w:rsid w:val="00F25742"/>
    <w:rsid w:val="00F2596D"/>
    <w:rsid w:val="00F25CAA"/>
    <w:rsid w:val="00F26AD6"/>
    <w:rsid w:val="00F2711C"/>
    <w:rsid w:val="00F277E8"/>
    <w:rsid w:val="00F27B04"/>
    <w:rsid w:val="00F27E3D"/>
    <w:rsid w:val="00F301D0"/>
    <w:rsid w:val="00F3069F"/>
    <w:rsid w:val="00F30BA9"/>
    <w:rsid w:val="00F30C3F"/>
    <w:rsid w:val="00F30C60"/>
    <w:rsid w:val="00F30EFB"/>
    <w:rsid w:val="00F30F38"/>
    <w:rsid w:val="00F311D1"/>
    <w:rsid w:val="00F3158A"/>
    <w:rsid w:val="00F318DB"/>
    <w:rsid w:val="00F3199C"/>
    <w:rsid w:val="00F31F7D"/>
    <w:rsid w:val="00F32AFF"/>
    <w:rsid w:val="00F33825"/>
    <w:rsid w:val="00F33A8B"/>
    <w:rsid w:val="00F33D3B"/>
    <w:rsid w:val="00F341D4"/>
    <w:rsid w:val="00F34A96"/>
    <w:rsid w:val="00F34EBF"/>
    <w:rsid w:val="00F34F05"/>
    <w:rsid w:val="00F34F85"/>
    <w:rsid w:val="00F353B0"/>
    <w:rsid w:val="00F356D5"/>
    <w:rsid w:val="00F361AE"/>
    <w:rsid w:val="00F36240"/>
    <w:rsid w:val="00F363EB"/>
    <w:rsid w:val="00F365DE"/>
    <w:rsid w:val="00F36764"/>
    <w:rsid w:val="00F367CF"/>
    <w:rsid w:val="00F36D37"/>
    <w:rsid w:val="00F3719A"/>
    <w:rsid w:val="00F379BF"/>
    <w:rsid w:val="00F37EA7"/>
    <w:rsid w:val="00F40805"/>
    <w:rsid w:val="00F40B4F"/>
    <w:rsid w:val="00F40C5E"/>
    <w:rsid w:val="00F40E3E"/>
    <w:rsid w:val="00F4163A"/>
    <w:rsid w:val="00F41873"/>
    <w:rsid w:val="00F419C3"/>
    <w:rsid w:val="00F41D91"/>
    <w:rsid w:val="00F41E2B"/>
    <w:rsid w:val="00F423BE"/>
    <w:rsid w:val="00F424A5"/>
    <w:rsid w:val="00F425EF"/>
    <w:rsid w:val="00F428AC"/>
    <w:rsid w:val="00F42EE3"/>
    <w:rsid w:val="00F43660"/>
    <w:rsid w:val="00F44542"/>
    <w:rsid w:val="00F448DD"/>
    <w:rsid w:val="00F44C5F"/>
    <w:rsid w:val="00F44DB8"/>
    <w:rsid w:val="00F45760"/>
    <w:rsid w:val="00F45925"/>
    <w:rsid w:val="00F46BA6"/>
    <w:rsid w:val="00F46C97"/>
    <w:rsid w:val="00F4703E"/>
    <w:rsid w:val="00F50511"/>
    <w:rsid w:val="00F50781"/>
    <w:rsid w:val="00F50CA3"/>
    <w:rsid w:val="00F517ED"/>
    <w:rsid w:val="00F51F3F"/>
    <w:rsid w:val="00F528B5"/>
    <w:rsid w:val="00F528E7"/>
    <w:rsid w:val="00F52C8A"/>
    <w:rsid w:val="00F53615"/>
    <w:rsid w:val="00F53A91"/>
    <w:rsid w:val="00F54783"/>
    <w:rsid w:val="00F547E9"/>
    <w:rsid w:val="00F5494E"/>
    <w:rsid w:val="00F54ABE"/>
    <w:rsid w:val="00F553D2"/>
    <w:rsid w:val="00F5564F"/>
    <w:rsid w:val="00F55804"/>
    <w:rsid w:val="00F55F1A"/>
    <w:rsid w:val="00F56310"/>
    <w:rsid w:val="00F5684C"/>
    <w:rsid w:val="00F57210"/>
    <w:rsid w:val="00F577FC"/>
    <w:rsid w:val="00F602F0"/>
    <w:rsid w:val="00F6098E"/>
    <w:rsid w:val="00F60C90"/>
    <w:rsid w:val="00F619EE"/>
    <w:rsid w:val="00F61CF5"/>
    <w:rsid w:val="00F61FF9"/>
    <w:rsid w:val="00F62069"/>
    <w:rsid w:val="00F62159"/>
    <w:rsid w:val="00F6297B"/>
    <w:rsid w:val="00F62A7C"/>
    <w:rsid w:val="00F62B93"/>
    <w:rsid w:val="00F633E5"/>
    <w:rsid w:val="00F63A07"/>
    <w:rsid w:val="00F63C89"/>
    <w:rsid w:val="00F643CA"/>
    <w:rsid w:val="00F647EC"/>
    <w:rsid w:val="00F64D57"/>
    <w:rsid w:val="00F64FAB"/>
    <w:rsid w:val="00F65329"/>
    <w:rsid w:val="00F6546A"/>
    <w:rsid w:val="00F65CEA"/>
    <w:rsid w:val="00F65F15"/>
    <w:rsid w:val="00F66443"/>
    <w:rsid w:val="00F675EA"/>
    <w:rsid w:val="00F67BEB"/>
    <w:rsid w:val="00F67D42"/>
    <w:rsid w:val="00F7074A"/>
    <w:rsid w:val="00F70D9C"/>
    <w:rsid w:val="00F711A0"/>
    <w:rsid w:val="00F71687"/>
    <w:rsid w:val="00F71708"/>
    <w:rsid w:val="00F717C1"/>
    <w:rsid w:val="00F71AB3"/>
    <w:rsid w:val="00F725D3"/>
    <w:rsid w:val="00F7281E"/>
    <w:rsid w:val="00F72C1A"/>
    <w:rsid w:val="00F72C3D"/>
    <w:rsid w:val="00F73269"/>
    <w:rsid w:val="00F737AB"/>
    <w:rsid w:val="00F73BD1"/>
    <w:rsid w:val="00F74216"/>
    <w:rsid w:val="00F74F0F"/>
    <w:rsid w:val="00F75731"/>
    <w:rsid w:val="00F75841"/>
    <w:rsid w:val="00F75C63"/>
    <w:rsid w:val="00F76333"/>
    <w:rsid w:val="00F77100"/>
    <w:rsid w:val="00F77C84"/>
    <w:rsid w:val="00F8090F"/>
    <w:rsid w:val="00F8139A"/>
    <w:rsid w:val="00F82AAE"/>
    <w:rsid w:val="00F834BE"/>
    <w:rsid w:val="00F838A9"/>
    <w:rsid w:val="00F84355"/>
    <w:rsid w:val="00F849E3"/>
    <w:rsid w:val="00F84B4E"/>
    <w:rsid w:val="00F84C44"/>
    <w:rsid w:val="00F851B7"/>
    <w:rsid w:val="00F8566C"/>
    <w:rsid w:val="00F858D4"/>
    <w:rsid w:val="00F85C65"/>
    <w:rsid w:val="00F85CB4"/>
    <w:rsid w:val="00F860EB"/>
    <w:rsid w:val="00F86268"/>
    <w:rsid w:val="00F868B6"/>
    <w:rsid w:val="00F86968"/>
    <w:rsid w:val="00F86B5D"/>
    <w:rsid w:val="00F86C37"/>
    <w:rsid w:val="00F86E21"/>
    <w:rsid w:val="00F86E42"/>
    <w:rsid w:val="00F86FD9"/>
    <w:rsid w:val="00F876E6"/>
    <w:rsid w:val="00F87825"/>
    <w:rsid w:val="00F87838"/>
    <w:rsid w:val="00F879E8"/>
    <w:rsid w:val="00F87FCE"/>
    <w:rsid w:val="00F9008B"/>
    <w:rsid w:val="00F91669"/>
    <w:rsid w:val="00F9184F"/>
    <w:rsid w:val="00F91943"/>
    <w:rsid w:val="00F92A66"/>
    <w:rsid w:val="00F931CF"/>
    <w:rsid w:val="00F93A31"/>
    <w:rsid w:val="00F93BA1"/>
    <w:rsid w:val="00F93D6E"/>
    <w:rsid w:val="00F9423D"/>
    <w:rsid w:val="00F94609"/>
    <w:rsid w:val="00F95182"/>
    <w:rsid w:val="00F95630"/>
    <w:rsid w:val="00F957D2"/>
    <w:rsid w:val="00F95D94"/>
    <w:rsid w:val="00F96F86"/>
    <w:rsid w:val="00F97711"/>
    <w:rsid w:val="00F97AE2"/>
    <w:rsid w:val="00FA02B8"/>
    <w:rsid w:val="00FA0980"/>
    <w:rsid w:val="00FA1028"/>
    <w:rsid w:val="00FA10F7"/>
    <w:rsid w:val="00FA157E"/>
    <w:rsid w:val="00FA181F"/>
    <w:rsid w:val="00FA1C1F"/>
    <w:rsid w:val="00FA1E82"/>
    <w:rsid w:val="00FA2137"/>
    <w:rsid w:val="00FA21B0"/>
    <w:rsid w:val="00FA272D"/>
    <w:rsid w:val="00FA2C40"/>
    <w:rsid w:val="00FA338D"/>
    <w:rsid w:val="00FA34A2"/>
    <w:rsid w:val="00FA3742"/>
    <w:rsid w:val="00FA3837"/>
    <w:rsid w:val="00FA39FC"/>
    <w:rsid w:val="00FA44B4"/>
    <w:rsid w:val="00FA4538"/>
    <w:rsid w:val="00FA486C"/>
    <w:rsid w:val="00FA4998"/>
    <w:rsid w:val="00FA4DC2"/>
    <w:rsid w:val="00FA5EA3"/>
    <w:rsid w:val="00FA67E3"/>
    <w:rsid w:val="00FA7157"/>
    <w:rsid w:val="00FA73A6"/>
    <w:rsid w:val="00FA7698"/>
    <w:rsid w:val="00FA78C2"/>
    <w:rsid w:val="00FA7A2D"/>
    <w:rsid w:val="00FA7B4F"/>
    <w:rsid w:val="00FA7F36"/>
    <w:rsid w:val="00FB06E7"/>
    <w:rsid w:val="00FB06E9"/>
    <w:rsid w:val="00FB0822"/>
    <w:rsid w:val="00FB09AA"/>
    <w:rsid w:val="00FB1093"/>
    <w:rsid w:val="00FB13A0"/>
    <w:rsid w:val="00FB227E"/>
    <w:rsid w:val="00FB267D"/>
    <w:rsid w:val="00FB2A18"/>
    <w:rsid w:val="00FB2BF4"/>
    <w:rsid w:val="00FB2C8D"/>
    <w:rsid w:val="00FB2DC6"/>
    <w:rsid w:val="00FB4FDE"/>
    <w:rsid w:val="00FB5E81"/>
    <w:rsid w:val="00FB6E6C"/>
    <w:rsid w:val="00FB71B0"/>
    <w:rsid w:val="00FB7ABA"/>
    <w:rsid w:val="00FB7C21"/>
    <w:rsid w:val="00FB7C46"/>
    <w:rsid w:val="00FC04E0"/>
    <w:rsid w:val="00FC0D98"/>
    <w:rsid w:val="00FC1042"/>
    <w:rsid w:val="00FC11C6"/>
    <w:rsid w:val="00FC17D8"/>
    <w:rsid w:val="00FC274E"/>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51A"/>
    <w:rsid w:val="00FD0553"/>
    <w:rsid w:val="00FD0AE7"/>
    <w:rsid w:val="00FD0B44"/>
    <w:rsid w:val="00FD0F70"/>
    <w:rsid w:val="00FD2315"/>
    <w:rsid w:val="00FD29A7"/>
    <w:rsid w:val="00FD2B15"/>
    <w:rsid w:val="00FD3092"/>
    <w:rsid w:val="00FD35A1"/>
    <w:rsid w:val="00FD40FC"/>
    <w:rsid w:val="00FD412E"/>
    <w:rsid w:val="00FD420F"/>
    <w:rsid w:val="00FD4F2F"/>
    <w:rsid w:val="00FD51F7"/>
    <w:rsid w:val="00FD5258"/>
    <w:rsid w:val="00FD5602"/>
    <w:rsid w:val="00FD5A2A"/>
    <w:rsid w:val="00FD5AE2"/>
    <w:rsid w:val="00FD62B4"/>
    <w:rsid w:val="00FD7142"/>
    <w:rsid w:val="00FD750F"/>
    <w:rsid w:val="00FE011C"/>
    <w:rsid w:val="00FE07DC"/>
    <w:rsid w:val="00FE1116"/>
    <w:rsid w:val="00FE1E64"/>
    <w:rsid w:val="00FE2075"/>
    <w:rsid w:val="00FE2080"/>
    <w:rsid w:val="00FE2647"/>
    <w:rsid w:val="00FE27B9"/>
    <w:rsid w:val="00FE2E37"/>
    <w:rsid w:val="00FE3156"/>
    <w:rsid w:val="00FE3640"/>
    <w:rsid w:val="00FE3780"/>
    <w:rsid w:val="00FE3954"/>
    <w:rsid w:val="00FE3CF7"/>
    <w:rsid w:val="00FE4071"/>
    <w:rsid w:val="00FE42E3"/>
    <w:rsid w:val="00FE4ECD"/>
    <w:rsid w:val="00FE52B7"/>
    <w:rsid w:val="00FE53C5"/>
    <w:rsid w:val="00FE5807"/>
    <w:rsid w:val="00FE5C39"/>
    <w:rsid w:val="00FE5C57"/>
    <w:rsid w:val="00FE5F67"/>
    <w:rsid w:val="00FE624E"/>
    <w:rsid w:val="00FE6415"/>
    <w:rsid w:val="00FE69E7"/>
    <w:rsid w:val="00FE6BB8"/>
    <w:rsid w:val="00FE6E76"/>
    <w:rsid w:val="00FE79AD"/>
    <w:rsid w:val="00FF027B"/>
    <w:rsid w:val="00FF1174"/>
    <w:rsid w:val="00FF165A"/>
    <w:rsid w:val="00FF1B72"/>
    <w:rsid w:val="00FF1CF1"/>
    <w:rsid w:val="00FF1F4C"/>
    <w:rsid w:val="00FF2654"/>
    <w:rsid w:val="00FF35DC"/>
    <w:rsid w:val="00FF3A6A"/>
    <w:rsid w:val="00FF3C7A"/>
    <w:rsid w:val="00FF3E09"/>
    <w:rsid w:val="00FF411C"/>
    <w:rsid w:val="00FF4587"/>
    <w:rsid w:val="00FF4B2E"/>
    <w:rsid w:val="00FF4E4B"/>
    <w:rsid w:val="00FF4E4E"/>
    <w:rsid w:val="00FF5049"/>
    <w:rsid w:val="00FF5D1F"/>
    <w:rsid w:val="00FF5F95"/>
    <w:rsid w:val="00FF6126"/>
    <w:rsid w:val="00FF61F5"/>
    <w:rsid w:val="00FF624C"/>
    <w:rsid w:val="00FF62AA"/>
    <w:rsid w:val="00FF64D7"/>
    <w:rsid w:val="00FF6B6C"/>
    <w:rsid w:val="01420B2A"/>
    <w:rsid w:val="01475B40"/>
    <w:rsid w:val="01AA2C10"/>
    <w:rsid w:val="01B219C1"/>
    <w:rsid w:val="02077281"/>
    <w:rsid w:val="02077A8A"/>
    <w:rsid w:val="027B0197"/>
    <w:rsid w:val="02BF3986"/>
    <w:rsid w:val="02CB76A6"/>
    <w:rsid w:val="02D7201B"/>
    <w:rsid w:val="03253AFD"/>
    <w:rsid w:val="034A0161"/>
    <w:rsid w:val="035241C7"/>
    <w:rsid w:val="035A2E3C"/>
    <w:rsid w:val="037738D8"/>
    <w:rsid w:val="039945AA"/>
    <w:rsid w:val="03B82B2E"/>
    <w:rsid w:val="03C874C4"/>
    <w:rsid w:val="03E66A74"/>
    <w:rsid w:val="03EE579D"/>
    <w:rsid w:val="03F84D17"/>
    <w:rsid w:val="041B1A3F"/>
    <w:rsid w:val="04207E21"/>
    <w:rsid w:val="044D4EED"/>
    <w:rsid w:val="049D0218"/>
    <w:rsid w:val="04A86794"/>
    <w:rsid w:val="04CE1F73"/>
    <w:rsid w:val="04E1218F"/>
    <w:rsid w:val="05915B61"/>
    <w:rsid w:val="05A96137"/>
    <w:rsid w:val="05B53FF0"/>
    <w:rsid w:val="05B82808"/>
    <w:rsid w:val="05EA0E33"/>
    <w:rsid w:val="062C0C3A"/>
    <w:rsid w:val="06BD1E8C"/>
    <w:rsid w:val="07007A7F"/>
    <w:rsid w:val="07117EF5"/>
    <w:rsid w:val="072A0A1E"/>
    <w:rsid w:val="075F0692"/>
    <w:rsid w:val="078A2181"/>
    <w:rsid w:val="079052BE"/>
    <w:rsid w:val="084E7652"/>
    <w:rsid w:val="084F1E4E"/>
    <w:rsid w:val="087E13CA"/>
    <w:rsid w:val="088B3028"/>
    <w:rsid w:val="08F53B23"/>
    <w:rsid w:val="09093579"/>
    <w:rsid w:val="091A7535"/>
    <w:rsid w:val="0966277A"/>
    <w:rsid w:val="09E43ECA"/>
    <w:rsid w:val="0A070656"/>
    <w:rsid w:val="0A167B24"/>
    <w:rsid w:val="0A7E1D45"/>
    <w:rsid w:val="0A8817F5"/>
    <w:rsid w:val="0A913ED8"/>
    <w:rsid w:val="0A924382"/>
    <w:rsid w:val="0AB45767"/>
    <w:rsid w:val="0ABD092B"/>
    <w:rsid w:val="0B043FF8"/>
    <w:rsid w:val="0B0D6165"/>
    <w:rsid w:val="0B24171E"/>
    <w:rsid w:val="0B61253D"/>
    <w:rsid w:val="0B8D5292"/>
    <w:rsid w:val="0B995F11"/>
    <w:rsid w:val="0BB14A58"/>
    <w:rsid w:val="0BB33687"/>
    <w:rsid w:val="0BD046F5"/>
    <w:rsid w:val="0C4D19CF"/>
    <w:rsid w:val="0C5362CE"/>
    <w:rsid w:val="0C6D7114"/>
    <w:rsid w:val="0C807FF6"/>
    <w:rsid w:val="0CB169C3"/>
    <w:rsid w:val="0CD2048F"/>
    <w:rsid w:val="0CE75644"/>
    <w:rsid w:val="0D081F34"/>
    <w:rsid w:val="0D584403"/>
    <w:rsid w:val="0D610F79"/>
    <w:rsid w:val="0DB31D06"/>
    <w:rsid w:val="0DC2161C"/>
    <w:rsid w:val="0DC857B1"/>
    <w:rsid w:val="0DDA523F"/>
    <w:rsid w:val="0DEE0F90"/>
    <w:rsid w:val="0E8718B8"/>
    <w:rsid w:val="0E8B52F2"/>
    <w:rsid w:val="0ED546AC"/>
    <w:rsid w:val="0EDD4088"/>
    <w:rsid w:val="0F0F1F61"/>
    <w:rsid w:val="0F0F3E98"/>
    <w:rsid w:val="0F333B7C"/>
    <w:rsid w:val="0F361B01"/>
    <w:rsid w:val="0F454C30"/>
    <w:rsid w:val="0F582B45"/>
    <w:rsid w:val="0F825E34"/>
    <w:rsid w:val="0F8A29EF"/>
    <w:rsid w:val="0FB1301E"/>
    <w:rsid w:val="10063F4A"/>
    <w:rsid w:val="100D1BD8"/>
    <w:rsid w:val="101C0A97"/>
    <w:rsid w:val="10392996"/>
    <w:rsid w:val="10A86882"/>
    <w:rsid w:val="10C65213"/>
    <w:rsid w:val="10DB1C9F"/>
    <w:rsid w:val="10F67974"/>
    <w:rsid w:val="11333889"/>
    <w:rsid w:val="116353E3"/>
    <w:rsid w:val="117C7228"/>
    <w:rsid w:val="1182036D"/>
    <w:rsid w:val="11A77389"/>
    <w:rsid w:val="1207125C"/>
    <w:rsid w:val="12131AAA"/>
    <w:rsid w:val="12746B75"/>
    <w:rsid w:val="12D6790A"/>
    <w:rsid w:val="12EB3CF0"/>
    <w:rsid w:val="12F438A7"/>
    <w:rsid w:val="130C7B91"/>
    <w:rsid w:val="1323348A"/>
    <w:rsid w:val="132D4C2B"/>
    <w:rsid w:val="13345697"/>
    <w:rsid w:val="13482EF0"/>
    <w:rsid w:val="137155C7"/>
    <w:rsid w:val="13977E74"/>
    <w:rsid w:val="13D47985"/>
    <w:rsid w:val="13DD55FA"/>
    <w:rsid w:val="13F605DA"/>
    <w:rsid w:val="141B7F51"/>
    <w:rsid w:val="146F2C7A"/>
    <w:rsid w:val="149E4992"/>
    <w:rsid w:val="15A217AD"/>
    <w:rsid w:val="15B42ABF"/>
    <w:rsid w:val="15C026F1"/>
    <w:rsid w:val="15C53FEF"/>
    <w:rsid w:val="161E387E"/>
    <w:rsid w:val="16F26832"/>
    <w:rsid w:val="17064457"/>
    <w:rsid w:val="172577D0"/>
    <w:rsid w:val="173F5EB1"/>
    <w:rsid w:val="1741310B"/>
    <w:rsid w:val="175D64F6"/>
    <w:rsid w:val="17D86539"/>
    <w:rsid w:val="182C52B5"/>
    <w:rsid w:val="18337073"/>
    <w:rsid w:val="185010A8"/>
    <w:rsid w:val="18686D72"/>
    <w:rsid w:val="189439F5"/>
    <w:rsid w:val="18C643E3"/>
    <w:rsid w:val="18C755D6"/>
    <w:rsid w:val="18C80D5B"/>
    <w:rsid w:val="18DC6C31"/>
    <w:rsid w:val="198A03DE"/>
    <w:rsid w:val="19A87FCC"/>
    <w:rsid w:val="19AA2BC7"/>
    <w:rsid w:val="1A2218F2"/>
    <w:rsid w:val="1A4025CB"/>
    <w:rsid w:val="1A42199C"/>
    <w:rsid w:val="1A442DE9"/>
    <w:rsid w:val="1B027D5B"/>
    <w:rsid w:val="1B4A54CA"/>
    <w:rsid w:val="1B4C426C"/>
    <w:rsid w:val="1B516D3B"/>
    <w:rsid w:val="1B7E4FCB"/>
    <w:rsid w:val="1B9F7F95"/>
    <w:rsid w:val="1C205538"/>
    <w:rsid w:val="1C3B1844"/>
    <w:rsid w:val="1C4701E9"/>
    <w:rsid w:val="1C511068"/>
    <w:rsid w:val="1C5823F6"/>
    <w:rsid w:val="1CD11C05"/>
    <w:rsid w:val="1CFF2CB4"/>
    <w:rsid w:val="1D0E51AB"/>
    <w:rsid w:val="1D13223F"/>
    <w:rsid w:val="1D321E13"/>
    <w:rsid w:val="1DC26E78"/>
    <w:rsid w:val="1DE4343C"/>
    <w:rsid w:val="1E6750EF"/>
    <w:rsid w:val="1E854FF8"/>
    <w:rsid w:val="1EB2065C"/>
    <w:rsid w:val="1F0A017C"/>
    <w:rsid w:val="1F462152"/>
    <w:rsid w:val="1F5076F3"/>
    <w:rsid w:val="1F5E77E7"/>
    <w:rsid w:val="1F6B6784"/>
    <w:rsid w:val="1F780DC2"/>
    <w:rsid w:val="1FBC2C9C"/>
    <w:rsid w:val="1FDB6A65"/>
    <w:rsid w:val="1FEB15EA"/>
    <w:rsid w:val="1FF80F81"/>
    <w:rsid w:val="201523AC"/>
    <w:rsid w:val="201B7B4E"/>
    <w:rsid w:val="20226C03"/>
    <w:rsid w:val="203F6DB0"/>
    <w:rsid w:val="20657BB6"/>
    <w:rsid w:val="20780ECB"/>
    <w:rsid w:val="20843D3C"/>
    <w:rsid w:val="20876837"/>
    <w:rsid w:val="20AA54EF"/>
    <w:rsid w:val="20EA2551"/>
    <w:rsid w:val="212A35AC"/>
    <w:rsid w:val="21455F84"/>
    <w:rsid w:val="21BF1162"/>
    <w:rsid w:val="221D727C"/>
    <w:rsid w:val="22391D34"/>
    <w:rsid w:val="224176AA"/>
    <w:rsid w:val="22506A46"/>
    <w:rsid w:val="22510F5E"/>
    <w:rsid w:val="228C1199"/>
    <w:rsid w:val="22A42E37"/>
    <w:rsid w:val="22B358D3"/>
    <w:rsid w:val="22C21C13"/>
    <w:rsid w:val="22C804E5"/>
    <w:rsid w:val="230C030B"/>
    <w:rsid w:val="235634BB"/>
    <w:rsid w:val="23922691"/>
    <w:rsid w:val="239C7ED9"/>
    <w:rsid w:val="23AF14AC"/>
    <w:rsid w:val="23BA3996"/>
    <w:rsid w:val="23BF2D5B"/>
    <w:rsid w:val="23E02D14"/>
    <w:rsid w:val="23E17175"/>
    <w:rsid w:val="23E35F08"/>
    <w:rsid w:val="24174AF6"/>
    <w:rsid w:val="241C39CC"/>
    <w:rsid w:val="242D24F6"/>
    <w:rsid w:val="243F6AC7"/>
    <w:rsid w:val="24507394"/>
    <w:rsid w:val="246835F6"/>
    <w:rsid w:val="24801EBF"/>
    <w:rsid w:val="24955D2C"/>
    <w:rsid w:val="24977600"/>
    <w:rsid w:val="249B3C88"/>
    <w:rsid w:val="25034EC9"/>
    <w:rsid w:val="2512691B"/>
    <w:rsid w:val="253A41A3"/>
    <w:rsid w:val="254554E2"/>
    <w:rsid w:val="254D53BD"/>
    <w:rsid w:val="25556A76"/>
    <w:rsid w:val="258424AE"/>
    <w:rsid w:val="25863C99"/>
    <w:rsid w:val="26161B10"/>
    <w:rsid w:val="264316E7"/>
    <w:rsid w:val="264B6B28"/>
    <w:rsid w:val="2669559F"/>
    <w:rsid w:val="26772F1B"/>
    <w:rsid w:val="26AA0F6E"/>
    <w:rsid w:val="26C35C0B"/>
    <w:rsid w:val="26D1553A"/>
    <w:rsid w:val="26F171D0"/>
    <w:rsid w:val="270A0791"/>
    <w:rsid w:val="272F1A96"/>
    <w:rsid w:val="274F2647"/>
    <w:rsid w:val="27AC0841"/>
    <w:rsid w:val="27D21C96"/>
    <w:rsid w:val="27E92DC7"/>
    <w:rsid w:val="28184A6F"/>
    <w:rsid w:val="28222078"/>
    <w:rsid w:val="28373D58"/>
    <w:rsid w:val="2848646B"/>
    <w:rsid w:val="285014B6"/>
    <w:rsid w:val="286072A0"/>
    <w:rsid w:val="287F6D76"/>
    <w:rsid w:val="289865D3"/>
    <w:rsid w:val="28BA7F95"/>
    <w:rsid w:val="28ED35B3"/>
    <w:rsid w:val="29094CCB"/>
    <w:rsid w:val="293A32D8"/>
    <w:rsid w:val="297B0CF7"/>
    <w:rsid w:val="2988015F"/>
    <w:rsid w:val="29A6176B"/>
    <w:rsid w:val="29BF095F"/>
    <w:rsid w:val="29E412C9"/>
    <w:rsid w:val="2A092F82"/>
    <w:rsid w:val="2A3049B2"/>
    <w:rsid w:val="2A41271B"/>
    <w:rsid w:val="2A4E4E38"/>
    <w:rsid w:val="2A51423E"/>
    <w:rsid w:val="2A557F75"/>
    <w:rsid w:val="2A663F30"/>
    <w:rsid w:val="2A846AF9"/>
    <w:rsid w:val="2AF803FA"/>
    <w:rsid w:val="2B0E58B3"/>
    <w:rsid w:val="2B1E0D76"/>
    <w:rsid w:val="2B9B6522"/>
    <w:rsid w:val="2B9F14AA"/>
    <w:rsid w:val="2B9F7D4D"/>
    <w:rsid w:val="2BB331A5"/>
    <w:rsid w:val="2BCA439B"/>
    <w:rsid w:val="2C07610B"/>
    <w:rsid w:val="2C0B389A"/>
    <w:rsid w:val="2C1A24EF"/>
    <w:rsid w:val="2C626979"/>
    <w:rsid w:val="2C8E59C0"/>
    <w:rsid w:val="2D0210E4"/>
    <w:rsid w:val="2D0D4B37"/>
    <w:rsid w:val="2D285E15"/>
    <w:rsid w:val="2DE07482"/>
    <w:rsid w:val="2DE6130D"/>
    <w:rsid w:val="2DEB3F5A"/>
    <w:rsid w:val="2E28376C"/>
    <w:rsid w:val="2E2A1F73"/>
    <w:rsid w:val="2E3A5DFF"/>
    <w:rsid w:val="2E424CB4"/>
    <w:rsid w:val="2ECD6C74"/>
    <w:rsid w:val="2EDD2DD9"/>
    <w:rsid w:val="2EFA61AC"/>
    <w:rsid w:val="2F580725"/>
    <w:rsid w:val="2F6151B4"/>
    <w:rsid w:val="2F723467"/>
    <w:rsid w:val="2FAA3476"/>
    <w:rsid w:val="2FB40A66"/>
    <w:rsid w:val="2FCE5C87"/>
    <w:rsid w:val="2FDE333C"/>
    <w:rsid w:val="2FFD5337"/>
    <w:rsid w:val="301D6BAD"/>
    <w:rsid w:val="30232088"/>
    <w:rsid w:val="306E6B23"/>
    <w:rsid w:val="309B00EC"/>
    <w:rsid w:val="309D7227"/>
    <w:rsid w:val="30BE4320"/>
    <w:rsid w:val="30CA20F8"/>
    <w:rsid w:val="30ED53AB"/>
    <w:rsid w:val="30F046EE"/>
    <w:rsid w:val="31C003CA"/>
    <w:rsid w:val="31C3435E"/>
    <w:rsid w:val="31CB61B8"/>
    <w:rsid w:val="31D24A5E"/>
    <w:rsid w:val="31D50628"/>
    <w:rsid w:val="320026B1"/>
    <w:rsid w:val="322766C8"/>
    <w:rsid w:val="3238450B"/>
    <w:rsid w:val="323B5CA2"/>
    <w:rsid w:val="323D5EBE"/>
    <w:rsid w:val="32543591"/>
    <w:rsid w:val="32543C31"/>
    <w:rsid w:val="32A02B99"/>
    <w:rsid w:val="32B27BAB"/>
    <w:rsid w:val="32C739DA"/>
    <w:rsid w:val="32FB3570"/>
    <w:rsid w:val="332F5AAF"/>
    <w:rsid w:val="336169D2"/>
    <w:rsid w:val="33D414D0"/>
    <w:rsid w:val="33D8698B"/>
    <w:rsid w:val="33DB1A44"/>
    <w:rsid w:val="33F425AD"/>
    <w:rsid w:val="34306095"/>
    <w:rsid w:val="347F6565"/>
    <w:rsid w:val="34AC732B"/>
    <w:rsid w:val="34F85A73"/>
    <w:rsid w:val="35240BC5"/>
    <w:rsid w:val="35490860"/>
    <w:rsid w:val="358B4BCD"/>
    <w:rsid w:val="359173C8"/>
    <w:rsid w:val="35947BB2"/>
    <w:rsid w:val="35CD358A"/>
    <w:rsid w:val="35EE3516"/>
    <w:rsid w:val="36015455"/>
    <w:rsid w:val="361809FF"/>
    <w:rsid w:val="362A09EF"/>
    <w:rsid w:val="366E2AEA"/>
    <w:rsid w:val="367252A6"/>
    <w:rsid w:val="36763D7C"/>
    <w:rsid w:val="369A24FF"/>
    <w:rsid w:val="369C1105"/>
    <w:rsid w:val="36EE03B6"/>
    <w:rsid w:val="371265E8"/>
    <w:rsid w:val="371B152F"/>
    <w:rsid w:val="372A441E"/>
    <w:rsid w:val="372F2069"/>
    <w:rsid w:val="37467D39"/>
    <w:rsid w:val="375A6BCB"/>
    <w:rsid w:val="375F040C"/>
    <w:rsid w:val="37715650"/>
    <w:rsid w:val="3797578D"/>
    <w:rsid w:val="37A62C9E"/>
    <w:rsid w:val="37D77D6E"/>
    <w:rsid w:val="37DD078C"/>
    <w:rsid w:val="37E23B07"/>
    <w:rsid w:val="3801173C"/>
    <w:rsid w:val="38053E95"/>
    <w:rsid w:val="3809239F"/>
    <w:rsid w:val="385F359C"/>
    <w:rsid w:val="387E1403"/>
    <w:rsid w:val="389F3BB5"/>
    <w:rsid w:val="38B13162"/>
    <w:rsid w:val="38EA389E"/>
    <w:rsid w:val="38FB5F12"/>
    <w:rsid w:val="39764653"/>
    <w:rsid w:val="39912D3E"/>
    <w:rsid w:val="399D36E6"/>
    <w:rsid w:val="39EC2E25"/>
    <w:rsid w:val="3A480BD6"/>
    <w:rsid w:val="3A6D1D36"/>
    <w:rsid w:val="3A75086F"/>
    <w:rsid w:val="3A7F2F6B"/>
    <w:rsid w:val="3A8730BD"/>
    <w:rsid w:val="3A881561"/>
    <w:rsid w:val="3A8A23C9"/>
    <w:rsid w:val="3AA30888"/>
    <w:rsid w:val="3AB25A08"/>
    <w:rsid w:val="3AB60445"/>
    <w:rsid w:val="3ABE69D2"/>
    <w:rsid w:val="3AC045E5"/>
    <w:rsid w:val="3AF11C2B"/>
    <w:rsid w:val="3B402807"/>
    <w:rsid w:val="3B4B0BDE"/>
    <w:rsid w:val="3B7B7531"/>
    <w:rsid w:val="3BA659D8"/>
    <w:rsid w:val="3BA80B19"/>
    <w:rsid w:val="3BE63123"/>
    <w:rsid w:val="3C184C27"/>
    <w:rsid w:val="3C4240EC"/>
    <w:rsid w:val="3C8612EC"/>
    <w:rsid w:val="3CAC611A"/>
    <w:rsid w:val="3CB23005"/>
    <w:rsid w:val="3CCF1E09"/>
    <w:rsid w:val="3D1E7313"/>
    <w:rsid w:val="3DC46429"/>
    <w:rsid w:val="3DE23DBE"/>
    <w:rsid w:val="3E4444AC"/>
    <w:rsid w:val="3E997760"/>
    <w:rsid w:val="3EAE6457"/>
    <w:rsid w:val="3F04204D"/>
    <w:rsid w:val="3F3A1FEB"/>
    <w:rsid w:val="3F3C7CCE"/>
    <w:rsid w:val="3F6252F2"/>
    <w:rsid w:val="3F771D48"/>
    <w:rsid w:val="3F836EDA"/>
    <w:rsid w:val="3FAF2AA4"/>
    <w:rsid w:val="3FB87902"/>
    <w:rsid w:val="3FB910CF"/>
    <w:rsid w:val="401E123E"/>
    <w:rsid w:val="405F6B9A"/>
    <w:rsid w:val="406311E6"/>
    <w:rsid w:val="40712EDE"/>
    <w:rsid w:val="40831A96"/>
    <w:rsid w:val="4087285C"/>
    <w:rsid w:val="40885740"/>
    <w:rsid w:val="40B03CFF"/>
    <w:rsid w:val="40C477AB"/>
    <w:rsid w:val="40DB31E9"/>
    <w:rsid w:val="41266EAB"/>
    <w:rsid w:val="415A0FC6"/>
    <w:rsid w:val="41803676"/>
    <w:rsid w:val="41943621"/>
    <w:rsid w:val="419F03B2"/>
    <w:rsid w:val="41CB5019"/>
    <w:rsid w:val="41EC6646"/>
    <w:rsid w:val="41F26153"/>
    <w:rsid w:val="42253D73"/>
    <w:rsid w:val="42286DD4"/>
    <w:rsid w:val="42383C58"/>
    <w:rsid w:val="423D2C52"/>
    <w:rsid w:val="428B5ADE"/>
    <w:rsid w:val="4292190E"/>
    <w:rsid w:val="42AF2A18"/>
    <w:rsid w:val="42DC0426"/>
    <w:rsid w:val="42DE0CD7"/>
    <w:rsid w:val="43104F29"/>
    <w:rsid w:val="432D7179"/>
    <w:rsid w:val="43A162E6"/>
    <w:rsid w:val="43B173DF"/>
    <w:rsid w:val="43BF32E9"/>
    <w:rsid w:val="43C76649"/>
    <w:rsid w:val="43F96D1B"/>
    <w:rsid w:val="440A3726"/>
    <w:rsid w:val="446E1F07"/>
    <w:rsid w:val="44A34DBB"/>
    <w:rsid w:val="44B63749"/>
    <w:rsid w:val="44B91A5D"/>
    <w:rsid w:val="44D41F9A"/>
    <w:rsid w:val="44F535BA"/>
    <w:rsid w:val="44FA19ED"/>
    <w:rsid w:val="452F03D4"/>
    <w:rsid w:val="45440A60"/>
    <w:rsid w:val="454B20CD"/>
    <w:rsid w:val="45525385"/>
    <w:rsid w:val="456362F5"/>
    <w:rsid w:val="459A3BBF"/>
    <w:rsid w:val="459C7125"/>
    <w:rsid w:val="45C979E9"/>
    <w:rsid w:val="4687262A"/>
    <w:rsid w:val="4691012F"/>
    <w:rsid w:val="46965745"/>
    <w:rsid w:val="47484E32"/>
    <w:rsid w:val="476051A1"/>
    <w:rsid w:val="477C71FA"/>
    <w:rsid w:val="47843179"/>
    <w:rsid w:val="47947ED7"/>
    <w:rsid w:val="47B658A1"/>
    <w:rsid w:val="48343468"/>
    <w:rsid w:val="48C53AD7"/>
    <w:rsid w:val="48E761F0"/>
    <w:rsid w:val="49282822"/>
    <w:rsid w:val="492B78FF"/>
    <w:rsid w:val="49613F0A"/>
    <w:rsid w:val="49635DB3"/>
    <w:rsid w:val="49A07007"/>
    <w:rsid w:val="49D3265A"/>
    <w:rsid w:val="49DE6203"/>
    <w:rsid w:val="49EF5898"/>
    <w:rsid w:val="4A0646DA"/>
    <w:rsid w:val="4A573306"/>
    <w:rsid w:val="4ABA0990"/>
    <w:rsid w:val="4AF875FC"/>
    <w:rsid w:val="4B0C5FAB"/>
    <w:rsid w:val="4B277966"/>
    <w:rsid w:val="4B9F16FF"/>
    <w:rsid w:val="4BDC009E"/>
    <w:rsid w:val="4BDD1680"/>
    <w:rsid w:val="4BEE0F77"/>
    <w:rsid w:val="4BF215FE"/>
    <w:rsid w:val="4BF24EAD"/>
    <w:rsid w:val="4C1B6FEB"/>
    <w:rsid w:val="4C2D08FA"/>
    <w:rsid w:val="4C770EE0"/>
    <w:rsid w:val="4CC14BE8"/>
    <w:rsid w:val="4CD40D75"/>
    <w:rsid w:val="4CDE44AC"/>
    <w:rsid w:val="4CFD651E"/>
    <w:rsid w:val="4D023BBE"/>
    <w:rsid w:val="4D243AAB"/>
    <w:rsid w:val="4D467EC5"/>
    <w:rsid w:val="4D561B91"/>
    <w:rsid w:val="4D8D78A2"/>
    <w:rsid w:val="4DC620A1"/>
    <w:rsid w:val="4DE54C5E"/>
    <w:rsid w:val="4E0D453F"/>
    <w:rsid w:val="4E125FF9"/>
    <w:rsid w:val="4E1553B3"/>
    <w:rsid w:val="4E4D344A"/>
    <w:rsid w:val="4E6268C7"/>
    <w:rsid w:val="4E7C5777"/>
    <w:rsid w:val="4EAC5711"/>
    <w:rsid w:val="4EB82E9F"/>
    <w:rsid w:val="4EDA0D8F"/>
    <w:rsid w:val="4EEF7699"/>
    <w:rsid w:val="4F125B68"/>
    <w:rsid w:val="4F220541"/>
    <w:rsid w:val="4F5252CE"/>
    <w:rsid w:val="4F6E5F9F"/>
    <w:rsid w:val="4F8B6063"/>
    <w:rsid w:val="4FA12074"/>
    <w:rsid w:val="50345978"/>
    <w:rsid w:val="503E6C32"/>
    <w:rsid w:val="504306EC"/>
    <w:rsid w:val="505C7478"/>
    <w:rsid w:val="50682C89"/>
    <w:rsid w:val="509748C6"/>
    <w:rsid w:val="50C555A5"/>
    <w:rsid w:val="50CF47A9"/>
    <w:rsid w:val="50D565AD"/>
    <w:rsid w:val="51482C79"/>
    <w:rsid w:val="51B2004B"/>
    <w:rsid w:val="51BD002A"/>
    <w:rsid w:val="51E5535B"/>
    <w:rsid w:val="51F95EE1"/>
    <w:rsid w:val="523373C0"/>
    <w:rsid w:val="52413FB3"/>
    <w:rsid w:val="525F10E1"/>
    <w:rsid w:val="527416D4"/>
    <w:rsid w:val="52796647"/>
    <w:rsid w:val="527C2D46"/>
    <w:rsid w:val="529E5241"/>
    <w:rsid w:val="52E24B9D"/>
    <w:rsid w:val="52E77A54"/>
    <w:rsid w:val="52EC1B81"/>
    <w:rsid w:val="53AA0A2F"/>
    <w:rsid w:val="53B525E6"/>
    <w:rsid w:val="53B96A69"/>
    <w:rsid w:val="53FD0BB2"/>
    <w:rsid w:val="5422450F"/>
    <w:rsid w:val="544C5786"/>
    <w:rsid w:val="547C0988"/>
    <w:rsid w:val="548B440F"/>
    <w:rsid w:val="54AA5FF5"/>
    <w:rsid w:val="54BD5977"/>
    <w:rsid w:val="550569ED"/>
    <w:rsid w:val="551B70F9"/>
    <w:rsid w:val="552476F4"/>
    <w:rsid w:val="55622629"/>
    <w:rsid w:val="557701D2"/>
    <w:rsid w:val="55822416"/>
    <w:rsid w:val="55AA2FBB"/>
    <w:rsid w:val="55D944E9"/>
    <w:rsid w:val="55E4338F"/>
    <w:rsid w:val="55EE37CD"/>
    <w:rsid w:val="55F73A99"/>
    <w:rsid w:val="563B2CEC"/>
    <w:rsid w:val="5640754F"/>
    <w:rsid w:val="567E796E"/>
    <w:rsid w:val="56F378C4"/>
    <w:rsid w:val="5726702F"/>
    <w:rsid w:val="57367FFD"/>
    <w:rsid w:val="575C550F"/>
    <w:rsid w:val="5774562F"/>
    <w:rsid w:val="5789500F"/>
    <w:rsid w:val="57A7530D"/>
    <w:rsid w:val="57CC546B"/>
    <w:rsid w:val="57F77222"/>
    <w:rsid w:val="58136BD8"/>
    <w:rsid w:val="581E2406"/>
    <w:rsid w:val="58633412"/>
    <w:rsid w:val="58820BC4"/>
    <w:rsid w:val="58A47CB4"/>
    <w:rsid w:val="5908638B"/>
    <w:rsid w:val="590E13D4"/>
    <w:rsid w:val="59186915"/>
    <w:rsid w:val="595126B1"/>
    <w:rsid w:val="59613991"/>
    <w:rsid w:val="59816463"/>
    <w:rsid w:val="59CA67B9"/>
    <w:rsid w:val="59D74B4C"/>
    <w:rsid w:val="59E82971"/>
    <w:rsid w:val="59EC593B"/>
    <w:rsid w:val="5A0E0D29"/>
    <w:rsid w:val="5A3A2DDD"/>
    <w:rsid w:val="5A5534F6"/>
    <w:rsid w:val="5A72571A"/>
    <w:rsid w:val="5A83365A"/>
    <w:rsid w:val="5A867E39"/>
    <w:rsid w:val="5A915389"/>
    <w:rsid w:val="5A9309F8"/>
    <w:rsid w:val="5ADF54B5"/>
    <w:rsid w:val="5AF34ABD"/>
    <w:rsid w:val="5B12540A"/>
    <w:rsid w:val="5B3B6835"/>
    <w:rsid w:val="5B5D544F"/>
    <w:rsid w:val="5B84354A"/>
    <w:rsid w:val="5BA6549C"/>
    <w:rsid w:val="5BB47782"/>
    <w:rsid w:val="5BCE4FD3"/>
    <w:rsid w:val="5BD91F04"/>
    <w:rsid w:val="5C621EFA"/>
    <w:rsid w:val="5C7F2AAC"/>
    <w:rsid w:val="5C834B58"/>
    <w:rsid w:val="5C846DB6"/>
    <w:rsid w:val="5CF27722"/>
    <w:rsid w:val="5D1648BC"/>
    <w:rsid w:val="5D201747"/>
    <w:rsid w:val="5D201945"/>
    <w:rsid w:val="5D374438"/>
    <w:rsid w:val="5D4D1BD9"/>
    <w:rsid w:val="5D50269A"/>
    <w:rsid w:val="5D6F7FC7"/>
    <w:rsid w:val="5DA31D4F"/>
    <w:rsid w:val="5DD617DB"/>
    <w:rsid w:val="5DF76D59"/>
    <w:rsid w:val="5E0F2166"/>
    <w:rsid w:val="5E241376"/>
    <w:rsid w:val="5EB400EF"/>
    <w:rsid w:val="5EF63A66"/>
    <w:rsid w:val="5F0E3C81"/>
    <w:rsid w:val="5F58344B"/>
    <w:rsid w:val="5F6C22D4"/>
    <w:rsid w:val="5F88611B"/>
    <w:rsid w:val="5F930AF8"/>
    <w:rsid w:val="5FC008C4"/>
    <w:rsid w:val="5FD01870"/>
    <w:rsid w:val="602C5A6C"/>
    <w:rsid w:val="60447752"/>
    <w:rsid w:val="609D1CF7"/>
    <w:rsid w:val="60BC58B9"/>
    <w:rsid w:val="60DF1E53"/>
    <w:rsid w:val="611C70C4"/>
    <w:rsid w:val="61282242"/>
    <w:rsid w:val="614D6625"/>
    <w:rsid w:val="61501C31"/>
    <w:rsid w:val="61570328"/>
    <w:rsid w:val="61E50EA3"/>
    <w:rsid w:val="61F90677"/>
    <w:rsid w:val="620F48D2"/>
    <w:rsid w:val="62620EA5"/>
    <w:rsid w:val="627209BD"/>
    <w:rsid w:val="62B1767B"/>
    <w:rsid w:val="62B61661"/>
    <w:rsid w:val="62C31218"/>
    <w:rsid w:val="62C37595"/>
    <w:rsid w:val="62EC6072"/>
    <w:rsid w:val="62F53AC2"/>
    <w:rsid w:val="630930CF"/>
    <w:rsid w:val="63252E33"/>
    <w:rsid w:val="636345E0"/>
    <w:rsid w:val="63984F9D"/>
    <w:rsid w:val="63A14D89"/>
    <w:rsid w:val="63BE035D"/>
    <w:rsid w:val="641A755E"/>
    <w:rsid w:val="64441196"/>
    <w:rsid w:val="64610CE9"/>
    <w:rsid w:val="646978EA"/>
    <w:rsid w:val="64D15E6F"/>
    <w:rsid w:val="64E124D1"/>
    <w:rsid w:val="654C06D5"/>
    <w:rsid w:val="654C3747"/>
    <w:rsid w:val="656D7047"/>
    <w:rsid w:val="6582360D"/>
    <w:rsid w:val="658A04F8"/>
    <w:rsid w:val="65A2780B"/>
    <w:rsid w:val="65DD76B3"/>
    <w:rsid w:val="65F613D8"/>
    <w:rsid w:val="661B7749"/>
    <w:rsid w:val="662E4A35"/>
    <w:rsid w:val="6646724B"/>
    <w:rsid w:val="66E8749F"/>
    <w:rsid w:val="66F445BF"/>
    <w:rsid w:val="66FB6F37"/>
    <w:rsid w:val="670D3700"/>
    <w:rsid w:val="671F39CD"/>
    <w:rsid w:val="67486483"/>
    <w:rsid w:val="6767258D"/>
    <w:rsid w:val="67A535E2"/>
    <w:rsid w:val="67BA0B4B"/>
    <w:rsid w:val="68077DF9"/>
    <w:rsid w:val="6809591F"/>
    <w:rsid w:val="681C640C"/>
    <w:rsid w:val="687C4343"/>
    <w:rsid w:val="68C70FC8"/>
    <w:rsid w:val="68F71C1C"/>
    <w:rsid w:val="68FE2FAA"/>
    <w:rsid w:val="693F551F"/>
    <w:rsid w:val="694145F4"/>
    <w:rsid w:val="694330B3"/>
    <w:rsid w:val="69564B94"/>
    <w:rsid w:val="69F72C63"/>
    <w:rsid w:val="6A1011E7"/>
    <w:rsid w:val="6A2922A9"/>
    <w:rsid w:val="6A351785"/>
    <w:rsid w:val="6A3B05CC"/>
    <w:rsid w:val="6A792FEA"/>
    <w:rsid w:val="6A8E035E"/>
    <w:rsid w:val="6AF02DC7"/>
    <w:rsid w:val="6B1E6DBC"/>
    <w:rsid w:val="6B241A17"/>
    <w:rsid w:val="6B252A70"/>
    <w:rsid w:val="6B28556D"/>
    <w:rsid w:val="6B531E22"/>
    <w:rsid w:val="6B7A2359"/>
    <w:rsid w:val="6BB66E93"/>
    <w:rsid w:val="6BDA5F51"/>
    <w:rsid w:val="6C13391A"/>
    <w:rsid w:val="6C2A06CA"/>
    <w:rsid w:val="6C2E7D09"/>
    <w:rsid w:val="6C4D1355"/>
    <w:rsid w:val="6CDC3B54"/>
    <w:rsid w:val="6D2F407A"/>
    <w:rsid w:val="6D386A1A"/>
    <w:rsid w:val="6E3D61EF"/>
    <w:rsid w:val="6E911BB9"/>
    <w:rsid w:val="6E9C0F6F"/>
    <w:rsid w:val="6EBC36EB"/>
    <w:rsid w:val="6EC0460B"/>
    <w:rsid w:val="6EF53358"/>
    <w:rsid w:val="6EF54E4F"/>
    <w:rsid w:val="6EFA3169"/>
    <w:rsid w:val="6F040B33"/>
    <w:rsid w:val="6F257866"/>
    <w:rsid w:val="6F2F65B3"/>
    <w:rsid w:val="6F3B6D06"/>
    <w:rsid w:val="6F3F0FBC"/>
    <w:rsid w:val="6F5E47A3"/>
    <w:rsid w:val="6F896E47"/>
    <w:rsid w:val="6F983C7A"/>
    <w:rsid w:val="6FA86703"/>
    <w:rsid w:val="6FC13B19"/>
    <w:rsid w:val="6FEB1589"/>
    <w:rsid w:val="6FFB3E9C"/>
    <w:rsid w:val="700B78DB"/>
    <w:rsid w:val="703A5210"/>
    <w:rsid w:val="703D6AAE"/>
    <w:rsid w:val="705F4991"/>
    <w:rsid w:val="70610D14"/>
    <w:rsid w:val="70932B72"/>
    <w:rsid w:val="70B1066E"/>
    <w:rsid w:val="70CD4C30"/>
    <w:rsid w:val="70D51036"/>
    <w:rsid w:val="70EA7B2E"/>
    <w:rsid w:val="70ED4030"/>
    <w:rsid w:val="7103031A"/>
    <w:rsid w:val="71121F70"/>
    <w:rsid w:val="71714C77"/>
    <w:rsid w:val="71915DBC"/>
    <w:rsid w:val="71997D14"/>
    <w:rsid w:val="71A30976"/>
    <w:rsid w:val="71AD7318"/>
    <w:rsid w:val="71B72167"/>
    <w:rsid w:val="722B7E58"/>
    <w:rsid w:val="726D70E7"/>
    <w:rsid w:val="72712A3F"/>
    <w:rsid w:val="727331D4"/>
    <w:rsid w:val="72900308"/>
    <w:rsid w:val="72B229EC"/>
    <w:rsid w:val="72DE57EE"/>
    <w:rsid w:val="737D520E"/>
    <w:rsid w:val="738942AA"/>
    <w:rsid w:val="73934E91"/>
    <w:rsid w:val="73952D41"/>
    <w:rsid w:val="74000613"/>
    <w:rsid w:val="742F62B4"/>
    <w:rsid w:val="744D5EC9"/>
    <w:rsid w:val="74880490"/>
    <w:rsid w:val="74B65081"/>
    <w:rsid w:val="74BD640F"/>
    <w:rsid w:val="74E62003"/>
    <w:rsid w:val="74FD5875"/>
    <w:rsid w:val="75091655"/>
    <w:rsid w:val="75466811"/>
    <w:rsid w:val="76183420"/>
    <w:rsid w:val="76261D92"/>
    <w:rsid w:val="76275962"/>
    <w:rsid w:val="764A547F"/>
    <w:rsid w:val="765F5CE2"/>
    <w:rsid w:val="768076F4"/>
    <w:rsid w:val="76887358"/>
    <w:rsid w:val="7695128E"/>
    <w:rsid w:val="77212D94"/>
    <w:rsid w:val="773127DC"/>
    <w:rsid w:val="774676CF"/>
    <w:rsid w:val="77723505"/>
    <w:rsid w:val="77923A22"/>
    <w:rsid w:val="7799660A"/>
    <w:rsid w:val="77B128E5"/>
    <w:rsid w:val="77C00C21"/>
    <w:rsid w:val="77CC74DE"/>
    <w:rsid w:val="77F40E23"/>
    <w:rsid w:val="78002C94"/>
    <w:rsid w:val="78217857"/>
    <w:rsid w:val="782D78A1"/>
    <w:rsid w:val="78454ADC"/>
    <w:rsid w:val="785250C1"/>
    <w:rsid w:val="78EA61AB"/>
    <w:rsid w:val="79053EE1"/>
    <w:rsid w:val="79444A09"/>
    <w:rsid w:val="7947274B"/>
    <w:rsid w:val="79813367"/>
    <w:rsid w:val="798C4058"/>
    <w:rsid w:val="79CC5BB7"/>
    <w:rsid w:val="79E65A52"/>
    <w:rsid w:val="79F104D3"/>
    <w:rsid w:val="79FE045D"/>
    <w:rsid w:val="7A3538A9"/>
    <w:rsid w:val="7A7C4102"/>
    <w:rsid w:val="7A81764C"/>
    <w:rsid w:val="7ABB6F4D"/>
    <w:rsid w:val="7AFC6BD0"/>
    <w:rsid w:val="7B1403CC"/>
    <w:rsid w:val="7B3B2796"/>
    <w:rsid w:val="7B843A31"/>
    <w:rsid w:val="7B9429A4"/>
    <w:rsid w:val="7B9A07C2"/>
    <w:rsid w:val="7BCC207F"/>
    <w:rsid w:val="7C0F14DA"/>
    <w:rsid w:val="7C285CE1"/>
    <w:rsid w:val="7C315F75"/>
    <w:rsid w:val="7C3C5E6C"/>
    <w:rsid w:val="7C464F3C"/>
    <w:rsid w:val="7C744EE5"/>
    <w:rsid w:val="7C95655D"/>
    <w:rsid w:val="7C9C4E59"/>
    <w:rsid w:val="7CDF398C"/>
    <w:rsid w:val="7CF72120"/>
    <w:rsid w:val="7D2C636B"/>
    <w:rsid w:val="7D641B1E"/>
    <w:rsid w:val="7D926232"/>
    <w:rsid w:val="7DC10D1E"/>
    <w:rsid w:val="7E1700E3"/>
    <w:rsid w:val="7E26070B"/>
    <w:rsid w:val="7E2F2552"/>
    <w:rsid w:val="7E3659D6"/>
    <w:rsid w:val="7E477448"/>
    <w:rsid w:val="7E5971A9"/>
    <w:rsid w:val="7E8B6C36"/>
    <w:rsid w:val="7EC65EC0"/>
    <w:rsid w:val="7ECC3251"/>
    <w:rsid w:val="7ED2669B"/>
    <w:rsid w:val="7EEA1BAF"/>
    <w:rsid w:val="7F4A5A59"/>
    <w:rsid w:val="7F87354B"/>
    <w:rsid w:val="7FCB7CEB"/>
    <w:rsid w:val="7FDB599C"/>
    <w:rsid w:val="7FE61535"/>
    <w:rsid w:val="7FF509AF"/>
    <w:rsid w:val="CFFF07AE"/>
    <w:rsid w:val="D7EBC65D"/>
    <w:rsid w:val="DFEFB1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semiHidden="0" w:name="HTML Sample"/>
    <w:lsdException w:qFormat="1"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6"/>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widowControl w:val="0"/>
      <w:adjustRightInd w:val="0"/>
      <w:snapToGrid w:val="0"/>
      <w:spacing w:before="120" w:after="120"/>
      <w:outlineLvl w:val="3"/>
    </w:pPr>
    <w:rPr>
      <w:rFonts w:ascii="Arial" w:hAnsi="Arial"/>
      <w:b/>
      <w:bCs/>
      <w:sz w:val="28"/>
      <w:szCs w:val="28"/>
    </w:rPr>
  </w:style>
  <w:style w:type="paragraph" w:styleId="7">
    <w:name w:val="heading 5"/>
    <w:basedOn w:val="1"/>
    <w:next w:val="8"/>
    <w:link w:val="6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69"/>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70"/>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71"/>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2">
    <w:name w:val="Body Text"/>
    <w:basedOn w:val="1"/>
    <w:link w:val="75"/>
    <w:qFormat/>
    <w:uiPriority w:val="99"/>
    <w:pPr>
      <w:spacing w:line="380" w:lineRule="exact"/>
    </w:pPr>
    <w:rPr>
      <w:kern w:val="0"/>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eastAsia="宋体" w:cs="Times New Roman"/>
      <w:szCs w:val="22"/>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2"/>
    <w:unhideWhenUsed/>
    <w:qFormat/>
    <w:uiPriority w:val="99"/>
    <w:rPr>
      <w:rFonts w:ascii="宋体"/>
      <w:sz w:val="18"/>
      <w:szCs w:val="18"/>
    </w:rPr>
  </w:style>
  <w:style w:type="paragraph" w:styleId="17">
    <w:name w:val="annotation text"/>
    <w:basedOn w:val="1"/>
    <w:link w:val="73"/>
    <w:unhideWhenUsed/>
    <w:qFormat/>
    <w:uiPriority w:val="0"/>
    <w:pPr>
      <w:jc w:val="left"/>
    </w:pPr>
  </w:style>
  <w:style w:type="paragraph" w:styleId="18">
    <w:name w:val="Body Text 3"/>
    <w:basedOn w:val="1"/>
    <w:link w:val="74"/>
    <w:qFormat/>
    <w:uiPriority w:val="0"/>
    <w:pPr>
      <w:spacing w:line="500" w:lineRule="exact"/>
    </w:pPr>
    <w:rPr>
      <w:b/>
      <w:bCs/>
      <w:kern w:val="0"/>
      <w:sz w:val="24"/>
    </w:rPr>
  </w:style>
  <w:style w:type="paragraph" w:styleId="19">
    <w:name w:val="Body Text Indent"/>
    <w:basedOn w:val="1"/>
    <w:link w:val="76"/>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eastAsia="宋体" w:cs="Times New Roman"/>
      <w:szCs w:val="22"/>
    </w:rPr>
  </w:style>
  <w:style w:type="paragraph" w:styleId="23">
    <w:name w:val="toc 3"/>
    <w:basedOn w:val="1"/>
    <w:next w:val="1"/>
    <w:unhideWhenUsed/>
    <w:qFormat/>
    <w:uiPriority w:val="0"/>
    <w:pPr>
      <w:ind w:left="840" w:leftChars="400"/>
    </w:pPr>
    <w:rPr>
      <w:rFonts w:ascii="Calibri" w:hAnsi="Calibri" w:eastAsia="宋体" w:cs="Times New Roman"/>
      <w:szCs w:val="22"/>
    </w:rPr>
  </w:style>
  <w:style w:type="paragraph" w:styleId="24">
    <w:name w:val="Plain Text"/>
    <w:basedOn w:val="1"/>
    <w:next w:val="6"/>
    <w:link w:val="77"/>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eastAsia="宋体" w:cs="Times New Roman"/>
      <w:szCs w:val="22"/>
    </w:rPr>
  </w:style>
  <w:style w:type="paragraph" w:styleId="26">
    <w:name w:val="Date"/>
    <w:basedOn w:val="1"/>
    <w:next w:val="1"/>
    <w:link w:val="78"/>
    <w:qFormat/>
    <w:uiPriority w:val="0"/>
    <w:pPr>
      <w:ind w:left="100" w:leftChars="2500"/>
    </w:pPr>
    <w:rPr>
      <w:rFonts w:ascii="宋体" w:hAnsi="Courier New"/>
      <w:kern w:val="0"/>
      <w:sz w:val="20"/>
      <w:szCs w:val="21"/>
    </w:rPr>
  </w:style>
  <w:style w:type="paragraph" w:styleId="27">
    <w:name w:val="Body Text Indent 2"/>
    <w:basedOn w:val="1"/>
    <w:link w:val="79"/>
    <w:qFormat/>
    <w:uiPriority w:val="0"/>
    <w:pPr>
      <w:ind w:firstLine="630"/>
    </w:pPr>
    <w:rPr>
      <w:kern w:val="0"/>
      <w:sz w:val="32"/>
      <w:szCs w:val="20"/>
    </w:rPr>
  </w:style>
  <w:style w:type="paragraph" w:styleId="28">
    <w:name w:val="endnote text"/>
    <w:basedOn w:val="1"/>
    <w:link w:val="80"/>
    <w:unhideWhenUsed/>
    <w:qFormat/>
    <w:uiPriority w:val="99"/>
    <w:pPr>
      <w:snapToGrid w:val="0"/>
      <w:jc w:val="left"/>
    </w:pPr>
  </w:style>
  <w:style w:type="paragraph" w:styleId="29">
    <w:name w:val="Balloon Text"/>
    <w:basedOn w:val="1"/>
    <w:link w:val="81"/>
    <w:semiHidden/>
    <w:qFormat/>
    <w:uiPriority w:val="0"/>
    <w:rPr>
      <w:kern w:val="0"/>
      <w:sz w:val="18"/>
      <w:szCs w:val="18"/>
    </w:rPr>
  </w:style>
  <w:style w:type="paragraph" w:styleId="30">
    <w:name w:val="footer"/>
    <w:basedOn w:val="1"/>
    <w:link w:val="82"/>
    <w:unhideWhenUsed/>
    <w:qFormat/>
    <w:uiPriority w:val="99"/>
    <w:pPr>
      <w:tabs>
        <w:tab w:val="center" w:pos="4153"/>
        <w:tab w:val="right" w:pos="8306"/>
      </w:tabs>
      <w:snapToGrid w:val="0"/>
      <w:jc w:val="left"/>
    </w:pPr>
    <w:rPr>
      <w:kern w:val="0"/>
      <w:sz w:val="18"/>
      <w:szCs w:val="18"/>
    </w:rPr>
  </w:style>
  <w:style w:type="paragraph" w:styleId="31">
    <w:name w:val="header"/>
    <w:basedOn w:val="1"/>
    <w:link w:val="83"/>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eastAsia="宋体" w:cs="Times New Roman"/>
      <w:szCs w:val="22"/>
    </w:rPr>
  </w:style>
  <w:style w:type="paragraph" w:styleId="34">
    <w:name w:val="List"/>
    <w:basedOn w:val="1"/>
    <w:qFormat/>
    <w:uiPriority w:val="0"/>
    <w:pPr>
      <w:ind w:left="200" w:hanging="200" w:hangingChars="200"/>
    </w:pPr>
    <w:rPr>
      <w:sz w:val="28"/>
    </w:rPr>
  </w:style>
  <w:style w:type="paragraph" w:styleId="35">
    <w:name w:val="footnote text"/>
    <w:basedOn w:val="1"/>
    <w:link w:val="84"/>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eastAsia="宋体" w:cs="Times New Roman"/>
      <w:szCs w:val="22"/>
    </w:rPr>
  </w:style>
  <w:style w:type="paragraph" w:styleId="37">
    <w:name w:val="Body Text Indent 3"/>
    <w:basedOn w:val="1"/>
    <w:link w:val="85"/>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eastAsia="宋体" w:cs="Times New Roman"/>
      <w:szCs w:val="22"/>
    </w:rPr>
  </w:style>
  <w:style w:type="paragraph" w:styleId="40">
    <w:name w:val="Body Text 2"/>
    <w:basedOn w:val="1"/>
    <w:link w:val="86"/>
    <w:qFormat/>
    <w:uiPriority w:val="0"/>
    <w:pPr>
      <w:spacing w:after="120" w:line="480" w:lineRule="auto"/>
    </w:pPr>
    <w:rPr>
      <w:kern w:val="0"/>
      <w:sz w:val="20"/>
    </w:rPr>
  </w:style>
  <w:style w:type="paragraph" w:styleId="41">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87"/>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88"/>
    <w:unhideWhenUsed/>
    <w:qFormat/>
    <w:uiPriority w:val="99"/>
    <w:rPr>
      <w:b/>
      <w:bCs/>
    </w:rPr>
  </w:style>
  <w:style w:type="paragraph" w:styleId="46">
    <w:name w:val="Body Text First Indent 2"/>
    <w:basedOn w:val="19"/>
    <w:next w:val="1"/>
    <w:unhideWhenUsed/>
    <w:qFormat/>
    <w:uiPriority w:val="0"/>
    <w:pPr>
      <w:ind w:firstLine="420" w:firstLineChars="200"/>
    </w:pPr>
  </w:style>
  <w:style w:type="table" w:styleId="48">
    <w:name w:val="Table Grid"/>
    <w:basedOn w:val="4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endnote reference"/>
    <w:unhideWhenUsed/>
    <w:qFormat/>
    <w:uiPriority w:val="99"/>
    <w:rPr>
      <w:vertAlign w:val="superscript"/>
    </w:rPr>
  </w:style>
  <w:style w:type="character" w:styleId="51">
    <w:name w:val="page number"/>
    <w:qFormat/>
    <w:uiPriority w:val="0"/>
  </w:style>
  <w:style w:type="character" w:styleId="52">
    <w:name w:val="FollowedHyperlink"/>
    <w:qFormat/>
    <w:uiPriority w:val="99"/>
    <w:rPr>
      <w:color w:val="800080"/>
      <w:u w:val="single"/>
    </w:rPr>
  </w:style>
  <w:style w:type="character" w:styleId="53">
    <w:name w:val="HTML Definition"/>
    <w:basedOn w:val="49"/>
    <w:semiHidden/>
    <w:unhideWhenUsed/>
    <w:qFormat/>
    <w:uiPriority w:val="99"/>
  </w:style>
  <w:style w:type="character" w:styleId="54">
    <w:name w:val="HTML Typewriter"/>
    <w:basedOn w:val="49"/>
    <w:semiHidden/>
    <w:unhideWhenUsed/>
    <w:qFormat/>
    <w:uiPriority w:val="99"/>
    <w:rPr>
      <w:rFonts w:ascii="monospace" w:hAnsi="monospace" w:eastAsia="monospace" w:cs="monospace"/>
      <w:sz w:val="20"/>
    </w:rPr>
  </w:style>
  <w:style w:type="character" w:styleId="55">
    <w:name w:val="HTML Acronym"/>
    <w:basedOn w:val="49"/>
    <w:semiHidden/>
    <w:unhideWhenUsed/>
    <w:qFormat/>
    <w:uiPriority w:val="99"/>
  </w:style>
  <w:style w:type="character" w:styleId="56">
    <w:name w:val="HTML Variable"/>
    <w:basedOn w:val="49"/>
    <w:semiHidden/>
    <w:unhideWhenUsed/>
    <w:qFormat/>
    <w:uiPriority w:val="99"/>
  </w:style>
  <w:style w:type="character" w:styleId="57">
    <w:name w:val="Hyperlink"/>
    <w:qFormat/>
    <w:uiPriority w:val="99"/>
    <w:rPr>
      <w:color w:val="0000FF"/>
      <w:u w:val="single"/>
    </w:rPr>
  </w:style>
  <w:style w:type="character" w:styleId="58">
    <w:name w:val="HTML Code"/>
    <w:basedOn w:val="49"/>
    <w:semiHidden/>
    <w:unhideWhenUsed/>
    <w:qFormat/>
    <w:uiPriority w:val="99"/>
    <w:rPr>
      <w:rFonts w:hint="default" w:ascii="monospace" w:hAnsi="monospace" w:eastAsia="monospace" w:cs="monospace"/>
      <w:sz w:val="20"/>
    </w:rPr>
  </w:style>
  <w:style w:type="character" w:styleId="59">
    <w:name w:val="annotation reference"/>
    <w:unhideWhenUsed/>
    <w:qFormat/>
    <w:uiPriority w:val="0"/>
    <w:rPr>
      <w:sz w:val="21"/>
      <w:szCs w:val="21"/>
    </w:rPr>
  </w:style>
  <w:style w:type="character" w:styleId="60">
    <w:name w:val="HTML Cite"/>
    <w:basedOn w:val="49"/>
    <w:semiHidden/>
    <w:unhideWhenUsed/>
    <w:qFormat/>
    <w:uiPriority w:val="99"/>
  </w:style>
  <w:style w:type="character" w:styleId="61">
    <w:name w:val="footnote reference"/>
    <w:unhideWhenUsed/>
    <w:qFormat/>
    <w:uiPriority w:val="99"/>
    <w:rPr>
      <w:vertAlign w:val="superscript"/>
    </w:rPr>
  </w:style>
  <w:style w:type="character" w:styleId="62">
    <w:name w:val="HTML Keyboard"/>
    <w:basedOn w:val="49"/>
    <w:semiHidden/>
    <w:unhideWhenUsed/>
    <w:qFormat/>
    <w:uiPriority w:val="99"/>
    <w:rPr>
      <w:rFonts w:hint="default" w:ascii="monospace" w:hAnsi="monospace" w:eastAsia="monospace" w:cs="monospace"/>
      <w:sz w:val="20"/>
    </w:rPr>
  </w:style>
  <w:style w:type="character" w:styleId="63">
    <w:name w:val="HTML Sample"/>
    <w:basedOn w:val="49"/>
    <w:unhideWhenUsed/>
    <w:qFormat/>
    <w:uiPriority w:val="99"/>
    <w:rPr>
      <w:rFonts w:hint="default" w:ascii="monospace" w:hAnsi="monospace" w:eastAsia="monospace" w:cs="monospace"/>
    </w:rPr>
  </w:style>
  <w:style w:type="character" w:customStyle="1" w:styleId="64">
    <w:name w:val="标题 1 Char1"/>
    <w:link w:val="3"/>
    <w:qFormat/>
    <w:uiPriority w:val="0"/>
    <w:rPr>
      <w:rFonts w:ascii="Times New Roman" w:hAnsi="Times New Roman" w:eastAsia="宋体" w:cs="Times New Roman"/>
      <w:b/>
      <w:bCs/>
      <w:kern w:val="44"/>
      <w:sz w:val="44"/>
      <w:szCs w:val="44"/>
    </w:rPr>
  </w:style>
  <w:style w:type="character" w:customStyle="1" w:styleId="65">
    <w:name w:val="标题 2 Char1"/>
    <w:link w:val="4"/>
    <w:qFormat/>
    <w:uiPriority w:val="0"/>
    <w:rPr>
      <w:rFonts w:ascii="Arial" w:hAnsi="Arial" w:eastAsia="黑体" w:cs="Times New Roman"/>
      <w:b/>
      <w:bCs/>
      <w:sz w:val="32"/>
      <w:szCs w:val="32"/>
    </w:rPr>
  </w:style>
  <w:style w:type="character" w:customStyle="1" w:styleId="66">
    <w:name w:val="标题 3 Char1"/>
    <w:link w:val="5"/>
    <w:qFormat/>
    <w:uiPriority w:val="0"/>
    <w:rPr>
      <w:rFonts w:ascii="Times New Roman" w:hAnsi="Times New Roman" w:eastAsia="宋体" w:cs="Times New Roman"/>
      <w:b/>
      <w:bCs/>
      <w:sz w:val="32"/>
      <w:szCs w:val="32"/>
    </w:rPr>
  </w:style>
  <w:style w:type="character" w:customStyle="1" w:styleId="67">
    <w:name w:val="标题 5 Char2"/>
    <w:link w:val="7"/>
    <w:qFormat/>
    <w:uiPriority w:val="0"/>
    <w:rPr>
      <w:b/>
      <w:kern w:val="2"/>
      <w:sz w:val="28"/>
      <w:szCs w:val="24"/>
    </w:rPr>
  </w:style>
  <w:style w:type="character" w:customStyle="1" w:styleId="68">
    <w:name w:val="标题 6 Char1"/>
    <w:link w:val="9"/>
    <w:qFormat/>
    <w:uiPriority w:val="0"/>
    <w:rPr>
      <w:rFonts w:ascii="Arial" w:hAnsi="Arial" w:eastAsia="黑体"/>
      <w:b/>
      <w:kern w:val="2"/>
      <w:sz w:val="24"/>
      <w:szCs w:val="24"/>
    </w:rPr>
  </w:style>
  <w:style w:type="character" w:customStyle="1" w:styleId="69">
    <w:name w:val="标题 7 Char1"/>
    <w:link w:val="10"/>
    <w:qFormat/>
    <w:uiPriority w:val="0"/>
    <w:rPr>
      <w:rFonts w:ascii="Times New Roman" w:hAnsi="Times New Roman"/>
      <w:b/>
      <w:kern w:val="2"/>
      <w:sz w:val="24"/>
      <w:szCs w:val="24"/>
    </w:rPr>
  </w:style>
  <w:style w:type="character" w:customStyle="1" w:styleId="70">
    <w:name w:val="标题 8 Char1"/>
    <w:link w:val="11"/>
    <w:qFormat/>
    <w:uiPriority w:val="0"/>
    <w:rPr>
      <w:rFonts w:ascii="Arial" w:hAnsi="Arial" w:eastAsia="黑体"/>
      <w:kern w:val="2"/>
      <w:sz w:val="24"/>
      <w:szCs w:val="24"/>
    </w:rPr>
  </w:style>
  <w:style w:type="character" w:customStyle="1" w:styleId="71">
    <w:name w:val="标题 9 Char1"/>
    <w:link w:val="12"/>
    <w:qFormat/>
    <w:uiPriority w:val="0"/>
    <w:rPr>
      <w:rFonts w:ascii="Arial" w:hAnsi="Arial" w:eastAsia="黑体"/>
      <w:kern w:val="2"/>
      <w:sz w:val="21"/>
      <w:szCs w:val="24"/>
    </w:rPr>
  </w:style>
  <w:style w:type="character" w:customStyle="1" w:styleId="72">
    <w:name w:val="文档结构图 Char"/>
    <w:link w:val="16"/>
    <w:semiHidden/>
    <w:qFormat/>
    <w:uiPriority w:val="99"/>
    <w:rPr>
      <w:rFonts w:ascii="宋体"/>
      <w:kern w:val="2"/>
      <w:sz w:val="18"/>
      <w:szCs w:val="18"/>
    </w:rPr>
  </w:style>
  <w:style w:type="character" w:customStyle="1" w:styleId="73">
    <w:name w:val="批注文字 Char3"/>
    <w:link w:val="17"/>
    <w:qFormat/>
    <w:uiPriority w:val="0"/>
    <w:rPr>
      <w:rFonts w:ascii="Times New Roman" w:hAnsi="Times New Roman"/>
      <w:kern w:val="2"/>
      <w:sz w:val="21"/>
      <w:szCs w:val="24"/>
    </w:rPr>
  </w:style>
  <w:style w:type="character" w:customStyle="1" w:styleId="74">
    <w:name w:val="正文文本 3 Char1"/>
    <w:link w:val="18"/>
    <w:qFormat/>
    <w:uiPriority w:val="0"/>
    <w:rPr>
      <w:rFonts w:ascii="Times New Roman" w:hAnsi="Times New Roman" w:eastAsia="宋体" w:cs="Times New Roman"/>
      <w:b/>
      <w:bCs/>
      <w:sz w:val="24"/>
      <w:szCs w:val="24"/>
    </w:rPr>
  </w:style>
  <w:style w:type="character" w:customStyle="1" w:styleId="75">
    <w:name w:val="正文文本 Char1"/>
    <w:link w:val="2"/>
    <w:qFormat/>
    <w:uiPriority w:val="99"/>
    <w:rPr>
      <w:rFonts w:ascii="Times New Roman" w:hAnsi="Times New Roman" w:eastAsia="宋体" w:cs="Times New Roman"/>
      <w:sz w:val="24"/>
      <w:szCs w:val="24"/>
    </w:rPr>
  </w:style>
  <w:style w:type="character" w:customStyle="1" w:styleId="76">
    <w:name w:val="正文文本缩进 Char1"/>
    <w:link w:val="19"/>
    <w:qFormat/>
    <w:uiPriority w:val="0"/>
    <w:rPr>
      <w:rFonts w:ascii="仿宋_GB2312" w:hAnsi="Times New Roman" w:eastAsia="仿宋_GB2312" w:cs="Times New Roman"/>
      <w:sz w:val="32"/>
      <w:szCs w:val="20"/>
    </w:rPr>
  </w:style>
  <w:style w:type="character" w:customStyle="1" w:styleId="77">
    <w:name w:val="纯文本 Char3"/>
    <w:link w:val="24"/>
    <w:qFormat/>
    <w:uiPriority w:val="0"/>
    <w:rPr>
      <w:rFonts w:ascii="宋体" w:hAnsi="Courier New" w:eastAsia="宋体" w:cs="Courier New"/>
      <w:szCs w:val="21"/>
    </w:rPr>
  </w:style>
  <w:style w:type="character" w:customStyle="1" w:styleId="78">
    <w:name w:val="日期 Char1"/>
    <w:link w:val="26"/>
    <w:qFormat/>
    <w:uiPriority w:val="0"/>
    <w:rPr>
      <w:rFonts w:ascii="宋体" w:hAnsi="Courier New" w:eastAsia="宋体" w:cs="Courier New"/>
      <w:szCs w:val="21"/>
    </w:rPr>
  </w:style>
  <w:style w:type="character" w:customStyle="1" w:styleId="79">
    <w:name w:val="正文文本缩进 2 Char1"/>
    <w:link w:val="27"/>
    <w:qFormat/>
    <w:uiPriority w:val="0"/>
    <w:rPr>
      <w:rFonts w:ascii="Times New Roman" w:hAnsi="Times New Roman" w:eastAsia="宋体" w:cs="Times New Roman"/>
      <w:sz w:val="32"/>
      <w:szCs w:val="20"/>
    </w:rPr>
  </w:style>
  <w:style w:type="character" w:customStyle="1" w:styleId="80">
    <w:name w:val="尾注文本 Char1"/>
    <w:link w:val="28"/>
    <w:qFormat/>
    <w:uiPriority w:val="99"/>
    <w:rPr>
      <w:rFonts w:ascii="Times New Roman" w:hAnsi="Times New Roman"/>
      <w:kern w:val="2"/>
      <w:sz w:val="21"/>
      <w:szCs w:val="24"/>
    </w:rPr>
  </w:style>
  <w:style w:type="character" w:customStyle="1" w:styleId="81">
    <w:name w:val="批注框文本 Char1"/>
    <w:link w:val="29"/>
    <w:semiHidden/>
    <w:qFormat/>
    <w:uiPriority w:val="0"/>
    <w:rPr>
      <w:rFonts w:ascii="Times New Roman" w:hAnsi="Times New Roman" w:eastAsia="宋体" w:cs="Times New Roman"/>
      <w:sz w:val="18"/>
      <w:szCs w:val="18"/>
    </w:rPr>
  </w:style>
  <w:style w:type="character" w:customStyle="1" w:styleId="82">
    <w:name w:val="页脚 Char1"/>
    <w:link w:val="30"/>
    <w:qFormat/>
    <w:uiPriority w:val="99"/>
    <w:rPr>
      <w:sz w:val="18"/>
      <w:szCs w:val="18"/>
    </w:rPr>
  </w:style>
  <w:style w:type="character" w:customStyle="1" w:styleId="83">
    <w:name w:val="页眉 Char1"/>
    <w:link w:val="31"/>
    <w:qFormat/>
    <w:uiPriority w:val="99"/>
    <w:rPr>
      <w:rFonts w:ascii="Times New Roman" w:hAnsi="Times New Roman"/>
      <w:kern w:val="2"/>
      <w:sz w:val="18"/>
      <w:szCs w:val="18"/>
    </w:rPr>
  </w:style>
  <w:style w:type="character" w:customStyle="1" w:styleId="84">
    <w:name w:val="脚注文本 Char1"/>
    <w:link w:val="35"/>
    <w:qFormat/>
    <w:uiPriority w:val="99"/>
    <w:rPr>
      <w:rFonts w:ascii="Times New Roman" w:hAnsi="Times New Roman"/>
      <w:kern w:val="2"/>
      <w:sz w:val="18"/>
      <w:szCs w:val="18"/>
    </w:rPr>
  </w:style>
  <w:style w:type="character" w:customStyle="1" w:styleId="85">
    <w:name w:val="正文文本缩进 3 Char1"/>
    <w:link w:val="37"/>
    <w:qFormat/>
    <w:uiPriority w:val="0"/>
    <w:rPr>
      <w:rFonts w:ascii="Times New Roman" w:hAnsi="Times New Roman" w:eastAsia="宋体" w:cs="Times New Roman"/>
      <w:sz w:val="16"/>
      <w:szCs w:val="16"/>
    </w:rPr>
  </w:style>
  <w:style w:type="character" w:customStyle="1" w:styleId="86">
    <w:name w:val="正文文本 2 Char1"/>
    <w:link w:val="40"/>
    <w:qFormat/>
    <w:uiPriority w:val="0"/>
    <w:rPr>
      <w:rFonts w:ascii="Times New Roman" w:hAnsi="Times New Roman" w:eastAsia="宋体" w:cs="Times New Roman"/>
      <w:szCs w:val="24"/>
    </w:rPr>
  </w:style>
  <w:style w:type="character" w:customStyle="1" w:styleId="87">
    <w:name w:val="标题 Char1"/>
    <w:link w:val="44"/>
    <w:qFormat/>
    <w:uiPriority w:val="10"/>
    <w:rPr>
      <w:rFonts w:ascii="Cambria" w:hAnsi="Cambria" w:cs="Times New Roman"/>
      <w:b/>
      <w:bCs/>
      <w:kern w:val="2"/>
      <w:sz w:val="32"/>
      <w:szCs w:val="32"/>
    </w:rPr>
  </w:style>
  <w:style w:type="character" w:customStyle="1" w:styleId="88">
    <w:name w:val="批注主题 Char1"/>
    <w:link w:val="45"/>
    <w:qFormat/>
    <w:uiPriority w:val="99"/>
    <w:rPr>
      <w:rFonts w:ascii="Times New Roman" w:hAnsi="Times New Roman"/>
      <w:b/>
      <w:bCs/>
      <w:kern w:val="2"/>
      <w:sz w:val="21"/>
      <w:szCs w:val="24"/>
    </w:rPr>
  </w:style>
  <w:style w:type="paragraph" w:customStyle="1" w:styleId="89">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0">
    <w:name w:val="TOC 标题2"/>
    <w:next w:val="1"/>
    <w:qFormat/>
    <w:uiPriority w:val="99"/>
    <w:pPr>
      <w:wordWrap w:val="0"/>
    </w:pPr>
    <w:rPr>
      <w:rFonts w:ascii="Calibri" w:hAnsi="Calibri" w:eastAsia="宋体" w:cs="Times New Roman"/>
      <w:sz w:val="32"/>
      <w:lang w:val="en-US" w:eastAsia="zh-CN" w:bidi="ar-SA"/>
    </w:rPr>
  </w:style>
  <w:style w:type="character" w:customStyle="1" w:styleId="91">
    <w:name w:val="纯文本 字符1"/>
    <w:qFormat/>
    <w:uiPriority w:val="0"/>
    <w:rPr>
      <w:rFonts w:ascii="宋体" w:hAnsi="Courier New"/>
    </w:rPr>
  </w:style>
  <w:style w:type="character" w:customStyle="1" w:styleId="92">
    <w:name w:val="批注文字 Char1"/>
    <w:semiHidden/>
    <w:qFormat/>
    <w:locked/>
    <w:uiPriority w:val="0"/>
    <w:rPr>
      <w:rFonts w:ascii="Times New Roman" w:hAnsi="Times New Roman"/>
      <w:kern w:val="2"/>
      <w:sz w:val="21"/>
      <w:szCs w:val="24"/>
    </w:rPr>
  </w:style>
  <w:style w:type="character" w:customStyle="1" w:styleId="93">
    <w:name w:val="headline-content4"/>
    <w:qFormat/>
    <w:uiPriority w:val="0"/>
  </w:style>
  <w:style w:type="character" w:customStyle="1" w:styleId="94">
    <w:name w:val="批注文字 字符"/>
    <w:qFormat/>
    <w:uiPriority w:val="0"/>
    <w:rPr>
      <w:rFonts w:ascii="Times New Roman" w:hAnsi="Times New Roman"/>
      <w:kern w:val="2"/>
      <w:sz w:val="21"/>
      <w:szCs w:val="24"/>
    </w:rPr>
  </w:style>
  <w:style w:type="character" w:customStyle="1" w:styleId="95">
    <w:name w:val="标题 5 Char"/>
    <w:qFormat/>
    <w:uiPriority w:val="0"/>
    <w:rPr>
      <w:b/>
      <w:kern w:val="2"/>
      <w:sz w:val="28"/>
      <w:szCs w:val="24"/>
    </w:rPr>
  </w:style>
  <w:style w:type="character" w:customStyle="1" w:styleId="9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7">
    <w:name w:val="批注文字 Char"/>
    <w:qFormat/>
    <w:uiPriority w:val="0"/>
    <w:rPr>
      <w:rFonts w:ascii="Times New Roman" w:hAnsi="Times New Roman"/>
      <w:kern w:val="2"/>
      <w:sz w:val="21"/>
      <w:szCs w:val="24"/>
    </w:rPr>
  </w:style>
  <w:style w:type="character" w:customStyle="1" w:styleId="98">
    <w:name w:val="标题 1 字符"/>
    <w:qFormat/>
    <w:uiPriority w:val="9"/>
    <w:rPr>
      <w:rFonts w:ascii="Times New Roman" w:hAnsi="Times New Roman" w:eastAsia="宋体" w:cs="Times New Roman"/>
      <w:b/>
      <w:bCs/>
      <w:kern w:val="44"/>
      <w:sz w:val="44"/>
      <w:szCs w:val="44"/>
    </w:rPr>
  </w:style>
  <w:style w:type="character" w:customStyle="1" w:styleId="99">
    <w:name w:val="apple-style-span"/>
    <w:qFormat/>
    <w:uiPriority w:val="0"/>
  </w:style>
  <w:style w:type="character" w:customStyle="1" w:styleId="100">
    <w:name w:val="正文文本缩进 字符"/>
    <w:qFormat/>
    <w:uiPriority w:val="0"/>
    <w:rPr>
      <w:rFonts w:ascii="仿宋_GB2312" w:hAnsi="Times New Roman" w:eastAsia="仿宋_GB2312" w:cs="Times New Roman"/>
      <w:sz w:val="32"/>
      <w:szCs w:val="20"/>
    </w:rPr>
  </w:style>
  <w:style w:type="character" w:customStyle="1" w:styleId="101">
    <w:name w:val="case31"/>
    <w:qFormat/>
    <w:uiPriority w:val="0"/>
    <w:rPr>
      <w:rFonts w:hint="default" w:ascii="_x000B__x000C_" w:hAnsi="_x000B__x000C_"/>
      <w:sz w:val="21"/>
      <w:szCs w:val="21"/>
    </w:rPr>
  </w:style>
  <w:style w:type="character" w:customStyle="1" w:styleId="102">
    <w:name w:val="纯文本 字符"/>
    <w:qFormat/>
    <w:uiPriority w:val="0"/>
    <w:rPr>
      <w:rFonts w:ascii="宋体" w:hAnsi="Courier New" w:eastAsia="宋体" w:cs="Courier New"/>
      <w:szCs w:val="21"/>
    </w:rPr>
  </w:style>
  <w:style w:type="character" w:customStyle="1" w:styleId="103">
    <w:name w:val="textcontents"/>
    <w:qFormat/>
    <w:uiPriority w:val="0"/>
  </w:style>
  <w:style w:type="character" w:customStyle="1" w:styleId="104">
    <w:name w:val="普通文字 Char Char2"/>
    <w:qFormat/>
    <w:uiPriority w:val="0"/>
    <w:rPr>
      <w:rFonts w:ascii="宋体" w:hAnsi="Courier New" w:eastAsia="宋体"/>
      <w:kern w:val="2"/>
      <w:sz w:val="21"/>
      <w:lang w:val="en-US" w:eastAsia="zh-CN" w:bidi="ar-SA"/>
    </w:rPr>
  </w:style>
  <w:style w:type="paragraph" w:customStyle="1" w:styleId="105">
    <w:name w:val="正文段"/>
    <w:basedOn w:val="1"/>
    <w:qFormat/>
    <w:uiPriority w:val="0"/>
    <w:pPr>
      <w:widowControl/>
      <w:snapToGrid w:val="0"/>
      <w:spacing w:after="50" w:afterLines="50"/>
      <w:ind w:firstLine="200" w:firstLineChars="200"/>
    </w:pPr>
    <w:rPr>
      <w:kern w:val="0"/>
      <w:sz w:val="24"/>
      <w:szCs w:val="20"/>
    </w:rPr>
  </w:style>
  <w:style w:type="paragraph" w:customStyle="1" w:styleId="10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7">
    <w:name w:val="默认段落字体 Para Char Char Char Char Char Char Char Char Char1 Char Char Char Char"/>
    <w:basedOn w:val="1"/>
    <w:qFormat/>
    <w:uiPriority w:val="0"/>
    <w:rPr>
      <w:rFonts w:ascii="Tahoma" w:hAnsi="Tahoma"/>
      <w:sz w:val="24"/>
      <w:szCs w:val="20"/>
    </w:rPr>
  </w:style>
  <w:style w:type="paragraph" w:customStyle="1" w:styleId="10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9">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1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1">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12">
    <w:name w:val="Char1"/>
    <w:basedOn w:val="1"/>
    <w:qFormat/>
    <w:uiPriority w:val="0"/>
    <w:rPr>
      <w:szCs w:val="21"/>
    </w:rPr>
  </w:style>
  <w:style w:type="paragraph" w:customStyle="1" w:styleId="113">
    <w:name w:val="正文首行缩进两字符"/>
    <w:basedOn w:val="1"/>
    <w:qFormat/>
    <w:uiPriority w:val="0"/>
    <w:pPr>
      <w:spacing w:line="360" w:lineRule="auto"/>
      <w:ind w:firstLine="200" w:firstLineChars="200"/>
    </w:pPr>
  </w:style>
  <w:style w:type="paragraph" w:customStyle="1" w:styleId="114">
    <w:name w:val="表格"/>
    <w:basedOn w:val="1"/>
    <w:qFormat/>
    <w:uiPriority w:val="0"/>
    <w:pPr>
      <w:spacing w:line="400" w:lineRule="exact"/>
    </w:pPr>
    <w:rPr>
      <w:sz w:val="24"/>
    </w:rPr>
  </w:style>
  <w:style w:type="paragraph" w:customStyle="1" w:styleId="115">
    <w:name w:val="样式 首行缩进:  2 字符"/>
    <w:basedOn w:val="1"/>
    <w:qFormat/>
    <w:uiPriority w:val="0"/>
    <w:pPr>
      <w:spacing w:line="400" w:lineRule="exact"/>
      <w:ind w:firstLine="200" w:firstLineChars="200"/>
    </w:pPr>
    <w:rPr>
      <w:rFonts w:cs="宋体"/>
      <w:sz w:val="24"/>
    </w:rPr>
  </w:style>
  <w:style w:type="paragraph" w:customStyle="1" w:styleId="116">
    <w:name w:val="Plain Text"/>
    <w:basedOn w:val="1"/>
    <w:qFormat/>
    <w:uiPriority w:val="0"/>
    <w:rPr>
      <w:rFonts w:ascii="宋体" w:hAnsi="Courier New" w:cs="Century"/>
      <w:szCs w:val="21"/>
    </w:rPr>
  </w:style>
  <w:style w:type="paragraph" w:customStyle="1" w:styleId="117">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styleId="118">
    <w:name w:val="List Paragraph"/>
    <w:basedOn w:val="1"/>
    <w:qFormat/>
    <w:uiPriority w:val="34"/>
    <w:pPr>
      <w:ind w:firstLine="420" w:firstLineChars="200"/>
    </w:pPr>
  </w:style>
  <w:style w:type="table" w:customStyle="1" w:styleId="119">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20">
    <w:name w:val="纯文本 Char1"/>
    <w:qFormat/>
    <w:uiPriority w:val="0"/>
    <w:rPr>
      <w:rFonts w:ascii="宋体" w:hAnsi="Courier New" w:eastAsia="宋体" w:cs="Courier New"/>
      <w:szCs w:val="21"/>
    </w:rPr>
  </w:style>
  <w:style w:type="character" w:customStyle="1" w:styleId="121">
    <w:name w:val="标题 5 Char1"/>
    <w:qFormat/>
    <w:uiPriority w:val="0"/>
    <w:rPr>
      <w:b/>
      <w:kern w:val="2"/>
      <w:sz w:val="28"/>
      <w:szCs w:val="24"/>
    </w:rPr>
  </w:style>
  <w:style w:type="character" w:customStyle="1" w:styleId="122">
    <w:name w:val="批注文字 字符2"/>
    <w:qFormat/>
    <w:uiPriority w:val="0"/>
    <w:rPr>
      <w:rFonts w:ascii="Times New Roman" w:hAnsi="Times New Roman"/>
      <w:kern w:val="2"/>
      <w:sz w:val="21"/>
      <w:szCs w:val="24"/>
    </w:rPr>
  </w:style>
  <w:style w:type="character" w:customStyle="1" w:styleId="123">
    <w:name w:val="纯文本 Char"/>
    <w:qFormat/>
    <w:uiPriority w:val="0"/>
    <w:rPr>
      <w:rFonts w:ascii="宋体" w:hAnsi="Courier New" w:eastAsia="宋体" w:cs="Courier New"/>
      <w:szCs w:val="21"/>
    </w:rPr>
  </w:style>
  <w:style w:type="paragraph" w:customStyle="1" w:styleId="124">
    <w:name w:val="正文2"/>
    <w:basedOn w:val="1"/>
    <w:qFormat/>
    <w:uiPriority w:val="0"/>
    <w:pPr>
      <w:adjustRightInd w:val="0"/>
      <w:spacing w:before="156" w:line="360" w:lineRule="auto"/>
      <w:ind w:firstLine="510" w:firstLineChars="200"/>
    </w:pPr>
    <w:rPr>
      <w:sz w:val="24"/>
      <w:szCs w:val="20"/>
    </w:rPr>
  </w:style>
  <w:style w:type="character" w:customStyle="1" w:styleId="125">
    <w:name w:val="纯文本 字符2"/>
    <w:qFormat/>
    <w:uiPriority w:val="0"/>
    <w:rPr>
      <w:rFonts w:ascii="宋体" w:hAnsi="Courier New"/>
      <w:szCs w:val="21"/>
    </w:rPr>
  </w:style>
  <w:style w:type="character" w:customStyle="1" w:styleId="126">
    <w:name w:val="页眉 Char"/>
    <w:qFormat/>
    <w:uiPriority w:val="99"/>
    <w:rPr>
      <w:sz w:val="18"/>
      <w:szCs w:val="18"/>
    </w:rPr>
  </w:style>
  <w:style w:type="character" w:customStyle="1" w:styleId="127">
    <w:name w:val="页脚 Char"/>
    <w:qFormat/>
    <w:uiPriority w:val="99"/>
    <w:rPr>
      <w:sz w:val="18"/>
      <w:szCs w:val="18"/>
    </w:rPr>
  </w:style>
  <w:style w:type="table" w:customStyle="1" w:styleId="128">
    <w:name w:val="网格型1"/>
    <w:basedOn w:val="4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0">
    <w:name w:val="font6"/>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131">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132">
    <w:name w:val="xl65"/>
    <w:basedOn w:val="1"/>
    <w:qFormat/>
    <w:uiPriority w:val="0"/>
    <w:pPr>
      <w:widowControl/>
      <w:spacing w:before="100" w:beforeAutospacing="1" w:after="100" w:afterAutospacing="1"/>
      <w:jc w:val="center"/>
    </w:pPr>
    <w:rPr>
      <w:rFonts w:ascii="宋体" w:hAnsi="宋体" w:cs="宋体"/>
      <w:b/>
      <w:bCs/>
      <w:kern w:val="0"/>
      <w:sz w:val="24"/>
    </w:rPr>
  </w:style>
  <w:style w:type="paragraph" w:customStyle="1" w:styleId="133">
    <w:name w:val="xl66"/>
    <w:basedOn w:val="1"/>
    <w:qFormat/>
    <w:uiPriority w:val="0"/>
    <w:pPr>
      <w:widowControl/>
      <w:spacing w:before="100" w:beforeAutospacing="1" w:after="100" w:afterAutospacing="1"/>
      <w:jc w:val="left"/>
    </w:pPr>
    <w:rPr>
      <w:rFonts w:ascii="宋体" w:hAnsi="宋体" w:cs="宋体"/>
      <w:kern w:val="0"/>
      <w:sz w:val="24"/>
    </w:rPr>
  </w:style>
  <w:style w:type="paragraph" w:customStyle="1" w:styleId="13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kern w:val="0"/>
      <w:sz w:val="24"/>
    </w:rPr>
  </w:style>
  <w:style w:type="paragraph" w:customStyle="1" w:styleId="135">
    <w:name w:val="xl6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b/>
      <w:bCs/>
      <w:kern w:val="0"/>
      <w:sz w:val="24"/>
    </w:rPr>
  </w:style>
  <w:style w:type="paragraph" w:customStyle="1" w:styleId="136">
    <w:name w:val="xl69"/>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39">
    <w:name w:val="xl7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41">
    <w:name w:val="xl74"/>
    <w:basedOn w:val="1"/>
    <w:qFormat/>
    <w:uiPriority w:val="0"/>
    <w:pPr>
      <w:widowControl/>
      <w:spacing w:before="100" w:beforeAutospacing="1" w:after="100" w:afterAutospacing="1"/>
      <w:jc w:val="left"/>
    </w:pPr>
    <w:rPr>
      <w:rFonts w:ascii="宋体" w:hAnsi="宋体" w:cs="宋体"/>
      <w:kern w:val="0"/>
      <w:sz w:val="24"/>
    </w:rPr>
  </w:style>
  <w:style w:type="paragraph" w:customStyle="1" w:styleId="1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44">
    <w:name w:val="xl77"/>
    <w:basedOn w:val="1"/>
    <w:qFormat/>
    <w:uiPriority w:val="0"/>
    <w:pPr>
      <w:widowControl/>
      <w:spacing w:before="100" w:beforeAutospacing="1" w:after="100" w:afterAutospacing="1"/>
      <w:jc w:val="left"/>
    </w:pPr>
    <w:rPr>
      <w:rFonts w:ascii="宋体" w:hAnsi="宋体" w:cs="宋体"/>
      <w:kern w:val="0"/>
      <w:sz w:val="24"/>
    </w:rPr>
  </w:style>
  <w:style w:type="paragraph" w:customStyle="1" w:styleId="145">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kern w:val="0"/>
      <w:sz w:val="24"/>
    </w:rPr>
  </w:style>
  <w:style w:type="paragraph" w:customStyle="1" w:styleId="146">
    <w:name w:val="_Style 137"/>
    <w:unhideWhenUsed/>
    <w:qFormat/>
    <w:uiPriority w:val="99"/>
    <w:rPr>
      <w:rFonts w:ascii="Times New Roman" w:hAnsi="Times New Roman" w:eastAsia="宋体" w:cs="Times New Roman"/>
      <w:kern w:val="2"/>
      <w:sz w:val="21"/>
      <w:szCs w:val="24"/>
      <w:lang w:val="en-US" w:eastAsia="zh-CN" w:bidi="ar-SA"/>
    </w:rPr>
  </w:style>
  <w:style w:type="character" w:customStyle="1" w:styleId="147">
    <w:name w:val="标题 1 Char"/>
    <w:qFormat/>
    <w:uiPriority w:val="0"/>
    <w:rPr>
      <w:b/>
      <w:bCs/>
      <w:kern w:val="44"/>
      <w:sz w:val="44"/>
      <w:szCs w:val="44"/>
    </w:rPr>
  </w:style>
  <w:style w:type="character" w:customStyle="1" w:styleId="148">
    <w:name w:val="标题 2 Char"/>
    <w:semiHidden/>
    <w:qFormat/>
    <w:uiPriority w:val="9"/>
    <w:rPr>
      <w:rFonts w:ascii="Calibri Light" w:hAnsi="Calibri Light" w:eastAsia="宋体" w:cs="Times New Roman"/>
      <w:b/>
      <w:bCs/>
      <w:kern w:val="2"/>
      <w:sz w:val="32"/>
      <w:szCs w:val="32"/>
    </w:rPr>
  </w:style>
  <w:style w:type="character" w:customStyle="1" w:styleId="149">
    <w:name w:val="标题 3 Char"/>
    <w:semiHidden/>
    <w:qFormat/>
    <w:uiPriority w:val="9"/>
    <w:rPr>
      <w:b/>
      <w:bCs/>
      <w:kern w:val="2"/>
      <w:sz w:val="32"/>
      <w:szCs w:val="32"/>
    </w:rPr>
  </w:style>
  <w:style w:type="character" w:customStyle="1" w:styleId="150">
    <w:name w:val="标题 6 Char"/>
    <w:semiHidden/>
    <w:qFormat/>
    <w:uiPriority w:val="9"/>
    <w:rPr>
      <w:rFonts w:ascii="Calibri Light" w:hAnsi="Calibri Light" w:eastAsia="宋体" w:cs="Times New Roman"/>
      <w:b/>
      <w:bCs/>
      <w:kern w:val="2"/>
      <w:sz w:val="24"/>
      <w:szCs w:val="24"/>
    </w:rPr>
  </w:style>
  <w:style w:type="character" w:customStyle="1" w:styleId="151">
    <w:name w:val="标题 7 Char"/>
    <w:semiHidden/>
    <w:qFormat/>
    <w:uiPriority w:val="9"/>
    <w:rPr>
      <w:b/>
      <w:bCs/>
      <w:kern w:val="2"/>
      <w:sz w:val="24"/>
      <w:szCs w:val="24"/>
    </w:rPr>
  </w:style>
  <w:style w:type="character" w:customStyle="1" w:styleId="152">
    <w:name w:val="标题 8 Char"/>
    <w:semiHidden/>
    <w:qFormat/>
    <w:uiPriority w:val="9"/>
    <w:rPr>
      <w:rFonts w:ascii="Calibri Light" w:hAnsi="Calibri Light" w:eastAsia="宋体" w:cs="Times New Roman"/>
      <w:kern w:val="2"/>
      <w:sz w:val="24"/>
      <w:szCs w:val="24"/>
    </w:rPr>
  </w:style>
  <w:style w:type="character" w:customStyle="1" w:styleId="153">
    <w:name w:val="标题 9 Char"/>
    <w:semiHidden/>
    <w:qFormat/>
    <w:uiPriority w:val="9"/>
    <w:rPr>
      <w:rFonts w:ascii="Calibri Light" w:hAnsi="Calibri Light" w:eastAsia="宋体" w:cs="Times New Roman"/>
      <w:kern w:val="2"/>
      <w:sz w:val="21"/>
      <w:szCs w:val="21"/>
    </w:rPr>
  </w:style>
  <w:style w:type="paragraph" w:customStyle="1" w:styleId="154">
    <w:name w:val="_Style 143"/>
    <w:basedOn w:val="1"/>
    <w:next w:val="118"/>
    <w:qFormat/>
    <w:uiPriority w:val="34"/>
    <w:pPr>
      <w:ind w:firstLine="420" w:firstLineChars="200"/>
    </w:pPr>
  </w:style>
  <w:style w:type="character" w:customStyle="1" w:styleId="155">
    <w:name w:val="正文文本 3 Char"/>
    <w:semiHidden/>
    <w:qFormat/>
    <w:uiPriority w:val="99"/>
    <w:rPr>
      <w:kern w:val="2"/>
      <w:sz w:val="16"/>
      <w:szCs w:val="16"/>
    </w:rPr>
  </w:style>
  <w:style w:type="character" w:customStyle="1" w:styleId="156">
    <w:name w:val="正文文本 Char"/>
    <w:semiHidden/>
    <w:qFormat/>
    <w:uiPriority w:val="99"/>
    <w:rPr>
      <w:kern w:val="2"/>
      <w:sz w:val="21"/>
      <w:szCs w:val="24"/>
    </w:rPr>
  </w:style>
  <w:style w:type="character" w:customStyle="1" w:styleId="157">
    <w:name w:val="正文文本缩进 Char"/>
    <w:semiHidden/>
    <w:qFormat/>
    <w:uiPriority w:val="99"/>
    <w:rPr>
      <w:kern w:val="2"/>
      <w:sz w:val="21"/>
      <w:szCs w:val="24"/>
    </w:rPr>
  </w:style>
  <w:style w:type="character" w:customStyle="1" w:styleId="158">
    <w:name w:val="日期 Char"/>
    <w:semiHidden/>
    <w:qFormat/>
    <w:uiPriority w:val="99"/>
    <w:rPr>
      <w:kern w:val="2"/>
      <w:sz w:val="21"/>
      <w:szCs w:val="24"/>
    </w:rPr>
  </w:style>
  <w:style w:type="character" w:customStyle="1" w:styleId="159">
    <w:name w:val="正文文本缩进 2 Char"/>
    <w:semiHidden/>
    <w:qFormat/>
    <w:uiPriority w:val="99"/>
    <w:rPr>
      <w:kern w:val="2"/>
      <w:sz w:val="21"/>
      <w:szCs w:val="24"/>
    </w:rPr>
  </w:style>
  <w:style w:type="character" w:customStyle="1" w:styleId="160">
    <w:name w:val="尾注文本 Char"/>
    <w:semiHidden/>
    <w:qFormat/>
    <w:uiPriority w:val="99"/>
    <w:rPr>
      <w:kern w:val="2"/>
      <w:sz w:val="21"/>
      <w:szCs w:val="24"/>
    </w:rPr>
  </w:style>
  <w:style w:type="character" w:customStyle="1" w:styleId="161">
    <w:name w:val="批注框文本 Char"/>
    <w:semiHidden/>
    <w:qFormat/>
    <w:uiPriority w:val="99"/>
    <w:rPr>
      <w:kern w:val="2"/>
      <w:sz w:val="18"/>
      <w:szCs w:val="18"/>
    </w:rPr>
  </w:style>
  <w:style w:type="character" w:customStyle="1" w:styleId="162">
    <w:name w:val="脚注文本 Char"/>
    <w:semiHidden/>
    <w:qFormat/>
    <w:uiPriority w:val="99"/>
    <w:rPr>
      <w:kern w:val="2"/>
      <w:sz w:val="18"/>
      <w:szCs w:val="18"/>
    </w:rPr>
  </w:style>
  <w:style w:type="character" w:customStyle="1" w:styleId="163">
    <w:name w:val="正文文本缩进 3 Char"/>
    <w:semiHidden/>
    <w:qFormat/>
    <w:uiPriority w:val="99"/>
    <w:rPr>
      <w:kern w:val="2"/>
      <w:sz w:val="16"/>
      <w:szCs w:val="16"/>
    </w:rPr>
  </w:style>
  <w:style w:type="character" w:customStyle="1" w:styleId="164">
    <w:name w:val="正文文本 2 Char"/>
    <w:semiHidden/>
    <w:qFormat/>
    <w:uiPriority w:val="99"/>
    <w:rPr>
      <w:kern w:val="2"/>
      <w:sz w:val="21"/>
      <w:szCs w:val="24"/>
    </w:rPr>
  </w:style>
  <w:style w:type="character" w:customStyle="1" w:styleId="165">
    <w:name w:val="标题 Char"/>
    <w:qFormat/>
    <w:uiPriority w:val="10"/>
    <w:rPr>
      <w:rFonts w:ascii="Calibri Light" w:hAnsi="Calibri Light" w:cs="Times New Roman"/>
      <w:b/>
      <w:bCs/>
      <w:kern w:val="2"/>
      <w:sz w:val="32"/>
      <w:szCs w:val="32"/>
    </w:rPr>
  </w:style>
  <w:style w:type="character" w:customStyle="1" w:styleId="166">
    <w:name w:val="批注主题 Char"/>
    <w:semiHidden/>
    <w:qFormat/>
    <w:uiPriority w:val="99"/>
    <w:rPr>
      <w:rFonts w:ascii="Times New Roman" w:hAnsi="Times New Roman"/>
      <w:b/>
      <w:bCs/>
      <w:kern w:val="2"/>
      <w:sz w:val="21"/>
      <w:szCs w:val="24"/>
    </w:rPr>
  </w:style>
  <w:style w:type="paragraph" w:customStyle="1" w:styleId="167">
    <w:name w:val="xl79"/>
    <w:basedOn w:val="1"/>
    <w:qFormat/>
    <w:uiPriority w:val="0"/>
    <w:pPr>
      <w:widowControl/>
      <w:spacing w:before="100" w:beforeAutospacing="1" w:after="100" w:afterAutospacing="1"/>
      <w:jc w:val="center"/>
    </w:pPr>
    <w:rPr>
      <w:rFonts w:ascii="宋体" w:hAnsi="宋体" w:cs="宋体"/>
      <w:kern w:val="0"/>
      <w:sz w:val="24"/>
    </w:rPr>
  </w:style>
  <w:style w:type="table" w:customStyle="1" w:styleId="168">
    <w:name w:val="网格型2"/>
    <w:basedOn w:val="4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9">
    <w:name w:val="批注文字 Char2"/>
    <w:qFormat/>
    <w:uiPriority w:val="0"/>
    <w:rPr>
      <w:rFonts w:ascii="Times New Roman" w:hAnsi="Times New Roman"/>
      <w:kern w:val="2"/>
      <w:sz w:val="21"/>
      <w:szCs w:val="24"/>
    </w:rPr>
  </w:style>
  <w:style w:type="table" w:customStyle="1" w:styleId="170">
    <w:name w:val="Table Normal1"/>
    <w:unhideWhenUsed/>
    <w:qFormat/>
    <w:uiPriority w:val="0"/>
    <w:rPr>
      <w:rFonts w:ascii="Arial" w:hAnsi="Arial" w:cs="Arial"/>
      <w:snapToGrid w:val="0"/>
      <w:color w:val="000000"/>
      <w:sz w:val="21"/>
      <w:szCs w:val="21"/>
      <w:lang w:val="en-US" w:eastAsia="en-US" w:bidi="ar-SA"/>
    </w:rPr>
    <w:tblPr>
      <w:tblCellMar>
        <w:top w:w="0" w:type="dxa"/>
        <w:left w:w="0" w:type="dxa"/>
        <w:bottom w:w="0" w:type="dxa"/>
        <w:right w:w="0" w:type="dxa"/>
      </w:tblCellMar>
    </w:tblPr>
  </w:style>
  <w:style w:type="character" w:customStyle="1" w:styleId="171">
    <w:name w:val="纯文本 Char2"/>
    <w:qFormat/>
    <w:uiPriority w:val="0"/>
    <w:rPr>
      <w:rFonts w:ascii="宋体" w:hAnsi="Courier New" w:eastAsia="宋体" w:cs="Courier New"/>
      <w:szCs w:val="21"/>
    </w:rPr>
  </w:style>
  <w:style w:type="paragraph" w:customStyle="1" w:styleId="172">
    <w:name w:val="表格文字"/>
    <w:basedOn w:val="1"/>
    <w:next w:val="2"/>
    <w:unhideWhenUsed/>
    <w:qFormat/>
    <w:uiPriority w:val="0"/>
    <w:pPr>
      <w:spacing w:before="25" w:beforeLines="0" w:after="25" w:afterLines="0"/>
      <w:jc w:val="left"/>
    </w:pPr>
    <w:rPr>
      <w:rFonts w:hint="default"/>
      <w:spacing w:val="10"/>
      <w:kern w:val="0"/>
      <w:sz w:val="24"/>
      <w:szCs w:val="24"/>
    </w:rPr>
  </w:style>
  <w:style w:type="character" w:customStyle="1" w:styleId="173">
    <w:name w:val="font31"/>
    <w:qFormat/>
    <w:uiPriority w:val="0"/>
    <w:rPr>
      <w:rFonts w:hint="eastAsia" w:ascii="宋体" w:hAnsi="宋体" w:eastAsia="宋体" w:cs="宋体"/>
      <w:color w:val="0000FF"/>
      <w:sz w:val="21"/>
      <w:szCs w:val="21"/>
      <w:u w:val="single"/>
    </w:rPr>
  </w:style>
  <w:style w:type="paragraph" w:customStyle="1" w:styleId="174">
    <w:name w:val="p15"/>
    <w:basedOn w:val="1"/>
    <w:qFormat/>
    <w:uiPriority w:val="99"/>
    <w:pPr>
      <w:widowControl/>
    </w:pPr>
    <w:rPr>
      <w:rFonts w:ascii="宋体" w:hAnsi="宋体"/>
      <w:kern w:val="0"/>
      <w:szCs w:val="21"/>
    </w:rPr>
  </w:style>
  <w:style w:type="paragraph" w:customStyle="1" w:styleId="175">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76">
    <w:name w:val="Table Text"/>
    <w:basedOn w:val="1"/>
    <w:semiHidden/>
    <w:qFormat/>
    <w:uiPriority w:val="0"/>
    <w:rPr>
      <w:rFonts w:ascii="宋体" w:hAnsi="宋体" w:eastAsia="宋体" w:cs="宋体"/>
      <w:sz w:val="25"/>
      <w:szCs w:val="25"/>
      <w:lang w:val="en-US" w:eastAsia="en-US" w:bidi="ar-SA"/>
    </w:rPr>
  </w:style>
  <w:style w:type="paragraph" w:customStyle="1" w:styleId="177">
    <w:name w:val="PlainText"/>
    <w:basedOn w:val="1"/>
    <w:qFormat/>
    <w:uiPriority w:val="0"/>
    <w:rPr>
      <w:rFonts w:ascii="宋体" w:hAnsi="Courier New"/>
      <w:szCs w:val="21"/>
    </w:rPr>
  </w:style>
  <w:style w:type="paragraph" w:customStyle="1" w:styleId="178">
    <w:name w:val="段"/>
    <w:qFormat/>
    <w:uiPriority w:val="99"/>
    <w:pPr>
      <w:autoSpaceDE w:val="0"/>
      <w:autoSpaceDN w:val="0"/>
      <w:ind w:firstLine="200"/>
      <w:jc w:val="both"/>
    </w:pPr>
    <w:rPr>
      <w:rFonts w:ascii="宋体" w:hAnsi="宋体" w:eastAsia="宋体" w:cs="Times New Roman"/>
      <w:sz w:val="21"/>
      <w:szCs w:val="21"/>
      <w:lang w:val="en-US" w:eastAsia="zh-CN" w:bidi="ar-SA"/>
    </w:rPr>
  </w:style>
  <w:style w:type="character" w:customStyle="1" w:styleId="179">
    <w:name w:val="layui-layer-tabnow"/>
    <w:basedOn w:val="49"/>
    <w:qFormat/>
    <w:uiPriority w:val="0"/>
    <w:rPr>
      <w:bdr w:val="single" w:color="CCCCCC" w:sz="6" w:space="0"/>
      <w:shd w:val="clear" w:fill="FFFFFF"/>
    </w:rPr>
  </w:style>
  <w:style w:type="character" w:customStyle="1" w:styleId="180">
    <w:name w:val="first-child"/>
    <w:basedOn w:val="49"/>
    <w:qFormat/>
    <w:uiPriority w:val="0"/>
  </w:style>
  <w:style w:type="paragraph" w:customStyle="1" w:styleId="181">
    <w:name w:val="样式1"/>
    <w:basedOn w:val="1"/>
    <w:qFormat/>
    <w:uiPriority w:val="0"/>
    <w:pPr>
      <w:numPr>
        <w:ilvl w:val="0"/>
        <w:numId w:val="3"/>
      </w:numPr>
      <w:spacing w:line="560" w:lineRule="exact"/>
      <w:ind w:firstLine="643" w:firstLineChars="200"/>
    </w:pPr>
    <w:rPr>
      <w:rFonts w:hint="eastAsia" w:ascii="Times New Roman" w:hAnsi="Times New Roman" w:eastAsia="楷体_GB2312" w:cs="Times New Roman"/>
      <w:b/>
      <w:color w:val="auto"/>
      <w:sz w:val="32"/>
      <w:szCs w:val="32"/>
    </w:rPr>
  </w:style>
  <w:style w:type="paragraph" w:customStyle="1" w:styleId="182">
    <w:name w:val="附录标识"/>
    <w:basedOn w:val="183"/>
    <w:qFormat/>
    <w:uiPriority w:val="0"/>
    <w:pPr>
      <w:widowControl/>
      <w:shd w:val="clear" w:color="auto" w:fill="FFFFFF"/>
      <w:spacing w:before="640" w:after="200"/>
      <w:ind w:left="1140" w:hanging="720"/>
      <w:jc w:val="center"/>
      <w:outlineLvl w:val="0"/>
    </w:pPr>
    <w:rPr>
      <w:rFonts w:ascii="黑体" w:hAnsi="Calibri" w:eastAsia="黑体" w:cs="宋体"/>
      <w:kern w:val="0"/>
      <w:szCs w:val="21"/>
    </w:rPr>
  </w:style>
  <w:style w:type="paragraph" w:customStyle="1" w:styleId="183">
    <w:name w:val="前言、引言标题"/>
    <w:next w:val="1"/>
    <w:qFormat/>
    <w:uiPriority w:val="0"/>
    <w:pPr>
      <w:numPr>
        <w:ilvl w:val="0"/>
        <w:numId w:val="4"/>
      </w:numPr>
      <w:shd w:val="clear" w:color="auto" w:fill="FFFFFF"/>
      <w:spacing w:before="640" w:after="560"/>
      <w:jc w:val="center"/>
      <w:outlineLvl w:val="0"/>
    </w:pPr>
    <w:rPr>
      <w:rFonts w:ascii="黑体" w:hAnsi="Calibri" w:eastAsia="黑体" w:cs="Times New Roman"/>
      <w:sz w:val="32"/>
      <w:lang w:val="en-US" w:eastAsia="zh-CN" w:bidi="ar-SA"/>
    </w:rPr>
  </w:style>
  <w:style w:type="paragraph" w:customStyle="1" w:styleId="184">
    <w:name w:val="附录章标题"/>
    <w:basedOn w:val="1"/>
    <w:next w:val="178"/>
    <w:qFormat/>
    <w:uiPriority w:val="0"/>
    <w:pPr>
      <w:widowControl/>
      <w:wordWrap w:val="0"/>
      <w:overflowPunct w:val="0"/>
      <w:spacing w:beforeLines="50" w:after="100" w:afterAutospacing="1"/>
      <w:ind w:left="1260" w:hanging="420"/>
      <w:outlineLvl w:val="1"/>
    </w:pPr>
    <w:rPr>
      <w:rFonts w:ascii="黑体" w:hAnsi="宋体" w:eastAsia="黑体" w:cs="宋体"/>
      <w:kern w:val="21"/>
      <w:szCs w:val="21"/>
    </w:rPr>
  </w:style>
  <w:style w:type="paragraph" w:customStyle="1" w:styleId="185">
    <w:name w:val="附录表标题"/>
    <w:next w:val="178"/>
    <w:qFormat/>
    <w:uiPriority w:val="0"/>
    <w:pPr>
      <w:jc w:val="center"/>
    </w:pPr>
    <w:rPr>
      <w:rFonts w:ascii="黑体" w:hAnsi="Calibri" w:eastAsia="黑体" w:cs="Times New Roman"/>
      <w:kern w:val="21"/>
      <w:sz w:val="21"/>
      <w:lang w:val="en-US" w:eastAsia="zh-CN" w:bidi="ar-SA"/>
    </w:rPr>
  </w:style>
  <w:style w:type="paragraph" w:customStyle="1" w:styleId="186">
    <w:name w:val="封面标准文稿编辑信息"/>
    <w:basedOn w:val="1"/>
    <w:qFormat/>
    <w:uiPriority w:val="0"/>
    <w:pPr>
      <w:widowControl/>
      <w:spacing w:before="180" w:after="100" w:afterAutospacing="1" w:line="180" w:lineRule="exact"/>
      <w:jc w:val="center"/>
    </w:pPr>
    <w:rPr>
      <w:rFonts w:ascii="宋体" w:hAnsi="宋体" w:cs="宋体"/>
      <w:kern w:val="0"/>
      <w:szCs w:val="21"/>
    </w:rPr>
  </w:style>
  <w:style w:type="paragraph" w:customStyle="1" w:styleId="187">
    <w:name w:val="Title1"/>
    <w:basedOn w:val="1"/>
    <w:next w:val="1"/>
    <w:qFormat/>
    <w:uiPriority w:val="0"/>
    <w:pPr>
      <w:spacing w:line="360" w:lineRule="atLeast"/>
      <w:jc w:val="center"/>
      <w:outlineLvl w:val="0"/>
    </w:pPr>
    <w:rPr>
      <w:rFonts w:ascii="Calibri Light" w:hAnsi="Calibri Light" w:eastAsia="Arial Unicode MS"/>
      <w:b/>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png"/><Relationship Id="rId35" Type="http://schemas.openxmlformats.org/officeDocument/2006/relationships/image" Target="media/image1.jpeg"/><Relationship Id="rId34" Type="http://schemas.openxmlformats.org/officeDocument/2006/relationships/theme" Target="theme/theme1.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header" Target="header9.xml"/><Relationship Id="rId30" Type="http://schemas.openxmlformats.org/officeDocument/2006/relationships/footer" Target="footer20.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header" Target="header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159</Pages>
  <Words>4259</Words>
  <Characters>5033</Characters>
  <Lines>668</Lines>
  <Paragraphs>188</Paragraphs>
  <TotalTime>0</TotalTime>
  <ScaleCrop>false</ScaleCrop>
  <LinksUpToDate>false</LinksUpToDate>
  <CharactersWithSpaces>5189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2025-03-08T11:01:00Z</dcterms:created>
  <dc:creator>番茄花园</dc:creator>
  <cp:lastModifiedBy>HHL</cp:lastModifiedBy>
  <cp:lastPrinted>2025-05-07T16:31:00Z</cp:lastPrinted>
  <dcterms:modified xsi:type="dcterms:W3CDTF">2026-08-25T09:03:07Z</dcterms:modified>
  <dc:title>公开招标采购文件范本</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FB424EC179964E09B1C884CE30338C32_13</vt:lpwstr>
  </property>
  <property fmtid="{D5CDD505-2E9C-101B-9397-08002B2CF9AE}" pid="4" name="KSOTemplateDocerSaveRecord">
    <vt:lpwstr>eyJoZGlkIjoiYjA2YWJmMGIxNDM0OTE0ZDI1N2MyY2Y2Y2ZhODI5M2UiLCJ1c2VySWQiOiIyMjkwMzg1MTcifQ==</vt:lpwstr>
  </property>
</Properties>
</file>