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4.svg" ContentType="image/svg+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6DBB9">
      <w:pPr>
        <w:tabs>
          <w:tab w:val="left" w:pos="1710"/>
        </w:tabs>
        <w:rPr>
          <w:color w:val="auto"/>
          <w:highlight w:val="none"/>
        </w:rPr>
      </w:pPr>
      <w:bookmarkStart w:id="0" w:name="_Toc217446030"/>
      <w:bookmarkStart w:id="1" w:name="_Toc183682338"/>
      <w:r>
        <w:rPr>
          <w:rFonts w:hint="eastAsia"/>
          <w:color w:val="auto"/>
          <w:highlight w:val="none"/>
          <w:lang w:eastAsia="zh-CN"/>
        </w:rPr>
        <w:drawing>
          <wp:anchor distT="0" distB="0" distL="114300" distR="114300" simplePos="0" relativeHeight="251661312" behindDoc="1" locked="0" layoutInCell="1" allowOverlap="1">
            <wp:simplePos x="0" y="0"/>
            <wp:positionH relativeFrom="column">
              <wp:posOffset>-1016635</wp:posOffset>
            </wp:positionH>
            <wp:positionV relativeFrom="paragraph">
              <wp:posOffset>-900430</wp:posOffset>
            </wp:positionV>
            <wp:extent cx="7698740" cy="10963910"/>
            <wp:effectExtent l="0" t="0" r="16510" b="8890"/>
            <wp:wrapNone/>
            <wp:docPr id="3"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2-2-3辅助图形3白底"/>
                    <pic:cNvPicPr>
                      <a:picLocks noChangeAspect="1"/>
                    </pic:cNvPicPr>
                  </pic:nvPicPr>
                  <pic:blipFill>
                    <a:blip r:embed="rId22"/>
                    <a:stretch>
                      <a:fillRect/>
                    </a:stretch>
                  </pic:blipFill>
                  <pic:spPr>
                    <a:xfrm>
                      <a:off x="0" y="0"/>
                      <a:ext cx="7698740" cy="10963910"/>
                    </a:xfrm>
                    <a:prstGeom prst="rect">
                      <a:avLst/>
                    </a:prstGeom>
                  </pic:spPr>
                </pic:pic>
              </a:graphicData>
            </a:graphic>
          </wp:anchor>
        </w:drawing>
      </w:r>
    </w:p>
    <w:p w14:paraId="0E75423C">
      <w:pPr>
        <w:rPr>
          <w:color w:val="auto"/>
          <w:highlight w:val="none"/>
        </w:rPr>
      </w:pPr>
    </w:p>
    <w:p w14:paraId="0D1968A9">
      <w:pPr>
        <w:rPr>
          <w:color w:val="auto"/>
          <w:highlight w:val="none"/>
        </w:rPr>
      </w:pPr>
    </w:p>
    <w:p w14:paraId="099499B9">
      <w:pPr>
        <w:rPr>
          <w:color w:val="auto"/>
          <w:highlight w:val="none"/>
        </w:rPr>
      </w:pPr>
    </w:p>
    <w:p w14:paraId="40FB8DB1">
      <w:pPr>
        <w:rPr>
          <w:color w:val="auto"/>
          <w:highlight w:val="none"/>
        </w:rPr>
      </w:pPr>
    </w:p>
    <w:p w14:paraId="344CF429">
      <w:pPr>
        <w:rPr>
          <w:color w:val="auto"/>
          <w:highlight w:val="none"/>
        </w:rPr>
      </w:pPr>
      <w:r>
        <w:rPr>
          <w:rFonts w:hint="eastAsia" w:eastAsia="宋体"/>
          <w:color w:val="auto"/>
          <w:highlight w:val="none"/>
          <w:lang w:eastAsia="zh-CN"/>
        </w:rPr>
        <w:drawing>
          <wp:anchor distT="0" distB="0" distL="114300" distR="114300" simplePos="0" relativeHeight="251662336" behindDoc="0" locked="0" layoutInCell="1" allowOverlap="1">
            <wp:simplePos x="0" y="0"/>
            <wp:positionH relativeFrom="column">
              <wp:posOffset>545465</wp:posOffset>
            </wp:positionH>
            <wp:positionV relativeFrom="paragraph">
              <wp:posOffset>80010</wp:posOffset>
            </wp:positionV>
            <wp:extent cx="4654550" cy="584200"/>
            <wp:effectExtent l="0" t="0" r="3175" b="6350"/>
            <wp:wrapNone/>
            <wp:docPr id="4"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1-2-1LOGO中英文全称横式"/>
                    <pic:cNvPicPr>
                      <a:picLocks noChangeAspect="1"/>
                    </pic:cNvPicPr>
                  </pic:nvPicPr>
                  <pic:blipFill>
                    <a:blip r:embed="rId23"/>
                    <a:stretch>
                      <a:fillRect/>
                    </a:stretch>
                  </pic:blipFill>
                  <pic:spPr>
                    <a:xfrm>
                      <a:off x="0" y="0"/>
                      <a:ext cx="4654550" cy="584200"/>
                    </a:xfrm>
                    <a:prstGeom prst="rect">
                      <a:avLst/>
                    </a:prstGeom>
                  </pic:spPr>
                </pic:pic>
              </a:graphicData>
            </a:graphic>
          </wp:anchor>
        </w:drawing>
      </w:r>
    </w:p>
    <w:p w14:paraId="2B9B48DA">
      <w:pPr>
        <w:rPr>
          <w:color w:val="auto"/>
          <w:highlight w:val="none"/>
        </w:rPr>
      </w:pPr>
    </w:p>
    <w:p w14:paraId="1C9B1E42">
      <w:pPr>
        <w:rPr>
          <w:color w:val="auto"/>
          <w:highlight w:val="none"/>
        </w:rPr>
      </w:pPr>
    </w:p>
    <w:p w14:paraId="45E52743">
      <w:pPr>
        <w:rPr>
          <w:color w:val="auto"/>
          <w:highlight w:val="none"/>
        </w:rPr>
      </w:pPr>
    </w:p>
    <w:p w14:paraId="758CA956">
      <w:pPr>
        <w:rPr>
          <w:color w:val="auto"/>
          <w:highlight w:val="none"/>
        </w:rPr>
      </w:pPr>
    </w:p>
    <w:tbl>
      <w:tblPr>
        <w:tblStyle w:val="56"/>
        <w:tblpPr w:leftFromText="180" w:rightFromText="180" w:vertAnchor="page" w:horzAnchor="page" w:tblpX="2562" w:tblpY="5980"/>
        <w:tblOverlap w:val="never"/>
        <w:tblW w:w="7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5364"/>
      </w:tblGrid>
      <w:tr w14:paraId="1CE0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7308" w:type="dxa"/>
            <w:gridSpan w:val="2"/>
            <w:tcBorders>
              <w:top w:val="nil"/>
              <w:left w:val="nil"/>
              <w:right w:val="nil"/>
            </w:tcBorders>
            <w:noWrap w:val="0"/>
          </w:tcPr>
          <w:p w14:paraId="357303F7">
            <w:pPr>
              <w:spacing w:line="240" w:lineRule="atLeast"/>
              <w:jc w:val="center"/>
              <w:rPr>
                <w:b/>
                <w:color w:val="auto"/>
                <w:sz w:val="60"/>
                <w:szCs w:val="60"/>
                <w:highlight w:val="none"/>
              </w:rPr>
            </w:pPr>
            <w:r>
              <w:rPr>
                <w:b/>
                <w:color w:val="auto"/>
                <w:sz w:val="60"/>
                <w:szCs w:val="60"/>
                <w:highlight w:val="none"/>
              </w:rPr>
              <w:t>招  标  文  件</w:t>
            </w:r>
          </w:p>
          <w:p w14:paraId="381387D2">
            <w:pPr>
              <w:spacing w:line="240" w:lineRule="atLeast"/>
              <w:jc w:val="center"/>
              <w:rPr>
                <w:b/>
                <w:color w:val="auto"/>
                <w:sz w:val="60"/>
                <w:szCs w:val="60"/>
                <w:highlight w:val="none"/>
              </w:rPr>
            </w:pPr>
            <w:r>
              <w:rPr>
                <w:rFonts w:hint="eastAsia" w:ascii="楷体" w:hAnsi="楷体" w:eastAsia="楷体" w:cs="楷体"/>
                <w:b/>
                <w:color w:val="auto"/>
                <w:sz w:val="36"/>
                <w:szCs w:val="36"/>
                <w:highlight w:val="none"/>
              </w:rPr>
              <w:t>（全流程电子化评标）</w:t>
            </w:r>
          </w:p>
        </w:tc>
      </w:tr>
      <w:tr w14:paraId="68F2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exact"/>
        </w:trPr>
        <w:tc>
          <w:tcPr>
            <w:tcW w:w="1944" w:type="dxa"/>
            <w:noWrap w:val="0"/>
            <w:vAlign w:val="center"/>
          </w:tcPr>
          <w:p w14:paraId="4F132E6D">
            <w:pPr>
              <w:rPr>
                <w:b/>
                <w:color w:val="auto"/>
                <w:sz w:val="32"/>
                <w:szCs w:val="32"/>
                <w:highlight w:val="none"/>
              </w:rPr>
            </w:pPr>
            <w:r>
              <w:rPr>
                <w:b/>
                <w:color w:val="auto"/>
                <w:sz w:val="32"/>
                <w:szCs w:val="32"/>
                <w:highlight w:val="none"/>
              </w:rPr>
              <w:t>项目名称：</w:t>
            </w:r>
          </w:p>
        </w:tc>
        <w:tc>
          <w:tcPr>
            <w:tcW w:w="5364" w:type="dxa"/>
            <w:noWrap w:val="0"/>
            <w:vAlign w:val="center"/>
          </w:tcPr>
          <w:p w14:paraId="3F3AD7EB">
            <w:pPr>
              <w:rPr>
                <w:rFonts w:hint="eastAsia" w:eastAsia="宋体"/>
                <w:b/>
                <w:color w:val="auto"/>
                <w:sz w:val="32"/>
                <w:szCs w:val="32"/>
                <w:highlight w:val="none"/>
                <w:lang w:eastAsia="zh-CN"/>
              </w:rPr>
            </w:pPr>
            <w:r>
              <w:rPr>
                <w:rFonts w:hint="eastAsia"/>
                <w:b/>
                <w:color w:val="auto"/>
                <w:sz w:val="32"/>
                <w:szCs w:val="32"/>
                <w:highlight w:val="none"/>
                <w:lang w:eastAsia="zh-CN"/>
              </w:rPr>
              <w:t>北海市中医医院检验设备、麻醉系统采购项目</w:t>
            </w:r>
          </w:p>
        </w:tc>
      </w:tr>
      <w:tr w14:paraId="47E6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trPr>
        <w:tc>
          <w:tcPr>
            <w:tcW w:w="1944" w:type="dxa"/>
            <w:noWrap w:val="0"/>
            <w:vAlign w:val="center"/>
          </w:tcPr>
          <w:p w14:paraId="6AABBE21">
            <w:pPr>
              <w:rPr>
                <w:b/>
                <w:color w:val="auto"/>
                <w:sz w:val="32"/>
                <w:szCs w:val="32"/>
                <w:highlight w:val="none"/>
              </w:rPr>
            </w:pPr>
            <w:r>
              <w:rPr>
                <w:b/>
                <w:color w:val="auto"/>
                <w:sz w:val="32"/>
                <w:szCs w:val="32"/>
                <w:highlight w:val="none"/>
              </w:rPr>
              <w:t>项目编号：</w:t>
            </w:r>
          </w:p>
        </w:tc>
        <w:tc>
          <w:tcPr>
            <w:tcW w:w="5364" w:type="dxa"/>
            <w:noWrap w:val="0"/>
            <w:vAlign w:val="center"/>
          </w:tcPr>
          <w:p w14:paraId="099E9913">
            <w:pPr>
              <w:rPr>
                <w:rFonts w:hint="eastAsia" w:eastAsia="宋体"/>
                <w:b/>
                <w:color w:val="auto"/>
                <w:sz w:val="32"/>
                <w:szCs w:val="32"/>
                <w:highlight w:val="none"/>
                <w:lang w:eastAsia="zh-CN"/>
              </w:rPr>
            </w:pPr>
            <w:r>
              <w:rPr>
                <w:rFonts w:hint="eastAsia"/>
                <w:b/>
                <w:color w:val="auto"/>
                <w:sz w:val="32"/>
                <w:szCs w:val="32"/>
                <w:highlight w:val="none"/>
                <w:lang w:eastAsia="zh-CN"/>
              </w:rPr>
              <w:t>BHZC2026-G1-990205-JDZB</w:t>
            </w:r>
          </w:p>
        </w:tc>
      </w:tr>
      <w:tr w14:paraId="7C1D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944" w:type="dxa"/>
            <w:noWrap w:val="0"/>
            <w:vAlign w:val="center"/>
          </w:tcPr>
          <w:p w14:paraId="527F0B38">
            <w:pPr>
              <w:rPr>
                <w:b/>
                <w:color w:val="auto"/>
                <w:sz w:val="32"/>
                <w:szCs w:val="32"/>
                <w:highlight w:val="none"/>
              </w:rPr>
            </w:pPr>
            <w:r>
              <w:rPr>
                <w:b/>
                <w:color w:val="auto"/>
                <w:sz w:val="32"/>
                <w:szCs w:val="32"/>
                <w:highlight w:val="none"/>
              </w:rPr>
              <w:t>联系电话：</w:t>
            </w:r>
          </w:p>
        </w:tc>
        <w:tc>
          <w:tcPr>
            <w:tcW w:w="5364" w:type="dxa"/>
            <w:noWrap w:val="0"/>
            <w:vAlign w:val="center"/>
          </w:tcPr>
          <w:p w14:paraId="621303DF">
            <w:pPr>
              <w:rPr>
                <w:rFonts w:hint="eastAsia" w:eastAsia="宋体"/>
                <w:b/>
                <w:color w:val="auto"/>
                <w:sz w:val="32"/>
                <w:szCs w:val="32"/>
                <w:highlight w:val="none"/>
                <w:lang w:eastAsia="zh-CN"/>
              </w:rPr>
            </w:pPr>
            <w:r>
              <w:rPr>
                <w:rFonts w:hint="eastAsia"/>
                <w:b/>
                <w:color w:val="auto"/>
                <w:sz w:val="32"/>
                <w:szCs w:val="32"/>
                <w:highlight w:val="none"/>
                <w:lang w:eastAsia="zh-CN"/>
              </w:rPr>
              <w:t>0779-3900996/0779-2039746</w:t>
            </w:r>
          </w:p>
        </w:tc>
      </w:tr>
    </w:tbl>
    <w:p w14:paraId="302BB8C1">
      <w:pPr>
        <w:rPr>
          <w:color w:val="auto"/>
          <w:highlight w:val="none"/>
        </w:rPr>
      </w:pPr>
    </w:p>
    <w:p w14:paraId="0FE16163">
      <w:pPr>
        <w:rPr>
          <w:color w:val="auto"/>
          <w:highlight w:val="none"/>
        </w:rPr>
      </w:pPr>
    </w:p>
    <w:p w14:paraId="24A6CDED">
      <w:pPr>
        <w:rPr>
          <w:color w:val="auto"/>
          <w:highlight w:val="none"/>
        </w:rPr>
      </w:pPr>
    </w:p>
    <w:p w14:paraId="0774E5B5">
      <w:pPr>
        <w:rPr>
          <w:color w:val="auto"/>
          <w:highlight w:val="none"/>
        </w:rPr>
      </w:pPr>
    </w:p>
    <w:p w14:paraId="45E81B72">
      <w:pPr>
        <w:rPr>
          <w:color w:val="auto"/>
          <w:highlight w:val="none"/>
        </w:rPr>
      </w:pPr>
    </w:p>
    <w:tbl>
      <w:tblPr>
        <w:tblStyle w:val="56"/>
        <w:tblpPr w:leftFromText="180" w:rightFromText="180" w:vertAnchor="text" w:horzAnchor="page" w:tblpX="1925" w:tblpY="7557"/>
        <w:tblOverlap w:val="never"/>
        <w:tblW w:w="8284" w:type="dxa"/>
        <w:tblInd w:w="0" w:type="dxa"/>
        <w:tblLayout w:type="fixed"/>
        <w:tblCellMar>
          <w:top w:w="0" w:type="dxa"/>
          <w:left w:w="108" w:type="dxa"/>
          <w:bottom w:w="0" w:type="dxa"/>
          <w:right w:w="108" w:type="dxa"/>
        </w:tblCellMar>
      </w:tblPr>
      <w:tblGrid>
        <w:gridCol w:w="2707"/>
        <w:gridCol w:w="6"/>
        <w:gridCol w:w="5571"/>
      </w:tblGrid>
      <w:tr w14:paraId="4A796147">
        <w:tblPrEx>
          <w:tblCellMar>
            <w:top w:w="0" w:type="dxa"/>
            <w:left w:w="108" w:type="dxa"/>
            <w:bottom w:w="0" w:type="dxa"/>
            <w:right w:w="108" w:type="dxa"/>
          </w:tblCellMar>
        </w:tblPrEx>
        <w:trPr>
          <w:trHeight w:val="703" w:hRule="atLeast"/>
        </w:trPr>
        <w:tc>
          <w:tcPr>
            <w:tcW w:w="2707" w:type="dxa"/>
            <w:noWrap w:val="0"/>
            <w:vAlign w:val="center"/>
          </w:tcPr>
          <w:p w14:paraId="11264F1C">
            <w:pPr>
              <w:jc w:val="right"/>
              <w:rPr>
                <w:b/>
                <w:color w:val="auto"/>
                <w:sz w:val="32"/>
                <w:szCs w:val="32"/>
                <w:highlight w:val="none"/>
              </w:rPr>
            </w:pPr>
            <w:r>
              <w:rPr>
                <w:b/>
                <w:color w:val="auto"/>
                <w:sz w:val="32"/>
                <w:szCs w:val="32"/>
                <w:highlight w:val="none"/>
              </w:rPr>
              <w:t xml:space="preserve">  采购人：</w:t>
            </w:r>
          </w:p>
        </w:tc>
        <w:tc>
          <w:tcPr>
            <w:tcW w:w="5577" w:type="dxa"/>
            <w:gridSpan w:val="2"/>
            <w:noWrap w:val="0"/>
            <w:vAlign w:val="center"/>
          </w:tcPr>
          <w:p w14:paraId="0A593946">
            <w:pPr>
              <w:jc w:val="left"/>
              <w:rPr>
                <w:rFonts w:hint="eastAsia" w:eastAsia="宋体"/>
                <w:b/>
                <w:color w:val="auto"/>
                <w:sz w:val="32"/>
                <w:szCs w:val="32"/>
                <w:highlight w:val="none"/>
                <w:lang w:eastAsia="zh-CN"/>
              </w:rPr>
            </w:pPr>
            <w:r>
              <w:rPr>
                <w:rFonts w:hint="eastAsia"/>
                <w:b/>
                <w:color w:val="auto"/>
                <w:sz w:val="32"/>
                <w:szCs w:val="32"/>
                <w:highlight w:val="none"/>
                <w:lang w:eastAsia="zh-CN"/>
              </w:rPr>
              <w:t>北海市中医医院</w:t>
            </w:r>
          </w:p>
        </w:tc>
      </w:tr>
      <w:tr w14:paraId="64E3B1D2">
        <w:tblPrEx>
          <w:tblCellMar>
            <w:top w:w="0" w:type="dxa"/>
            <w:left w:w="108" w:type="dxa"/>
            <w:bottom w:w="0" w:type="dxa"/>
            <w:right w:w="108" w:type="dxa"/>
          </w:tblCellMar>
        </w:tblPrEx>
        <w:trPr>
          <w:trHeight w:val="703" w:hRule="atLeast"/>
        </w:trPr>
        <w:tc>
          <w:tcPr>
            <w:tcW w:w="2713" w:type="dxa"/>
            <w:gridSpan w:val="2"/>
            <w:noWrap w:val="0"/>
          </w:tcPr>
          <w:p w14:paraId="786864A0">
            <w:pPr>
              <w:jc w:val="right"/>
              <w:rPr>
                <w:b/>
                <w:color w:val="auto"/>
                <w:sz w:val="32"/>
                <w:szCs w:val="32"/>
                <w:highlight w:val="none"/>
              </w:rPr>
            </w:pPr>
            <w:r>
              <w:rPr>
                <w:b/>
                <w:color w:val="auto"/>
                <w:sz w:val="32"/>
                <w:szCs w:val="32"/>
                <w:highlight w:val="none"/>
              </w:rPr>
              <w:t>采购代理机构：</w:t>
            </w:r>
          </w:p>
        </w:tc>
        <w:tc>
          <w:tcPr>
            <w:tcW w:w="5571" w:type="dxa"/>
            <w:noWrap w:val="0"/>
          </w:tcPr>
          <w:p w14:paraId="1779E628">
            <w:pPr>
              <w:rPr>
                <w:b/>
                <w:color w:val="auto"/>
                <w:sz w:val="32"/>
                <w:szCs w:val="32"/>
                <w:highlight w:val="none"/>
                <w:u w:val="single"/>
              </w:rPr>
            </w:pPr>
            <w:r>
              <w:rPr>
                <w:b/>
                <w:color w:val="auto"/>
                <w:sz w:val="32"/>
                <w:szCs w:val="32"/>
                <w:highlight w:val="none"/>
              </w:rPr>
              <w:t>广西机电设备招标有限公司</w:t>
            </w:r>
          </w:p>
        </w:tc>
      </w:tr>
    </w:tbl>
    <w:p w14:paraId="0A311DB3">
      <w:pPr>
        <w:ind w:firstLine="321"/>
        <w:jc w:val="center"/>
        <w:rPr>
          <w:rFonts w:hint="eastAsia"/>
          <w:b/>
          <w:color w:val="auto"/>
          <w:sz w:val="32"/>
          <w:szCs w:val="32"/>
          <w:highlight w:val="none"/>
        </w:rPr>
      </w:pPr>
    </w:p>
    <w:p w14:paraId="6AA8F2D5">
      <w:pPr>
        <w:ind w:firstLine="321"/>
        <w:jc w:val="center"/>
        <w:rPr>
          <w:rFonts w:hint="eastAsia"/>
          <w:b/>
          <w:color w:val="auto"/>
          <w:sz w:val="32"/>
          <w:szCs w:val="32"/>
          <w:highlight w:val="none"/>
        </w:rPr>
      </w:pPr>
    </w:p>
    <w:p w14:paraId="5FA2E358">
      <w:pPr>
        <w:ind w:firstLine="321"/>
        <w:jc w:val="center"/>
        <w:rPr>
          <w:rFonts w:hint="eastAsia"/>
          <w:b/>
          <w:color w:val="auto"/>
          <w:sz w:val="32"/>
          <w:szCs w:val="32"/>
          <w:highlight w:val="none"/>
        </w:rPr>
      </w:pPr>
    </w:p>
    <w:p w14:paraId="027C2B6C">
      <w:pPr>
        <w:ind w:firstLine="321"/>
        <w:jc w:val="center"/>
        <w:rPr>
          <w:rFonts w:hint="eastAsia"/>
          <w:b/>
          <w:color w:val="auto"/>
          <w:sz w:val="32"/>
          <w:szCs w:val="32"/>
          <w:highlight w:val="none"/>
        </w:rPr>
      </w:pPr>
    </w:p>
    <w:p w14:paraId="46DB4765">
      <w:pPr>
        <w:ind w:firstLine="321"/>
        <w:jc w:val="center"/>
        <w:rPr>
          <w:rFonts w:hint="eastAsia"/>
          <w:b/>
          <w:color w:val="auto"/>
          <w:sz w:val="32"/>
          <w:szCs w:val="32"/>
          <w:highlight w:val="none"/>
        </w:rPr>
      </w:pPr>
    </w:p>
    <w:p w14:paraId="70684F77">
      <w:pPr>
        <w:ind w:firstLine="321"/>
        <w:jc w:val="center"/>
        <w:rPr>
          <w:rFonts w:hint="eastAsia"/>
          <w:b/>
          <w:color w:val="auto"/>
          <w:sz w:val="32"/>
          <w:szCs w:val="32"/>
          <w:highlight w:val="none"/>
        </w:rPr>
      </w:pPr>
    </w:p>
    <w:p w14:paraId="30B57AAD">
      <w:pPr>
        <w:ind w:firstLine="321"/>
        <w:jc w:val="center"/>
        <w:rPr>
          <w:rFonts w:hint="eastAsia"/>
          <w:b/>
          <w:color w:val="auto"/>
          <w:sz w:val="32"/>
          <w:szCs w:val="32"/>
          <w:highlight w:val="none"/>
        </w:rPr>
      </w:pPr>
    </w:p>
    <w:p w14:paraId="2ADA4362">
      <w:pPr>
        <w:ind w:firstLine="321"/>
        <w:jc w:val="center"/>
        <w:rPr>
          <w:rFonts w:hint="eastAsia"/>
          <w:b/>
          <w:color w:val="auto"/>
          <w:sz w:val="32"/>
          <w:szCs w:val="32"/>
          <w:highlight w:val="none"/>
        </w:rPr>
      </w:pPr>
    </w:p>
    <w:p w14:paraId="295D8ECE">
      <w:pPr>
        <w:ind w:firstLine="321"/>
        <w:jc w:val="center"/>
        <w:rPr>
          <w:rFonts w:hint="eastAsia"/>
          <w:b/>
          <w:color w:val="auto"/>
          <w:sz w:val="32"/>
          <w:szCs w:val="32"/>
          <w:highlight w:val="none"/>
        </w:rPr>
      </w:pPr>
    </w:p>
    <w:p w14:paraId="29978F39">
      <w:pPr>
        <w:ind w:firstLine="321"/>
        <w:jc w:val="center"/>
        <w:rPr>
          <w:rFonts w:hint="eastAsia"/>
          <w:b/>
          <w:color w:val="auto"/>
          <w:sz w:val="32"/>
          <w:szCs w:val="32"/>
          <w:highlight w:val="none"/>
        </w:rPr>
      </w:pPr>
    </w:p>
    <w:p w14:paraId="63AC6A54">
      <w:pPr>
        <w:ind w:firstLine="321"/>
        <w:jc w:val="center"/>
        <w:rPr>
          <w:rFonts w:hint="eastAsia"/>
          <w:b/>
          <w:color w:val="auto"/>
          <w:sz w:val="32"/>
          <w:szCs w:val="32"/>
          <w:highlight w:val="none"/>
        </w:rPr>
      </w:pPr>
    </w:p>
    <w:p w14:paraId="77FD3F19">
      <w:pPr>
        <w:ind w:firstLine="321"/>
        <w:jc w:val="center"/>
        <w:rPr>
          <w:rFonts w:hint="eastAsia"/>
          <w:b/>
          <w:color w:val="auto"/>
          <w:sz w:val="32"/>
          <w:szCs w:val="32"/>
          <w:highlight w:val="none"/>
        </w:rPr>
      </w:pPr>
    </w:p>
    <w:p w14:paraId="79319830">
      <w:pPr>
        <w:jc w:val="both"/>
        <w:rPr>
          <w:rFonts w:hint="eastAsia"/>
          <w:b/>
          <w:color w:val="auto"/>
          <w:sz w:val="32"/>
          <w:szCs w:val="32"/>
          <w:highlight w:val="none"/>
        </w:rPr>
      </w:pPr>
    </w:p>
    <w:p w14:paraId="4A981863">
      <w:pPr>
        <w:ind w:firstLine="321"/>
        <w:jc w:val="center"/>
        <w:rPr>
          <w:rFonts w:hint="eastAsia"/>
          <w:b/>
          <w:color w:val="auto"/>
          <w:sz w:val="32"/>
          <w:szCs w:val="32"/>
          <w:highlight w:val="none"/>
        </w:rPr>
      </w:pPr>
    </w:p>
    <w:p w14:paraId="1527BA34">
      <w:pPr>
        <w:ind w:firstLine="321"/>
        <w:jc w:val="center"/>
        <w:rPr>
          <w:rFonts w:hint="eastAsia"/>
          <w:b/>
          <w:color w:val="auto"/>
          <w:sz w:val="32"/>
          <w:szCs w:val="32"/>
          <w:highlight w:val="none"/>
        </w:rPr>
      </w:pPr>
    </w:p>
    <w:p w14:paraId="4148AA6E">
      <w:pPr>
        <w:ind w:firstLine="321"/>
        <w:jc w:val="center"/>
        <w:rPr>
          <w:rFonts w:hint="eastAsia"/>
          <w:b/>
          <w:color w:val="auto"/>
          <w:sz w:val="32"/>
          <w:szCs w:val="32"/>
          <w:highlight w:val="none"/>
        </w:rPr>
      </w:pPr>
    </w:p>
    <w:p w14:paraId="0A2C933D">
      <w:pPr>
        <w:ind w:firstLine="321"/>
        <w:jc w:val="center"/>
        <w:rPr>
          <w:rFonts w:hint="eastAsia"/>
          <w:b/>
          <w:color w:val="auto"/>
          <w:sz w:val="32"/>
          <w:szCs w:val="32"/>
          <w:highlight w:val="none"/>
        </w:rPr>
      </w:pPr>
    </w:p>
    <w:p w14:paraId="4EF22E06">
      <w:pPr>
        <w:ind w:firstLine="321"/>
        <w:jc w:val="center"/>
        <w:rPr>
          <w:rFonts w:hint="eastAsia"/>
          <w:b/>
          <w:color w:val="auto"/>
          <w:sz w:val="32"/>
          <w:szCs w:val="32"/>
          <w:highlight w:val="none"/>
        </w:rPr>
      </w:pPr>
    </w:p>
    <w:p w14:paraId="4C23398E">
      <w:pPr>
        <w:ind w:firstLine="321"/>
        <w:jc w:val="center"/>
        <w:rPr>
          <w:rFonts w:hint="eastAsia"/>
          <w:b/>
          <w:color w:val="auto"/>
          <w:sz w:val="32"/>
          <w:szCs w:val="32"/>
          <w:highlight w:val="none"/>
        </w:rPr>
      </w:pPr>
    </w:p>
    <w:p w14:paraId="2C9B86FF">
      <w:pPr>
        <w:ind w:firstLine="321"/>
        <w:jc w:val="center"/>
        <w:rPr>
          <w:rFonts w:hint="eastAsia"/>
          <w:b/>
          <w:color w:val="auto"/>
          <w:sz w:val="32"/>
          <w:szCs w:val="32"/>
          <w:highlight w:val="none"/>
        </w:rPr>
      </w:pPr>
    </w:p>
    <w:p w14:paraId="659AE72C">
      <w:pPr>
        <w:ind w:firstLine="321"/>
        <w:jc w:val="center"/>
        <w:rPr>
          <w:b/>
          <w:color w:val="auto"/>
          <w:sz w:val="32"/>
          <w:szCs w:val="32"/>
          <w:highlight w:val="none"/>
        </w:rPr>
        <w:sectPr>
          <w:headerReference r:id="rId3" w:type="first"/>
          <w:footerReference r:id="rId5" w:type="first"/>
          <w:footerReference r:id="rId4" w:type="even"/>
          <w:pgSz w:w="11906" w:h="16838"/>
          <w:pgMar w:top="1418" w:right="1418" w:bottom="1246" w:left="1418" w:header="851" w:footer="992" w:gutter="0"/>
          <w:pgNumType w:start="0"/>
          <w:cols w:space="720" w:num="1"/>
          <w:titlePg/>
        </w:sectPr>
      </w:pPr>
      <w:r>
        <w:rPr>
          <w:rFonts w:hint="eastAsia"/>
          <w:b/>
          <w:color w:val="auto"/>
          <w:sz w:val="32"/>
          <w:szCs w:val="32"/>
          <w:highlight w:val="none"/>
          <w:lang w:eastAsia="zh-CN"/>
        </w:rPr>
        <w:t>2026年</w:t>
      </w:r>
      <w:r>
        <w:rPr>
          <w:rFonts w:hint="eastAsia"/>
          <w:b/>
          <w:color w:val="auto"/>
          <w:sz w:val="32"/>
          <w:szCs w:val="32"/>
          <w:highlight w:val="none"/>
          <w:lang w:val="en-US" w:eastAsia="zh-CN"/>
        </w:rPr>
        <w:t xml:space="preserve">  </w:t>
      </w:r>
      <w:r>
        <w:rPr>
          <w:b/>
          <w:color w:val="auto"/>
          <w:sz w:val="32"/>
          <w:szCs w:val="32"/>
          <w:highlight w:val="none"/>
        </w:rPr>
        <w:t>月</w:t>
      </w:r>
    </w:p>
    <w:p w14:paraId="4DA2B1E4">
      <w:pPr>
        <w:pStyle w:val="35"/>
        <w:ind w:firstLine="321"/>
        <w:jc w:val="center"/>
        <w:rPr>
          <w:rFonts w:ascii="Times New Roman" w:hAnsi="Times New Roman"/>
          <w:color w:val="auto"/>
          <w:sz w:val="32"/>
          <w:szCs w:val="32"/>
          <w:highlight w:val="none"/>
        </w:rPr>
      </w:pPr>
    </w:p>
    <w:p w14:paraId="273D29BA">
      <w:pPr>
        <w:pStyle w:val="27"/>
        <w:tabs>
          <w:tab w:val="right" w:leader="dot" w:pos="8398"/>
        </w:tabs>
        <w:spacing w:before="120" w:after="120" w:line="320" w:lineRule="exact"/>
        <w:ind w:firstLine="241"/>
        <w:jc w:val="center"/>
        <w:outlineLvl w:val="0"/>
        <w:rPr>
          <w:highlight w:val="none"/>
        </w:rPr>
      </w:pPr>
      <w:bookmarkStart w:id="2" w:name="_Toc23599"/>
      <w:bookmarkStart w:id="3" w:name="_Toc5646"/>
      <w:bookmarkStart w:id="4" w:name="_Toc15755"/>
      <w:bookmarkStart w:id="5" w:name="_Toc7652"/>
      <w:bookmarkStart w:id="6" w:name="_Toc19099"/>
      <w:bookmarkStart w:id="7" w:name="_Toc16068"/>
      <w:r>
        <w:rPr>
          <w:rFonts w:ascii="Times New Roman" w:hAnsi="Times New Roman" w:cs="Times New Roman"/>
          <w:color w:val="auto"/>
          <w:sz w:val="32"/>
          <w:szCs w:val="32"/>
          <w:highlight w:val="none"/>
        </w:rPr>
        <w:t>目    录</w:t>
      </w:r>
      <w:bookmarkEnd w:id="2"/>
      <w:bookmarkEnd w:id="3"/>
      <w:bookmarkEnd w:id="4"/>
      <w:bookmarkEnd w:id="5"/>
      <w:bookmarkEnd w:id="6"/>
      <w:bookmarkEnd w:id="7"/>
      <w:r>
        <w:rPr>
          <w:rFonts w:ascii="Times New Roman" w:hAnsi="Times New Roman"/>
          <w:color w:val="auto"/>
          <w:highlight w:val="none"/>
        </w:rPr>
        <w:fldChar w:fldCharType="begin"/>
      </w:r>
      <w:r>
        <w:rPr>
          <w:rStyle w:val="65"/>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p>
    <w:p w14:paraId="08499E34">
      <w:pPr>
        <w:pStyle w:val="35"/>
        <w:tabs>
          <w:tab w:val="right" w:leader="dot" w:pos="9070"/>
          <w:tab w:val="clear" w:pos="8398"/>
        </w:tabs>
        <w:rPr>
          <w:highlight w:val="none"/>
        </w:rPr>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_Toc4011 </w:instrText>
      </w:r>
      <w:r>
        <w:rPr>
          <w:rFonts w:ascii="Times New Roman" w:hAnsi="Times New Roman"/>
          <w:szCs w:val="28"/>
          <w:highlight w:val="none"/>
        </w:rPr>
        <w:fldChar w:fldCharType="separate"/>
      </w:r>
      <w:r>
        <w:rPr>
          <w:rFonts w:ascii="Times New Roman" w:hAnsi="Times New Roman" w:cs="Times New Roman"/>
          <w:szCs w:val="32"/>
          <w:highlight w:val="none"/>
        </w:rPr>
        <w:t>第一章  招标公告</w:t>
      </w:r>
      <w:r>
        <w:rPr>
          <w:highlight w:val="none"/>
        </w:rPr>
        <w:tab/>
      </w:r>
      <w:r>
        <w:rPr>
          <w:highlight w:val="none"/>
        </w:rPr>
        <w:fldChar w:fldCharType="begin"/>
      </w:r>
      <w:r>
        <w:rPr>
          <w:highlight w:val="none"/>
        </w:rPr>
        <w:instrText xml:space="preserve"> PAGEREF _Toc4011 \h </w:instrText>
      </w:r>
      <w:r>
        <w:rPr>
          <w:highlight w:val="none"/>
        </w:rPr>
        <w:fldChar w:fldCharType="separate"/>
      </w:r>
      <w:r>
        <w:rPr>
          <w:highlight w:val="none"/>
        </w:rPr>
        <w:t>1</w:t>
      </w:r>
      <w:r>
        <w:rPr>
          <w:highlight w:val="none"/>
        </w:rPr>
        <w:fldChar w:fldCharType="end"/>
      </w:r>
      <w:r>
        <w:rPr>
          <w:rFonts w:ascii="Times New Roman" w:hAnsi="Times New Roman"/>
          <w:color w:val="auto"/>
          <w:szCs w:val="28"/>
          <w:highlight w:val="none"/>
        </w:rPr>
        <w:fldChar w:fldCharType="end"/>
      </w:r>
    </w:p>
    <w:p w14:paraId="085DBDF0">
      <w:pPr>
        <w:pStyle w:val="35"/>
        <w:tabs>
          <w:tab w:val="right" w:leader="dot" w:pos="9070"/>
          <w:tab w:val="clear" w:pos="8398"/>
        </w:tabs>
        <w:rPr>
          <w:highlight w:val="none"/>
        </w:rPr>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_Toc2309 </w:instrText>
      </w:r>
      <w:r>
        <w:rPr>
          <w:rFonts w:ascii="Times New Roman" w:hAnsi="Times New Roman"/>
          <w:szCs w:val="28"/>
          <w:highlight w:val="none"/>
        </w:rPr>
        <w:fldChar w:fldCharType="separate"/>
      </w:r>
      <w:r>
        <w:rPr>
          <w:rFonts w:hint="eastAsia" w:ascii="Times New Roman" w:hAnsi="Times New Roman" w:cs="Times New Roman"/>
          <w:szCs w:val="32"/>
          <w:highlight w:val="none"/>
        </w:rPr>
        <w:t xml:space="preserve">第二章 </w:t>
      </w:r>
      <w:r>
        <w:rPr>
          <w:rFonts w:hint="eastAsia" w:ascii="Times New Roman" w:hAnsi="Times New Roman" w:cs="Times New Roman"/>
          <w:szCs w:val="32"/>
          <w:highlight w:val="none"/>
          <w:lang w:val="en-US" w:eastAsia="zh-CN"/>
        </w:rPr>
        <w:t xml:space="preserve"> </w:t>
      </w:r>
      <w:r>
        <w:rPr>
          <w:rFonts w:ascii="Times New Roman" w:hAnsi="Times New Roman" w:cs="Times New Roman"/>
          <w:szCs w:val="32"/>
          <w:highlight w:val="none"/>
        </w:rPr>
        <w:t>项目采购需求</w:t>
      </w:r>
      <w:r>
        <w:rPr>
          <w:highlight w:val="none"/>
        </w:rPr>
        <w:tab/>
      </w:r>
      <w:r>
        <w:rPr>
          <w:highlight w:val="none"/>
        </w:rPr>
        <w:fldChar w:fldCharType="begin"/>
      </w:r>
      <w:r>
        <w:rPr>
          <w:highlight w:val="none"/>
        </w:rPr>
        <w:instrText xml:space="preserve"> PAGEREF _Toc2309 \h </w:instrText>
      </w:r>
      <w:r>
        <w:rPr>
          <w:highlight w:val="none"/>
        </w:rPr>
        <w:fldChar w:fldCharType="separate"/>
      </w:r>
      <w:r>
        <w:rPr>
          <w:highlight w:val="none"/>
        </w:rPr>
        <w:t>4</w:t>
      </w:r>
      <w:r>
        <w:rPr>
          <w:highlight w:val="none"/>
        </w:rPr>
        <w:fldChar w:fldCharType="end"/>
      </w:r>
      <w:r>
        <w:rPr>
          <w:rFonts w:ascii="Times New Roman" w:hAnsi="Times New Roman"/>
          <w:color w:val="auto"/>
          <w:szCs w:val="28"/>
          <w:highlight w:val="none"/>
        </w:rPr>
        <w:fldChar w:fldCharType="end"/>
      </w:r>
    </w:p>
    <w:p w14:paraId="396C517B">
      <w:pPr>
        <w:pStyle w:val="35"/>
        <w:tabs>
          <w:tab w:val="right" w:leader="dot" w:pos="9070"/>
          <w:tab w:val="clear" w:pos="8398"/>
        </w:tabs>
        <w:rPr>
          <w:highlight w:val="none"/>
        </w:rPr>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_Toc2043 </w:instrText>
      </w:r>
      <w:r>
        <w:rPr>
          <w:rFonts w:ascii="Times New Roman" w:hAnsi="Times New Roman"/>
          <w:szCs w:val="28"/>
          <w:highlight w:val="none"/>
        </w:rPr>
        <w:fldChar w:fldCharType="separate"/>
      </w:r>
      <w:r>
        <w:rPr>
          <w:rFonts w:ascii="Times New Roman" w:hAnsi="Times New Roman" w:cs="Times New Roman"/>
          <w:szCs w:val="32"/>
          <w:highlight w:val="none"/>
        </w:rPr>
        <w:t>第三章  供应商须知</w:t>
      </w:r>
      <w:r>
        <w:rPr>
          <w:highlight w:val="none"/>
        </w:rPr>
        <w:tab/>
      </w:r>
      <w:r>
        <w:rPr>
          <w:highlight w:val="none"/>
        </w:rPr>
        <w:fldChar w:fldCharType="begin"/>
      </w:r>
      <w:r>
        <w:rPr>
          <w:highlight w:val="none"/>
        </w:rPr>
        <w:instrText xml:space="preserve"> PAGEREF _Toc2043 \h </w:instrText>
      </w:r>
      <w:r>
        <w:rPr>
          <w:highlight w:val="none"/>
        </w:rPr>
        <w:fldChar w:fldCharType="separate"/>
      </w:r>
      <w:r>
        <w:rPr>
          <w:highlight w:val="none"/>
        </w:rPr>
        <w:t>86</w:t>
      </w:r>
      <w:r>
        <w:rPr>
          <w:highlight w:val="none"/>
        </w:rPr>
        <w:fldChar w:fldCharType="end"/>
      </w:r>
      <w:r>
        <w:rPr>
          <w:rFonts w:ascii="Times New Roman" w:hAnsi="Times New Roman"/>
          <w:color w:val="auto"/>
          <w:szCs w:val="28"/>
          <w:highlight w:val="none"/>
        </w:rPr>
        <w:fldChar w:fldCharType="end"/>
      </w:r>
    </w:p>
    <w:p w14:paraId="21BF8D03">
      <w:pPr>
        <w:pStyle w:val="35"/>
        <w:tabs>
          <w:tab w:val="right" w:leader="dot" w:pos="9070"/>
          <w:tab w:val="clear" w:pos="8398"/>
        </w:tabs>
        <w:rPr>
          <w:highlight w:val="none"/>
        </w:rPr>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_Toc7464 </w:instrText>
      </w:r>
      <w:r>
        <w:rPr>
          <w:rFonts w:ascii="Times New Roman" w:hAnsi="Times New Roman"/>
          <w:szCs w:val="28"/>
          <w:highlight w:val="none"/>
        </w:rPr>
        <w:fldChar w:fldCharType="separate"/>
      </w:r>
      <w:r>
        <w:rPr>
          <w:rFonts w:ascii="Times New Roman" w:hAnsi="Times New Roman" w:cs="Times New Roman"/>
          <w:szCs w:val="32"/>
          <w:highlight w:val="none"/>
        </w:rPr>
        <w:t>第四章  评标方法及评标标准</w:t>
      </w:r>
      <w:r>
        <w:rPr>
          <w:highlight w:val="none"/>
        </w:rPr>
        <w:tab/>
      </w:r>
      <w:r>
        <w:rPr>
          <w:highlight w:val="none"/>
        </w:rPr>
        <w:fldChar w:fldCharType="begin"/>
      </w:r>
      <w:r>
        <w:rPr>
          <w:highlight w:val="none"/>
        </w:rPr>
        <w:instrText xml:space="preserve"> PAGEREF _Toc7464 \h </w:instrText>
      </w:r>
      <w:r>
        <w:rPr>
          <w:highlight w:val="none"/>
        </w:rPr>
        <w:fldChar w:fldCharType="separate"/>
      </w:r>
      <w:r>
        <w:rPr>
          <w:highlight w:val="none"/>
        </w:rPr>
        <w:t>106</w:t>
      </w:r>
      <w:r>
        <w:rPr>
          <w:highlight w:val="none"/>
        </w:rPr>
        <w:fldChar w:fldCharType="end"/>
      </w:r>
      <w:r>
        <w:rPr>
          <w:rFonts w:ascii="Times New Roman" w:hAnsi="Times New Roman"/>
          <w:color w:val="auto"/>
          <w:szCs w:val="28"/>
          <w:highlight w:val="none"/>
        </w:rPr>
        <w:fldChar w:fldCharType="end"/>
      </w:r>
    </w:p>
    <w:p w14:paraId="3FB13724">
      <w:pPr>
        <w:pStyle w:val="35"/>
        <w:tabs>
          <w:tab w:val="right" w:leader="dot" w:pos="9070"/>
          <w:tab w:val="clear" w:pos="8398"/>
        </w:tabs>
        <w:rPr>
          <w:highlight w:val="none"/>
        </w:rPr>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_Toc9333 </w:instrText>
      </w:r>
      <w:r>
        <w:rPr>
          <w:rFonts w:ascii="Times New Roman" w:hAnsi="Times New Roman"/>
          <w:szCs w:val="28"/>
          <w:highlight w:val="none"/>
        </w:rPr>
        <w:fldChar w:fldCharType="separate"/>
      </w:r>
      <w:r>
        <w:rPr>
          <w:rFonts w:ascii="Times New Roman" w:hAnsi="Times New Roman" w:cs="Times New Roman"/>
          <w:szCs w:val="32"/>
          <w:highlight w:val="none"/>
        </w:rPr>
        <w:t>第五章  合同主要条款格式</w:t>
      </w:r>
      <w:r>
        <w:rPr>
          <w:highlight w:val="none"/>
        </w:rPr>
        <w:tab/>
      </w:r>
      <w:r>
        <w:rPr>
          <w:highlight w:val="none"/>
        </w:rPr>
        <w:fldChar w:fldCharType="begin"/>
      </w:r>
      <w:r>
        <w:rPr>
          <w:highlight w:val="none"/>
        </w:rPr>
        <w:instrText xml:space="preserve"> PAGEREF _Toc9333 \h </w:instrText>
      </w:r>
      <w:r>
        <w:rPr>
          <w:highlight w:val="none"/>
        </w:rPr>
        <w:fldChar w:fldCharType="separate"/>
      </w:r>
      <w:r>
        <w:rPr>
          <w:highlight w:val="none"/>
        </w:rPr>
        <w:t>119</w:t>
      </w:r>
      <w:r>
        <w:rPr>
          <w:highlight w:val="none"/>
        </w:rPr>
        <w:fldChar w:fldCharType="end"/>
      </w:r>
      <w:r>
        <w:rPr>
          <w:rFonts w:ascii="Times New Roman" w:hAnsi="Times New Roman"/>
          <w:color w:val="auto"/>
          <w:szCs w:val="28"/>
          <w:highlight w:val="none"/>
        </w:rPr>
        <w:fldChar w:fldCharType="end"/>
      </w:r>
    </w:p>
    <w:p w14:paraId="0F6262B8">
      <w:pPr>
        <w:pStyle w:val="35"/>
        <w:tabs>
          <w:tab w:val="right" w:leader="dot" w:pos="9070"/>
          <w:tab w:val="clear" w:pos="8398"/>
        </w:tabs>
        <w:rPr>
          <w:highlight w:val="none"/>
        </w:rPr>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_Toc15358 </w:instrText>
      </w:r>
      <w:r>
        <w:rPr>
          <w:rFonts w:ascii="Times New Roman" w:hAnsi="Times New Roman"/>
          <w:szCs w:val="28"/>
          <w:highlight w:val="none"/>
        </w:rPr>
        <w:fldChar w:fldCharType="separate"/>
      </w:r>
      <w:r>
        <w:rPr>
          <w:rFonts w:hint="eastAsia" w:ascii="Times New Roman" w:hAnsi="Times New Roman" w:cs="Times New Roman"/>
          <w:szCs w:val="32"/>
          <w:highlight w:val="none"/>
        </w:rPr>
        <w:t>第六章  投标文件格式</w:t>
      </w:r>
      <w:r>
        <w:rPr>
          <w:highlight w:val="none"/>
        </w:rPr>
        <w:tab/>
      </w:r>
      <w:r>
        <w:rPr>
          <w:highlight w:val="none"/>
        </w:rPr>
        <w:fldChar w:fldCharType="begin"/>
      </w:r>
      <w:r>
        <w:rPr>
          <w:highlight w:val="none"/>
        </w:rPr>
        <w:instrText xml:space="preserve"> PAGEREF _Toc15358 \h </w:instrText>
      </w:r>
      <w:r>
        <w:rPr>
          <w:highlight w:val="none"/>
        </w:rPr>
        <w:fldChar w:fldCharType="separate"/>
      </w:r>
      <w:r>
        <w:rPr>
          <w:highlight w:val="none"/>
        </w:rPr>
        <w:t>140</w:t>
      </w:r>
      <w:r>
        <w:rPr>
          <w:highlight w:val="none"/>
        </w:rPr>
        <w:fldChar w:fldCharType="end"/>
      </w:r>
      <w:r>
        <w:rPr>
          <w:rFonts w:ascii="Times New Roman" w:hAnsi="Times New Roman"/>
          <w:color w:val="auto"/>
          <w:szCs w:val="28"/>
          <w:highlight w:val="none"/>
        </w:rPr>
        <w:fldChar w:fldCharType="end"/>
      </w:r>
    </w:p>
    <w:p w14:paraId="7C7AB027">
      <w:pPr>
        <w:pStyle w:val="35"/>
        <w:spacing w:before="120" w:after="120" w:line="320" w:lineRule="exact"/>
        <w:ind w:firstLine="241"/>
        <w:jc w:val="center"/>
        <w:outlineLvl w:val="0"/>
        <w:rPr>
          <w:rFonts w:ascii="Times New Roman" w:hAnsi="Times New Roman"/>
          <w:color w:val="auto"/>
          <w:sz w:val="28"/>
          <w:szCs w:val="28"/>
          <w:highlight w:val="none"/>
        </w:rPr>
      </w:pPr>
      <w:r>
        <w:rPr>
          <w:rFonts w:ascii="Times New Roman" w:hAnsi="Times New Roman"/>
          <w:color w:val="auto"/>
          <w:szCs w:val="28"/>
          <w:highlight w:val="none"/>
        </w:rPr>
        <w:fldChar w:fldCharType="end"/>
      </w:r>
    </w:p>
    <w:p w14:paraId="3995A388">
      <w:pPr>
        <w:pStyle w:val="27"/>
        <w:tabs>
          <w:tab w:val="right" w:leader="dot" w:pos="8398"/>
        </w:tabs>
        <w:spacing w:before="120" w:after="120" w:line="320" w:lineRule="exact"/>
        <w:ind w:firstLine="241"/>
        <w:jc w:val="center"/>
        <w:outlineLvl w:val="0"/>
        <w:rPr>
          <w:color w:val="auto"/>
          <w:sz w:val="28"/>
          <w:szCs w:val="28"/>
          <w:highlight w:val="none"/>
        </w:rPr>
      </w:pPr>
    </w:p>
    <w:p w14:paraId="7FE25B83">
      <w:pPr>
        <w:spacing w:before="120" w:line="480" w:lineRule="exact"/>
        <w:rPr>
          <w:color w:val="auto"/>
          <w:sz w:val="30"/>
          <w:highlight w:val="none"/>
        </w:rPr>
        <w:sectPr>
          <w:headerReference r:id="rId6" w:type="first"/>
          <w:footerReference r:id="rId7" w:type="first"/>
          <w:pgSz w:w="11906" w:h="16838"/>
          <w:pgMar w:top="1644" w:right="1418" w:bottom="1587" w:left="1418" w:header="851" w:footer="992" w:gutter="0"/>
          <w:pgNumType w:start="0"/>
          <w:cols w:space="720" w:num="1"/>
          <w:titlePg/>
        </w:sectPr>
      </w:pPr>
    </w:p>
    <w:p w14:paraId="16B04F1B">
      <w:pPr>
        <w:pStyle w:val="27"/>
        <w:spacing w:before="120" w:after="120" w:line="320" w:lineRule="exact"/>
        <w:jc w:val="center"/>
        <w:outlineLvl w:val="0"/>
        <w:rPr>
          <w:rFonts w:ascii="Times New Roman" w:hAnsi="Times New Roman" w:cs="Times New Roman"/>
          <w:color w:val="auto"/>
          <w:sz w:val="32"/>
          <w:szCs w:val="32"/>
          <w:highlight w:val="none"/>
        </w:rPr>
      </w:pPr>
      <w:bookmarkStart w:id="8" w:name="_Toc254970630"/>
      <w:bookmarkStart w:id="9" w:name="_Toc254970489"/>
      <w:bookmarkStart w:id="10" w:name="_Toc4011"/>
      <w:r>
        <w:rPr>
          <w:rFonts w:ascii="Times New Roman" w:hAnsi="Times New Roman" w:cs="Times New Roman"/>
          <w:color w:val="auto"/>
          <w:sz w:val="32"/>
          <w:szCs w:val="32"/>
          <w:highlight w:val="none"/>
        </w:rPr>
        <w:t xml:space="preserve">第一章  </w:t>
      </w:r>
      <w:bookmarkEnd w:id="8"/>
      <w:bookmarkEnd w:id="9"/>
      <w:r>
        <w:rPr>
          <w:rFonts w:ascii="Times New Roman" w:hAnsi="Times New Roman" w:cs="Times New Roman"/>
          <w:color w:val="auto"/>
          <w:sz w:val="32"/>
          <w:szCs w:val="32"/>
          <w:highlight w:val="none"/>
        </w:rPr>
        <w:t>招标公告</w:t>
      </w:r>
      <w:bookmarkEnd w:id="10"/>
    </w:p>
    <w:p w14:paraId="4153AF57">
      <w:pPr>
        <w:keepNext w:val="0"/>
        <w:keepLines w:val="0"/>
        <w:pageBreakBefore w:val="0"/>
        <w:widowControl w:val="0"/>
        <w:bidi w:val="0"/>
        <w:spacing w:line="400" w:lineRule="exact"/>
        <w:jc w:val="center"/>
        <w:rPr>
          <w:rFonts w:hint="eastAsia" w:asciiTheme="majorEastAsia" w:hAnsiTheme="majorEastAsia" w:eastAsiaTheme="majorEastAsia" w:cstheme="majorEastAsia"/>
          <w:b/>
          <w:bCs/>
          <w:color w:val="auto"/>
          <w:sz w:val="24"/>
          <w:highlight w:val="none"/>
          <w:lang w:val="en-US" w:eastAsia="zh-CN"/>
        </w:rPr>
      </w:pPr>
      <w:r>
        <w:rPr>
          <w:b/>
          <w:bCs/>
          <w:color w:val="auto"/>
          <w:sz w:val="24"/>
          <w:highlight w:val="none"/>
        </w:rPr>
        <w:t>广西</w:t>
      </w:r>
      <w:r>
        <w:rPr>
          <w:rFonts w:hint="eastAsia" w:asciiTheme="majorEastAsia" w:hAnsiTheme="majorEastAsia" w:eastAsiaTheme="majorEastAsia" w:cstheme="majorEastAsia"/>
          <w:b/>
          <w:bCs/>
          <w:color w:val="auto"/>
          <w:sz w:val="24"/>
          <w:highlight w:val="none"/>
        </w:rPr>
        <w:t>机电设备招标有限公司关于</w:t>
      </w:r>
      <w:r>
        <w:rPr>
          <w:rFonts w:hint="eastAsia" w:asciiTheme="majorEastAsia" w:hAnsiTheme="majorEastAsia" w:eastAsiaTheme="majorEastAsia" w:cstheme="majorEastAsia"/>
          <w:b/>
          <w:bCs/>
          <w:color w:val="auto"/>
          <w:sz w:val="24"/>
          <w:highlight w:val="none"/>
          <w:lang w:eastAsia="zh-CN"/>
        </w:rPr>
        <w:t>北海市中医医院检验设备、麻醉系统采购项目</w:t>
      </w:r>
      <w:r>
        <w:rPr>
          <w:rFonts w:hint="eastAsia" w:asciiTheme="majorEastAsia" w:hAnsiTheme="majorEastAsia" w:eastAsiaTheme="majorEastAsia" w:cstheme="majorEastAsia"/>
          <w:b/>
          <w:bCs/>
          <w:color w:val="auto"/>
          <w:sz w:val="24"/>
          <w:highlight w:val="none"/>
        </w:rPr>
        <w:t xml:space="preserve"> </w:t>
      </w:r>
      <w:r>
        <w:rPr>
          <w:rFonts w:hint="eastAsia" w:eastAsia="宋体" w:asciiTheme="majorEastAsia" w:hAnsiTheme="majorEastAsia" w:cstheme="majorEastAsia"/>
          <w:b/>
          <w:bCs/>
          <w:color w:val="auto"/>
          <w:sz w:val="24"/>
          <w:highlight w:val="none"/>
          <w:lang w:eastAsia="zh-CN"/>
        </w:rPr>
        <w:t>（</w:t>
      </w:r>
      <w:r>
        <w:rPr>
          <w:rFonts w:hint="eastAsia" w:asciiTheme="majorEastAsia" w:hAnsiTheme="majorEastAsia" w:eastAsiaTheme="majorEastAsia" w:cstheme="majorEastAsia"/>
          <w:b/>
          <w:bCs/>
          <w:color w:val="auto"/>
          <w:sz w:val="24"/>
          <w:highlight w:val="none"/>
          <w:lang w:val="en-US" w:eastAsia="zh-CN"/>
        </w:rPr>
        <w:t>项目编号：BHZC2026-G1-990205-JDZB）</w:t>
      </w:r>
      <w:r>
        <w:rPr>
          <w:rFonts w:hint="eastAsia" w:asciiTheme="majorEastAsia" w:hAnsiTheme="majorEastAsia" w:eastAsiaTheme="majorEastAsia" w:cstheme="majorEastAsia"/>
          <w:b/>
          <w:bCs/>
          <w:color w:val="auto"/>
          <w:sz w:val="24"/>
          <w:highlight w:val="none"/>
        </w:rPr>
        <w:t>公开招标公告</w:t>
      </w:r>
      <w:r>
        <w:rPr>
          <w:rFonts w:hint="eastAsia" w:eastAsia="宋体" w:asciiTheme="majorEastAsia" w:hAnsiTheme="majorEastAsia" w:cstheme="majorEastAsia"/>
          <w:b/>
          <w:bCs/>
          <w:color w:val="auto"/>
          <w:sz w:val="24"/>
          <w:highlight w:val="none"/>
          <w:lang w:eastAsia="zh-CN"/>
        </w:rPr>
        <w:t>（</w:t>
      </w:r>
      <w:r>
        <w:rPr>
          <w:rFonts w:hint="eastAsia" w:asciiTheme="majorEastAsia" w:hAnsiTheme="majorEastAsia" w:eastAsiaTheme="majorEastAsia" w:cstheme="majorEastAsia"/>
          <w:b/>
          <w:bCs/>
          <w:color w:val="auto"/>
          <w:sz w:val="24"/>
          <w:highlight w:val="none"/>
          <w:lang w:val="en-US" w:eastAsia="zh-CN"/>
        </w:rPr>
        <w:t>远程异地评标）</w:t>
      </w:r>
    </w:p>
    <w:p w14:paraId="4CB79184">
      <w:pPr>
        <w:ind w:firstLine="409"/>
        <w:jc w:val="left"/>
        <w:rPr>
          <w:color w:val="auto"/>
          <w:szCs w:val="21"/>
          <w:highlight w:val="none"/>
        </w:rPr>
      </w:pPr>
    </w:p>
    <w:p w14:paraId="5B9F24E4">
      <w:pPr>
        <w:pBdr>
          <w:top w:val="single" w:color="000000" w:sz="4" w:space="1"/>
          <w:left w:val="single" w:color="000000" w:sz="4" w:space="4"/>
          <w:bottom w:val="single" w:color="000000" w:sz="4" w:space="1"/>
          <w:right w:val="single" w:color="000000" w:sz="4" w:space="4"/>
        </w:pBdr>
        <w:spacing w:line="400" w:lineRule="exact"/>
        <w:ind w:firstLine="420"/>
        <w:rPr>
          <w:rFonts w:hint="eastAsia" w:ascii="宋体" w:hAnsi="宋体"/>
          <w:color w:val="auto"/>
          <w:szCs w:val="21"/>
          <w:highlight w:val="none"/>
        </w:rPr>
      </w:pPr>
      <w:bookmarkStart w:id="11" w:name="_Hlk132795121"/>
      <w:r>
        <w:rPr>
          <w:rFonts w:hint="eastAsia" w:ascii="宋体" w:hAnsi="宋体"/>
          <w:color w:val="auto"/>
          <w:szCs w:val="21"/>
          <w:highlight w:val="none"/>
        </w:rPr>
        <w:t>项目概况</w:t>
      </w:r>
    </w:p>
    <w:p w14:paraId="02A62B54">
      <w:pPr>
        <w:pBdr>
          <w:top w:val="single" w:color="000000" w:sz="4" w:space="1"/>
          <w:left w:val="single" w:color="000000" w:sz="4" w:space="4"/>
          <w:bottom w:val="single" w:color="000000" w:sz="4" w:space="1"/>
          <w:right w:val="single" w:color="000000" w:sz="4" w:space="4"/>
        </w:pBdr>
        <w:spacing w:line="400" w:lineRule="exact"/>
        <w:ind w:firstLine="420"/>
        <w:rPr>
          <w:rFonts w:hAnsi="宋体"/>
          <w:color w:val="auto"/>
          <w:szCs w:val="21"/>
          <w:highlight w:val="none"/>
        </w:rPr>
      </w:pPr>
      <w:r>
        <w:rPr>
          <w:rFonts w:hint="eastAsia" w:ascii="宋体" w:hAnsi="宋体"/>
          <w:color w:val="auto"/>
          <w:szCs w:val="21"/>
          <w:highlight w:val="none"/>
          <w:lang w:eastAsia="zh-CN"/>
        </w:rPr>
        <w:t>北海市中医医院检验设备、麻醉系统采购项目</w:t>
      </w:r>
      <w:r>
        <w:rPr>
          <w:rFonts w:hint="eastAsia" w:ascii="宋体" w:hAnsi="宋体"/>
          <w:color w:val="auto"/>
          <w:szCs w:val="21"/>
          <w:highlight w:val="none"/>
        </w:rPr>
        <w:t>的潜在供应商应在</w:t>
      </w:r>
      <w:bookmarkStart w:id="12" w:name="_Hlk160178031"/>
      <w:r>
        <w:rPr>
          <w:rFonts w:hint="eastAsia"/>
          <w:color w:val="auto"/>
          <w:szCs w:val="21"/>
          <w:highlight w:val="none"/>
        </w:rPr>
        <w:t>广西政府采购云平台</w:t>
      </w:r>
      <w:bookmarkStart w:id="13" w:name="_Hlk160186238"/>
      <w:r>
        <w:rPr>
          <w:rFonts w:hint="eastAsia"/>
          <w:color w:val="auto"/>
          <w:szCs w:val="21"/>
          <w:highlight w:val="none"/>
        </w:rPr>
        <w:t>（</w:t>
      </w:r>
      <w:r>
        <w:rPr>
          <w:color w:val="auto"/>
          <w:szCs w:val="21"/>
          <w:highlight w:val="none"/>
        </w:rPr>
        <w:t>https://www.gcy.zfcg.gxzf.gov.cn/</w:t>
      </w:r>
      <w:r>
        <w:rPr>
          <w:rFonts w:hint="eastAsia"/>
          <w:color w:val="auto"/>
          <w:szCs w:val="21"/>
          <w:highlight w:val="none"/>
        </w:rPr>
        <w:t>）</w:t>
      </w:r>
      <w:bookmarkEnd w:id="12"/>
      <w:bookmarkEnd w:id="13"/>
      <w:r>
        <w:rPr>
          <w:rFonts w:hint="eastAsia" w:ascii="宋体" w:hAnsi="宋体"/>
          <w:color w:val="auto"/>
          <w:szCs w:val="21"/>
          <w:highlight w:val="none"/>
        </w:rPr>
        <w:t xml:space="preserve">获取招标文件，并于 </w:t>
      </w:r>
      <w:r>
        <w:rPr>
          <w:rFonts w:hint="eastAsia" w:ascii="宋体" w:hAnsi="宋体"/>
          <w:color w:val="auto"/>
          <w:szCs w:val="21"/>
          <w:highlight w:val="none"/>
          <w:lang w:eastAsia="zh-CN"/>
        </w:rPr>
        <w:t>2026年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r>
        <w:rPr>
          <w:rFonts w:hint="eastAsia" w:ascii="宋体" w:hAnsi="宋体"/>
          <w:color w:val="auto"/>
          <w:szCs w:val="21"/>
          <w:highlight w:val="none"/>
        </w:rPr>
        <w:t xml:space="preserve"> 09:00（北京时间）前递交投标文件。</w:t>
      </w:r>
      <w:bookmarkEnd w:id="11"/>
      <w:r>
        <w:rPr>
          <w:rFonts w:ascii="宋体" w:hAnsi="宋体"/>
          <w:color w:val="auto"/>
          <w:szCs w:val="21"/>
          <w:highlight w:val="none"/>
        </w:rPr>
        <w:t>        </w:t>
      </w:r>
    </w:p>
    <w:p w14:paraId="3493CA9E">
      <w:pPr>
        <w:spacing w:line="312" w:lineRule="auto"/>
        <w:jc w:val="left"/>
        <w:rPr>
          <w:color w:val="auto"/>
          <w:szCs w:val="21"/>
          <w:highlight w:val="none"/>
        </w:rPr>
      </w:pPr>
    </w:p>
    <w:p w14:paraId="0500AD12">
      <w:pPr>
        <w:spacing w:line="360" w:lineRule="auto"/>
        <w:ind w:firstLine="442"/>
        <w:jc w:val="left"/>
        <w:rPr>
          <w:b/>
          <w:bCs/>
          <w:color w:val="auto"/>
          <w:sz w:val="22"/>
          <w:szCs w:val="22"/>
          <w:highlight w:val="none"/>
        </w:rPr>
      </w:pPr>
      <w:r>
        <w:rPr>
          <w:rFonts w:hint="eastAsia"/>
          <w:b/>
          <w:bCs/>
          <w:color w:val="auto"/>
          <w:sz w:val="22"/>
          <w:szCs w:val="22"/>
          <w:highlight w:val="none"/>
        </w:rPr>
        <w:t>一、项目基本情况</w:t>
      </w:r>
    </w:p>
    <w:p w14:paraId="67921845">
      <w:pPr>
        <w:spacing w:line="360" w:lineRule="auto"/>
        <w:ind w:firstLine="420"/>
        <w:jc w:val="left"/>
        <w:rPr>
          <w:color w:val="auto"/>
          <w:szCs w:val="21"/>
          <w:highlight w:val="none"/>
        </w:rPr>
      </w:pPr>
      <w:r>
        <w:rPr>
          <w:color w:val="auto"/>
          <w:szCs w:val="21"/>
          <w:highlight w:val="none"/>
        </w:rPr>
        <w:t>项目编号：</w:t>
      </w:r>
      <w:r>
        <w:rPr>
          <w:rFonts w:hint="eastAsia"/>
          <w:color w:val="auto"/>
          <w:szCs w:val="21"/>
          <w:highlight w:val="none"/>
          <w:lang w:eastAsia="zh-CN"/>
        </w:rPr>
        <w:t>BHZC2026-G1-990205-JDZB</w:t>
      </w:r>
      <w:r>
        <w:rPr>
          <w:rFonts w:hint="eastAsia"/>
          <w:color w:val="auto"/>
          <w:szCs w:val="21"/>
          <w:highlight w:val="none"/>
        </w:rPr>
        <w:t xml:space="preserve"> </w:t>
      </w:r>
    </w:p>
    <w:p w14:paraId="366C483E">
      <w:pPr>
        <w:spacing w:line="360" w:lineRule="auto"/>
        <w:ind w:firstLine="420"/>
        <w:jc w:val="left"/>
        <w:rPr>
          <w:rFonts w:hint="eastAsia" w:eastAsia="宋体"/>
          <w:color w:val="auto"/>
          <w:szCs w:val="21"/>
          <w:highlight w:val="none"/>
          <w:lang w:eastAsia="zh-CN"/>
        </w:rPr>
      </w:pPr>
      <w:r>
        <w:rPr>
          <w:color w:val="auto"/>
          <w:szCs w:val="21"/>
          <w:highlight w:val="none"/>
        </w:rPr>
        <w:t>项目名称：</w:t>
      </w:r>
      <w:r>
        <w:rPr>
          <w:rFonts w:hint="eastAsia"/>
          <w:color w:val="auto"/>
          <w:szCs w:val="21"/>
          <w:highlight w:val="none"/>
          <w:lang w:eastAsia="zh-CN"/>
        </w:rPr>
        <w:t>北海市中医医院检验设备、麻醉系统采购项目</w:t>
      </w:r>
    </w:p>
    <w:p w14:paraId="50108A94">
      <w:pPr>
        <w:spacing w:line="360" w:lineRule="auto"/>
        <w:ind w:firstLine="420"/>
        <w:jc w:val="left"/>
        <w:rPr>
          <w:rFonts w:hint="eastAsia"/>
          <w:color w:val="auto"/>
          <w:szCs w:val="21"/>
          <w:highlight w:val="none"/>
          <w:lang w:val="en-US" w:eastAsia="zh-CN"/>
        </w:rPr>
      </w:pPr>
      <w:r>
        <w:rPr>
          <w:color w:val="auto"/>
          <w:szCs w:val="21"/>
          <w:highlight w:val="none"/>
        </w:rPr>
        <w:t>预算</w:t>
      </w:r>
      <w:r>
        <w:rPr>
          <w:rFonts w:hint="eastAsia"/>
          <w:color w:val="auto"/>
          <w:szCs w:val="21"/>
          <w:highlight w:val="none"/>
        </w:rPr>
        <w:t>总</w:t>
      </w:r>
      <w:r>
        <w:rPr>
          <w:color w:val="auto"/>
          <w:szCs w:val="21"/>
          <w:highlight w:val="none"/>
        </w:rPr>
        <w:t>金额</w:t>
      </w:r>
      <w:r>
        <w:rPr>
          <w:rFonts w:hint="eastAsia"/>
          <w:color w:val="auto"/>
          <w:szCs w:val="21"/>
          <w:highlight w:val="none"/>
        </w:rPr>
        <w:t>（元）</w:t>
      </w:r>
      <w:r>
        <w:rPr>
          <w:color w:val="auto"/>
          <w:szCs w:val="21"/>
          <w:highlight w:val="none"/>
        </w:rPr>
        <w:t>：</w:t>
      </w:r>
      <w:r>
        <w:rPr>
          <w:rFonts w:hint="eastAsia"/>
          <w:color w:val="auto"/>
          <w:szCs w:val="21"/>
          <w:highlight w:val="none"/>
          <w:lang w:val="en-US" w:eastAsia="zh-CN"/>
        </w:rPr>
        <w:t>17800000.00</w:t>
      </w:r>
    </w:p>
    <w:p w14:paraId="6CE49F67">
      <w:pPr>
        <w:spacing w:line="360" w:lineRule="auto"/>
        <w:ind w:firstLine="420"/>
        <w:jc w:val="left"/>
        <w:rPr>
          <w:color w:val="auto"/>
          <w:szCs w:val="21"/>
          <w:highlight w:val="none"/>
        </w:rPr>
      </w:pPr>
      <w:r>
        <w:rPr>
          <w:rFonts w:hint="eastAsia"/>
          <w:color w:val="auto"/>
          <w:szCs w:val="21"/>
          <w:highlight w:val="none"/>
        </w:rPr>
        <w:t>采购需求</w:t>
      </w:r>
      <w:r>
        <w:rPr>
          <w:color w:val="auto"/>
          <w:szCs w:val="21"/>
          <w:highlight w:val="none"/>
        </w:rPr>
        <w:t>：</w:t>
      </w:r>
    </w:p>
    <w:p w14:paraId="70EE3810">
      <w:pPr>
        <w:spacing w:line="360" w:lineRule="auto"/>
        <w:ind w:firstLine="422"/>
        <w:jc w:val="left"/>
        <w:rPr>
          <w:rFonts w:hint="eastAsia"/>
          <w:b/>
          <w:bCs/>
          <w:color w:val="auto"/>
          <w:szCs w:val="21"/>
          <w:highlight w:val="none"/>
        </w:rPr>
      </w:pPr>
      <w:r>
        <w:rPr>
          <w:rFonts w:hint="eastAsia"/>
          <w:b/>
          <w:bCs/>
          <w:color w:val="auto"/>
          <w:szCs w:val="21"/>
          <w:highlight w:val="none"/>
        </w:rPr>
        <w:t>标项一</w:t>
      </w:r>
    </w:p>
    <w:p w14:paraId="5EF81783">
      <w:pPr>
        <w:spacing w:line="360" w:lineRule="auto"/>
        <w:ind w:firstLine="420"/>
        <w:jc w:val="left"/>
        <w:rPr>
          <w:rFonts w:hint="default" w:eastAsia="宋体"/>
          <w:color w:val="auto"/>
          <w:szCs w:val="21"/>
          <w:highlight w:val="none"/>
          <w:lang w:val="en-US" w:eastAsia="zh-CN"/>
        </w:rPr>
      </w:pPr>
      <w:r>
        <w:rPr>
          <w:rFonts w:hint="eastAsia"/>
          <w:color w:val="auto"/>
          <w:szCs w:val="21"/>
          <w:highlight w:val="none"/>
        </w:rPr>
        <w:t>标项名称：</w:t>
      </w:r>
      <w:r>
        <w:rPr>
          <w:rFonts w:hint="eastAsia"/>
          <w:color w:val="auto"/>
          <w:szCs w:val="21"/>
          <w:highlight w:val="none"/>
          <w:lang w:val="en-US" w:eastAsia="zh-CN"/>
        </w:rPr>
        <w:t>检验设备一套</w:t>
      </w:r>
    </w:p>
    <w:p w14:paraId="58D9DAAA">
      <w:pPr>
        <w:spacing w:line="360" w:lineRule="auto"/>
        <w:ind w:firstLine="420"/>
        <w:jc w:val="left"/>
        <w:rPr>
          <w:rFonts w:hint="eastAsia"/>
          <w:color w:val="auto"/>
          <w:szCs w:val="21"/>
          <w:highlight w:val="none"/>
          <w:lang w:val="en-US" w:eastAsia="zh-CN"/>
        </w:rPr>
      </w:pPr>
      <w:r>
        <w:rPr>
          <w:rFonts w:hint="eastAsia"/>
          <w:color w:val="auto"/>
          <w:szCs w:val="21"/>
          <w:highlight w:val="none"/>
        </w:rPr>
        <w:t>数量：</w:t>
      </w:r>
      <w:r>
        <w:rPr>
          <w:rFonts w:hint="eastAsia"/>
          <w:color w:val="auto"/>
          <w:szCs w:val="21"/>
          <w:highlight w:val="none"/>
          <w:lang w:val="en-US" w:eastAsia="zh-CN"/>
        </w:rPr>
        <w:t>1</w:t>
      </w:r>
    </w:p>
    <w:p w14:paraId="65381572">
      <w:pPr>
        <w:spacing w:line="360" w:lineRule="auto"/>
        <w:ind w:firstLine="420"/>
        <w:jc w:val="left"/>
        <w:rPr>
          <w:rFonts w:hint="default" w:eastAsia="宋体"/>
          <w:color w:val="auto"/>
          <w:szCs w:val="21"/>
          <w:highlight w:val="none"/>
          <w:lang w:val="en-US" w:eastAsia="zh-CN"/>
        </w:rPr>
      </w:pPr>
      <w:r>
        <w:rPr>
          <w:rFonts w:hint="eastAsia"/>
          <w:color w:val="auto"/>
          <w:szCs w:val="21"/>
          <w:highlight w:val="none"/>
        </w:rPr>
        <w:t>预算金额（元）：</w:t>
      </w:r>
      <w:r>
        <w:rPr>
          <w:rFonts w:hint="eastAsia" w:cs="Times New Roman"/>
          <w:color w:val="auto"/>
          <w:szCs w:val="21"/>
          <w:highlight w:val="none"/>
          <w:lang w:val="en-US" w:eastAsia="zh-CN"/>
        </w:rPr>
        <w:t>8800000.00</w:t>
      </w:r>
    </w:p>
    <w:p w14:paraId="5D9E6832">
      <w:pPr>
        <w:spacing w:line="360" w:lineRule="auto"/>
        <w:ind w:firstLine="420"/>
        <w:jc w:val="left"/>
        <w:rPr>
          <w:color w:val="auto"/>
          <w:szCs w:val="21"/>
          <w:highlight w:val="none"/>
        </w:rPr>
      </w:pPr>
      <w:r>
        <w:rPr>
          <w:rFonts w:hint="eastAsia"/>
          <w:color w:val="auto"/>
          <w:szCs w:val="21"/>
          <w:highlight w:val="none"/>
        </w:rPr>
        <w:t>简要规格描述或项目基本概况介绍、用途：</w:t>
      </w:r>
      <w:r>
        <w:rPr>
          <w:rFonts w:hint="eastAsia"/>
          <w:color w:val="auto"/>
          <w:szCs w:val="21"/>
          <w:highlight w:val="none"/>
          <w:lang w:val="en-US" w:eastAsia="zh-CN"/>
        </w:rPr>
        <w:t>采购检验设备一套</w:t>
      </w:r>
      <w:r>
        <w:rPr>
          <w:rFonts w:hint="eastAsia"/>
          <w:color w:val="auto"/>
          <w:szCs w:val="21"/>
          <w:highlight w:val="none"/>
          <w:lang w:eastAsia="zh-CN"/>
        </w:rPr>
        <w:t>；</w:t>
      </w:r>
      <w:r>
        <w:rPr>
          <w:rFonts w:hint="eastAsia"/>
          <w:color w:val="auto"/>
          <w:szCs w:val="21"/>
          <w:highlight w:val="none"/>
        </w:rPr>
        <w:t>如需进一步了解详细内容， 详见招标文件采购需求。</w:t>
      </w:r>
    </w:p>
    <w:p w14:paraId="33DD531D">
      <w:pPr>
        <w:spacing w:line="360" w:lineRule="auto"/>
        <w:ind w:firstLine="420"/>
        <w:jc w:val="left"/>
        <w:rPr>
          <w:rFonts w:hint="eastAsia"/>
          <w:color w:val="auto"/>
          <w:szCs w:val="21"/>
          <w:highlight w:val="none"/>
        </w:rPr>
      </w:pPr>
      <w:r>
        <w:rPr>
          <w:rFonts w:hint="eastAsia"/>
          <w:color w:val="auto"/>
          <w:szCs w:val="21"/>
          <w:highlight w:val="none"/>
        </w:rPr>
        <w:t>最高限价：</w:t>
      </w:r>
      <w:r>
        <w:rPr>
          <w:rFonts w:hint="eastAsia" w:ascii="Times New Roman" w:hAnsi="Times New Roman" w:eastAsia="宋体" w:cs="Times New Roman"/>
          <w:color w:val="auto"/>
          <w:szCs w:val="21"/>
          <w:highlight w:val="none"/>
          <w:lang w:val="en-US" w:eastAsia="zh-CN"/>
        </w:rPr>
        <w:t>8800000.00</w:t>
      </w:r>
    </w:p>
    <w:p w14:paraId="36043301">
      <w:pPr>
        <w:spacing w:line="360" w:lineRule="auto"/>
        <w:ind w:firstLine="420"/>
        <w:jc w:val="left"/>
        <w:rPr>
          <w:color w:val="auto"/>
          <w:highlight w:val="none"/>
        </w:rPr>
      </w:pPr>
      <w:r>
        <w:rPr>
          <w:rFonts w:hint="eastAsia"/>
          <w:color w:val="auto"/>
          <w:szCs w:val="21"/>
          <w:highlight w:val="none"/>
        </w:rPr>
        <w:t>合同履行期限：</w:t>
      </w:r>
      <w:r>
        <w:rPr>
          <w:rFonts w:hint="eastAsia" w:ascii="宋体" w:hAnsi="宋体" w:cs="宋体"/>
          <w:sz w:val="21"/>
          <w:szCs w:val="21"/>
          <w:highlight w:val="none"/>
          <w:lang w:val="en-US" w:eastAsia="zh-CN"/>
        </w:rPr>
        <w:t xml:space="preserve">自签订合同之日起30日内全部安装调试合格并交付使用。 </w:t>
      </w:r>
    </w:p>
    <w:p w14:paraId="3C450A66">
      <w:pPr>
        <w:spacing w:line="360" w:lineRule="auto"/>
        <w:ind w:firstLine="420"/>
        <w:jc w:val="left"/>
        <w:rPr>
          <w:color w:val="auto"/>
          <w:szCs w:val="21"/>
          <w:highlight w:val="none"/>
        </w:rPr>
      </w:pPr>
      <w:r>
        <w:rPr>
          <w:rFonts w:hint="eastAsia"/>
          <w:color w:val="auto"/>
          <w:szCs w:val="21"/>
          <w:highlight w:val="none"/>
        </w:rPr>
        <w:t>本项目（否）接受联合体投标。</w:t>
      </w:r>
    </w:p>
    <w:p w14:paraId="5D3520E6">
      <w:pPr>
        <w:spacing w:line="360" w:lineRule="auto"/>
        <w:ind w:firstLine="420"/>
        <w:jc w:val="left"/>
        <w:rPr>
          <w:rFonts w:ascii="Arial" w:hAnsi="Arial" w:cs="Arial"/>
          <w:color w:val="auto"/>
          <w:szCs w:val="21"/>
          <w:highlight w:val="none"/>
        </w:rPr>
      </w:pPr>
      <w:r>
        <w:rPr>
          <w:rFonts w:ascii="Arial" w:hAnsi="Arial" w:cs="Arial"/>
          <w:color w:val="auto"/>
          <w:szCs w:val="21"/>
          <w:highlight w:val="none"/>
        </w:rPr>
        <w:t>备注：</w:t>
      </w:r>
    </w:p>
    <w:p w14:paraId="4B64470F">
      <w:pPr>
        <w:spacing w:line="360" w:lineRule="auto"/>
        <w:ind w:firstLine="422"/>
        <w:jc w:val="left"/>
        <w:rPr>
          <w:rFonts w:hint="eastAsia" w:eastAsia="宋体"/>
          <w:b/>
          <w:bCs/>
          <w:color w:val="auto"/>
          <w:szCs w:val="21"/>
          <w:highlight w:val="none"/>
          <w:lang w:eastAsia="zh-CN"/>
        </w:rPr>
      </w:pPr>
      <w:r>
        <w:rPr>
          <w:rFonts w:hint="eastAsia"/>
          <w:b/>
          <w:bCs/>
          <w:color w:val="auto"/>
          <w:szCs w:val="21"/>
          <w:highlight w:val="none"/>
        </w:rPr>
        <w:t>标项</w:t>
      </w:r>
      <w:r>
        <w:rPr>
          <w:rFonts w:hint="eastAsia"/>
          <w:b/>
          <w:bCs/>
          <w:color w:val="auto"/>
          <w:szCs w:val="21"/>
          <w:highlight w:val="none"/>
          <w:lang w:eastAsia="zh-CN"/>
        </w:rPr>
        <w:t>二</w:t>
      </w:r>
    </w:p>
    <w:p w14:paraId="13806D83">
      <w:pPr>
        <w:spacing w:line="360" w:lineRule="auto"/>
        <w:ind w:firstLine="420"/>
        <w:jc w:val="left"/>
        <w:rPr>
          <w:rFonts w:hint="default" w:eastAsia="宋体"/>
          <w:color w:val="auto"/>
          <w:szCs w:val="21"/>
          <w:highlight w:val="none"/>
          <w:lang w:val="en-US" w:eastAsia="zh-CN"/>
        </w:rPr>
      </w:pPr>
      <w:r>
        <w:rPr>
          <w:rFonts w:hint="eastAsia"/>
          <w:color w:val="auto"/>
          <w:szCs w:val="21"/>
          <w:highlight w:val="none"/>
        </w:rPr>
        <w:t>标项名称：麻醉系统</w:t>
      </w:r>
      <w:r>
        <w:rPr>
          <w:rFonts w:hint="eastAsia"/>
          <w:color w:val="auto"/>
          <w:szCs w:val="21"/>
          <w:highlight w:val="none"/>
          <w:lang w:val="en-US" w:eastAsia="zh-CN"/>
        </w:rPr>
        <w:t>一套</w:t>
      </w:r>
    </w:p>
    <w:p w14:paraId="4FDEFDF8">
      <w:pPr>
        <w:spacing w:line="360" w:lineRule="auto"/>
        <w:ind w:firstLine="420"/>
        <w:jc w:val="left"/>
        <w:rPr>
          <w:rFonts w:hint="eastAsia"/>
          <w:color w:val="auto"/>
          <w:szCs w:val="21"/>
          <w:highlight w:val="none"/>
          <w:lang w:val="en-US" w:eastAsia="zh-CN"/>
        </w:rPr>
      </w:pPr>
      <w:r>
        <w:rPr>
          <w:rFonts w:hint="eastAsia"/>
          <w:color w:val="auto"/>
          <w:szCs w:val="21"/>
          <w:highlight w:val="none"/>
        </w:rPr>
        <w:t>数量：</w:t>
      </w:r>
      <w:r>
        <w:rPr>
          <w:rFonts w:hint="eastAsia"/>
          <w:color w:val="auto"/>
          <w:szCs w:val="21"/>
          <w:highlight w:val="none"/>
          <w:lang w:val="en-US" w:eastAsia="zh-CN"/>
        </w:rPr>
        <w:t>1</w:t>
      </w:r>
    </w:p>
    <w:p w14:paraId="4B641623">
      <w:pPr>
        <w:spacing w:line="360" w:lineRule="auto"/>
        <w:ind w:firstLine="420"/>
        <w:jc w:val="left"/>
        <w:rPr>
          <w:rFonts w:hint="default" w:eastAsia="宋体"/>
          <w:color w:val="auto"/>
          <w:szCs w:val="21"/>
          <w:highlight w:val="none"/>
          <w:lang w:val="en-US" w:eastAsia="zh-CN"/>
        </w:rPr>
      </w:pPr>
      <w:r>
        <w:rPr>
          <w:rFonts w:hint="eastAsia"/>
          <w:color w:val="auto"/>
          <w:szCs w:val="21"/>
          <w:highlight w:val="none"/>
        </w:rPr>
        <w:t>预算金额（元）：</w:t>
      </w:r>
      <w:r>
        <w:rPr>
          <w:rFonts w:hint="eastAsia"/>
          <w:color w:val="auto"/>
          <w:szCs w:val="21"/>
          <w:highlight w:val="none"/>
          <w:lang w:val="en-US" w:eastAsia="zh-CN"/>
        </w:rPr>
        <w:t>9000000.00</w:t>
      </w:r>
    </w:p>
    <w:p w14:paraId="41B1B2C8">
      <w:pPr>
        <w:spacing w:line="360" w:lineRule="auto"/>
        <w:ind w:firstLine="420"/>
        <w:jc w:val="left"/>
        <w:rPr>
          <w:color w:val="auto"/>
          <w:szCs w:val="21"/>
          <w:highlight w:val="none"/>
        </w:rPr>
      </w:pPr>
      <w:r>
        <w:rPr>
          <w:rFonts w:hint="eastAsia"/>
          <w:color w:val="auto"/>
          <w:szCs w:val="21"/>
          <w:highlight w:val="none"/>
        </w:rPr>
        <w:t>简要规格描述或项目基本概况介绍、用途：</w:t>
      </w:r>
      <w:r>
        <w:rPr>
          <w:rFonts w:hint="eastAsia"/>
          <w:color w:val="auto"/>
          <w:szCs w:val="21"/>
          <w:highlight w:val="none"/>
          <w:lang w:val="en-US" w:eastAsia="zh-CN"/>
        </w:rPr>
        <w:t>采购</w:t>
      </w:r>
      <w:r>
        <w:rPr>
          <w:rFonts w:hint="eastAsia"/>
          <w:color w:val="auto"/>
          <w:szCs w:val="21"/>
          <w:highlight w:val="none"/>
        </w:rPr>
        <w:t>麻醉系统</w:t>
      </w:r>
      <w:r>
        <w:rPr>
          <w:rFonts w:hint="eastAsia"/>
          <w:color w:val="auto"/>
          <w:szCs w:val="21"/>
          <w:highlight w:val="none"/>
          <w:lang w:val="en-US" w:eastAsia="zh-CN"/>
        </w:rPr>
        <w:t>一套；</w:t>
      </w:r>
      <w:r>
        <w:rPr>
          <w:rFonts w:hint="eastAsia"/>
          <w:color w:val="auto"/>
          <w:szCs w:val="21"/>
          <w:highlight w:val="none"/>
        </w:rPr>
        <w:t>如需进一步了解详细内容， 详见招标文件采购需求。</w:t>
      </w:r>
    </w:p>
    <w:p w14:paraId="0A8273F9">
      <w:pPr>
        <w:spacing w:line="360" w:lineRule="auto"/>
        <w:ind w:firstLine="420"/>
        <w:jc w:val="left"/>
        <w:rPr>
          <w:rFonts w:hint="default" w:eastAsia="宋体"/>
          <w:color w:val="auto"/>
          <w:szCs w:val="21"/>
          <w:highlight w:val="none"/>
          <w:lang w:val="en-US" w:eastAsia="zh-CN"/>
        </w:rPr>
      </w:pPr>
      <w:r>
        <w:rPr>
          <w:rFonts w:hint="eastAsia"/>
          <w:color w:val="auto"/>
          <w:szCs w:val="21"/>
          <w:highlight w:val="none"/>
        </w:rPr>
        <w:t>最高限价：</w:t>
      </w:r>
      <w:r>
        <w:rPr>
          <w:rFonts w:hint="eastAsia"/>
          <w:color w:val="auto"/>
          <w:szCs w:val="21"/>
          <w:highlight w:val="none"/>
          <w:lang w:val="en-US" w:eastAsia="zh-CN"/>
        </w:rPr>
        <w:t>9000000.00</w:t>
      </w:r>
    </w:p>
    <w:p w14:paraId="742BA9BC">
      <w:pPr>
        <w:spacing w:line="360" w:lineRule="auto"/>
        <w:ind w:firstLine="420"/>
        <w:jc w:val="left"/>
        <w:rPr>
          <w:color w:val="auto"/>
          <w:highlight w:val="none"/>
        </w:rPr>
      </w:pPr>
      <w:r>
        <w:rPr>
          <w:rFonts w:hint="eastAsia"/>
          <w:color w:val="auto"/>
          <w:szCs w:val="21"/>
          <w:highlight w:val="none"/>
        </w:rPr>
        <w:t xml:space="preserve">合同履行期限：自签订合同之日起30日内全部安装调试合格并交付使用。 </w:t>
      </w:r>
    </w:p>
    <w:p w14:paraId="37D92471">
      <w:pPr>
        <w:spacing w:line="360" w:lineRule="auto"/>
        <w:ind w:firstLine="420"/>
        <w:jc w:val="left"/>
        <w:rPr>
          <w:color w:val="auto"/>
          <w:szCs w:val="21"/>
          <w:highlight w:val="none"/>
        </w:rPr>
      </w:pPr>
      <w:r>
        <w:rPr>
          <w:rFonts w:hint="eastAsia"/>
          <w:color w:val="auto"/>
          <w:szCs w:val="21"/>
          <w:highlight w:val="none"/>
        </w:rPr>
        <w:t>本项目（否）接受联合体投标。</w:t>
      </w:r>
    </w:p>
    <w:p w14:paraId="0CF6CD8E">
      <w:pPr>
        <w:spacing w:line="360" w:lineRule="auto"/>
        <w:ind w:firstLine="420"/>
        <w:jc w:val="left"/>
        <w:rPr>
          <w:rFonts w:ascii="Arial" w:hAnsi="Arial" w:cs="Arial"/>
          <w:color w:val="auto"/>
          <w:szCs w:val="21"/>
          <w:highlight w:val="none"/>
        </w:rPr>
      </w:pPr>
      <w:r>
        <w:rPr>
          <w:rFonts w:ascii="Arial" w:hAnsi="Arial" w:cs="Arial"/>
          <w:color w:val="auto"/>
          <w:szCs w:val="21"/>
          <w:highlight w:val="none"/>
        </w:rPr>
        <w:t>备注：</w:t>
      </w:r>
    </w:p>
    <w:p w14:paraId="02DEED35">
      <w:pPr>
        <w:spacing w:line="360" w:lineRule="auto"/>
        <w:jc w:val="left"/>
        <w:rPr>
          <w:rFonts w:ascii="Arial" w:hAnsi="Arial" w:cs="Arial"/>
          <w:color w:val="auto"/>
          <w:szCs w:val="21"/>
          <w:highlight w:val="none"/>
        </w:rPr>
      </w:pPr>
    </w:p>
    <w:p w14:paraId="5C47A6C4">
      <w:pPr>
        <w:spacing w:line="312" w:lineRule="auto"/>
        <w:ind w:firstLine="442"/>
        <w:jc w:val="left"/>
        <w:rPr>
          <w:b/>
          <w:bCs/>
          <w:color w:val="auto"/>
          <w:sz w:val="22"/>
          <w:szCs w:val="22"/>
          <w:highlight w:val="none"/>
        </w:rPr>
      </w:pPr>
      <w:r>
        <w:rPr>
          <w:rFonts w:hint="eastAsia"/>
          <w:b/>
          <w:bCs/>
          <w:color w:val="auto"/>
          <w:sz w:val="22"/>
          <w:szCs w:val="22"/>
          <w:highlight w:val="none"/>
        </w:rPr>
        <w:t>二、申请人的资格要求</w:t>
      </w:r>
    </w:p>
    <w:p w14:paraId="01A3B08A">
      <w:pPr>
        <w:spacing w:line="312" w:lineRule="auto"/>
        <w:ind w:firstLine="420"/>
        <w:jc w:val="left"/>
        <w:rPr>
          <w:color w:val="auto"/>
          <w:szCs w:val="21"/>
          <w:highlight w:val="none"/>
        </w:rPr>
      </w:pPr>
      <w:r>
        <w:rPr>
          <w:color w:val="auto"/>
          <w:szCs w:val="21"/>
          <w:highlight w:val="none"/>
        </w:rPr>
        <w:t>1</w:t>
      </w:r>
      <w:r>
        <w:rPr>
          <w:rFonts w:hint="eastAsia"/>
          <w:color w:val="auto"/>
          <w:szCs w:val="21"/>
          <w:highlight w:val="none"/>
        </w:rPr>
        <w:t>.满足《中华人民共和国政府采购法》第二十二条规定；</w:t>
      </w:r>
    </w:p>
    <w:p w14:paraId="5A2086A0">
      <w:pPr>
        <w:spacing w:line="312" w:lineRule="auto"/>
        <w:ind w:firstLine="420"/>
        <w:jc w:val="left"/>
        <w:rPr>
          <w:rFonts w:hint="default" w:eastAsia="宋体"/>
          <w:color w:val="auto"/>
          <w:szCs w:val="21"/>
          <w:highlight w:val="none"/>
          <w:lang w:val="en-US" w:eastAsia="zh-CN"/>
        </w:rPr>
      </w:pPr>
      <w:r>
        <w:rPr>
          <w:rFonts w:hint="eastAsia"/>
          <w:color w:val="auto"/>
          <w:szCs w:val="21"/>
          <w:highlight w:val="none"/>
        </w:rPr>
        <w:t>2.落实政府采购政策需满足的资格要求：</w:t>
      </w:r>
      <w:r>
        <w:rPr>
          <w:rFonts w:hint="eastAsia"/>
          <w:color w:val="auto"/>
          <w:szCs w:val="21"/>
          <w:highlight w:val="none"/>
          <w:lang w:val="en-US" w:eastAsia="zh-CN"/>
        </w:rPr>
        <w:t>本项目非专门面向中小企业采购</w:t>
      </w:r>
    </w:p>
    <w:p w14:paraId="4173EEFF">
      <w:pPr>
        <w:spacing w:line="312" w:lineRule="auto"/>
        <w:ind w:firstLine="420"/>
        <w:jc w:val="left"/>
        <w:rPr>
          <w:rFonts w:hint="eastAsia"/>
          <w:color w:val="auto"/>
          <w:szCs w:val="21"/>
          <w:highlight w:val="none"/>
        </w:rPr>
      </w:pPr>
      <w:r>
        <w:rPr>
          <w:color w:val="auto"/>
          <w:szCs w:val="21"/>
          <w:highlight w:val="none"/>
        </w:rPr>
        <w:t>3.</w:t>
      </w:r>
      <w:r>
        <w:rPr>
          <w:rFonts w:hint="eastAsia"/>
          <w:color w:val="auto"/>
          <w:szCs w:val="21"/>
          <w:highlight w:val="none"/>
        </w:rPr>
        <w:t>本项目的</w:t>
      </w:r>
      <w:r>
        <w:rPr>
          <w:color w:val="auto"/>
          <w:szCs w:val="21"/>
          <w:highlight w:val="none"/>
        </w:rPr>
        <w:t>特定资格</w:t>
      </w:r>
      <w:r>
        <w:rPr>
          <w:rFonts w:hint="eastAsia"/>
          <w:color w:val="auto"/>
          <w:szCs w:val="21"/>
          <w:highlight w:val="none"/>
        </w:rPr>
        <w:t>要求：</w:t>
      </w:r>
    </w:p>
    <w:p w14:paraId="0062B00A">
      <w:pPr>
        <w:spacing w:line="312" w:lineRule="auto"/>
        <w:ind w:firstLine="420"/>
        <w:jc w:val="left"/>
        <w:rPr>
          <w:rFonts w:hint="eastAsia"/>
          <w:color w:val="auto"/>
          <w:szCs w:val="21"/>
          <w:highlight w:val="none"/>
          <w:lang w:eastAsia="zh-CN"/>
        </w:rPr>
      </w:pPr>
      <w:r>
        <w:rPr>
          <w:rFonts w:hint="eastAsia" w:cs="Times New Roman"/>
          <w:color w:val="auto"/>
          <w:sz w:val="21"/>
          <w:szCs w:val="21"/>
          <w:highlight w:val="none"/>
          <w:lang w:val="en-US" w:eastAsia="zh-CN"/>
        </w:rPr>
        <w:t>分标1：</w:t>
      </w:r>
      <w:r>
        <w:rPr>
          <w:rFonts w:hint="eastAsia"/>
          <w:color w:val="auto"/>
          <w:szCs w:val="21"/>
          <w:highlight w:val="none"/>
        </w:rPr>
        <w:t>（1）资质要求：投标人按《医疗器械监督管理条例》（国务院令第739号）医疗器械分类管理要求具备有效的医疗器械经营备案凭证或者经营许可证，且经营范围必须包含采购标的【符合《医疗器械监督管理条例》第四十一条第二款规定的除外】；或者投标人具有《医疗器械监督管理条例》第四十三条规定的注册人凭证。</w:t>
      </w:r>
    </w:p>
    <w:p w14:paraId="770E53B2">
      <w:pPr>
        <w:spacing w:line="312" w:lineRule="auto"/>
        <w:ind w:firstLine="420"/>
        <w:jc w:val="left"/>
        <w:rPr>
          <w:rFonts w:hint="eastAsia"/>
          <w:color w:val="auto"/>
          <w:szCs w:val="21"/>
          <w:highlight w:val="none"/>
          <w:lang w:eastAsia="zh-CN"/>
        </w:rPr>
      </w:pPr>
      <w:r>
        <w:rPr>
          <w:rFonts w:hint="eastAsia"/>
          <w:color w:val="auto"/>
          <w:szCs w:val="21"/>
          <w:highlight w:val="none"/>
          <w:lang w:eastAsia="zh-CN"/>
        </w:rPr>
        <w:t>（2）业绩要求：无。</w:t>
      </w:r>
    </w:p>
    <w:p w14:paraId="71A88CDC">
      <w:pPr>
        <w:spacing w:line="312" w:lineRule="auto"/>
        <w:ind w:firstLine="420"/>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3</w:t>
      </w:r>
      <w:r>
        <w:rPr>
          <w:rFonts w:hint="eastAsia"/>
          <w:color w:val="auto"/>
          <w:szCs w:val="21"/>
          <w:highlight w:val="none"/>
        </w:rPr>
        <w:t xml:space="preserve">）单位负责人为同一人或者存在直接控股、管理关系的不同供应商，不得参加本项目同一合同项下的政府采购活动。为本项目提供整体设计、规范编制或者项目管理、监理、检测等服务的供应商，不得再参加本项目的采购活动。 </w:t>
      </w:r>
    </w:p>
    <w:p w14:paraId="30414394">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4</w:t>
      </w:r>
      <w:r>
        <w:rPr>
          <w:rFonts w:hint="eastAsia"/>
          <w:color w:val="auto"/>
          <w:szCs w:val="21"/>
          <w:highlight w:val="none"/>
        </w:rPr>
        <w:t>）未被列入失信被执行人、重大税收违法失信主体、政府采购严重违法失信行为记录名单。</w:t>
      </w:r>
    </w:p>
    <w:p w14:paraId="4F93F257">
      <w:pPr>
        <w:spacing w:line="312" w:lineRule="auto"/>
        <w:ind w:firstLine="420"/>
        <w:jc w:val="left"/>
        <w:rPr>
          <w:color w:val="auto"/>
          <w:szCs w:val="21"/>
          <w:highlight w:val="none"/>
        </w:rPr>
      </w:pPr>
      <w:r>
        <w:rPr>
          <w:rFonts w:hint="eastAsia"/>
          <w:color w:val="auto"/>
          <w:szCs w:val="21"/>
          <w:highlight w:val="none"/>
        </w:rPr>
        <w:t>（5）本项目不允许分公司</w:t>
      </w:r>
      <w:r>
        <w:rPr>
          <w:rFonts w:hint="eastAsia"/>
          <w:color w:val="auto"/>
          <w:szCs w:val="21"/>
          <w:highlight w:val="none"/>
          <w:lang w:val="en-US" w:eastAsia="zh-CN"/>
        </w:rPr>
        <w:t>同时</w:t>
      </w:r>
      <w:r>
        <w:rPr>
          <w:rFonts w:hint="eastAsia"/>
          <w:color w:val="auto"/>
          <w:szCs w:val="21"/>
          <w:highlight w:val="none"/>
        </w:rPr>
        <w:t xml:space="preserve">参与投标。 </w:t>
      </w:r>
    </w:p>
    <w:p w14:paraId="0E6E95BC">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）本项目不允许转包和分包。</w:t>
      </w:r>
    </w:p>
    <w:p w14:paraId="719AD7CF">
      <w:pPr>
        <w:spacing w:line="312" w:lineRule="auto"/>
        <w:ind w:firstLine="420"/>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7</w:t>
      </w:r>
      <w:r>
        <w:rPr>
          <w:rFonts w:hint="eastAsia"/>
          <w:color w:val="auto"/>
          <w:szCs w:val="21"/>
          <w:highlight w:val="none"/>
        </w:rPr>
        <w:t>）本项目不接受联合体投标</w:t>
      </w:r>
      <w:r>
        <w:rPr>
          <w:rFonts w:hint="eastAsia"/>
          <w:color w:val="auto"/>
          <w:szCs w:val="21"/>
          <w:highlight w:val="none"/>
          <w:lang w:eastAsia="zh-CN"/>
        </w:rPr>
        <w:t>。</w:t>
      </w:r>
      <w:r>
        <w:rPr>
          <w:rFonts w:hint="eastAsia"/>
          <w:color w:val="auto"/>
          <w:szCs w:val="21"/>
          <w:highlight w:val="none"/>
        </w:rPr>
        <w:t xml:space="preserve"> </w:t>
      </w:r>
    </w:p>
    <w:p w14:paraId="14C455F3">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8</w:t>
      </w:r>
      <w:r>
        <w:rPr>
          <w:rFonts w:hint="eastAsia"/>
          <w:color w:val="auto"/>
          <w:szCs w:val="21"/>
          <w:highlight w:val="none"/>
        </w:rPr>
        <w:t>）按照招标公告的规定获得招标文件。</w:t>
      </w:r>
    </w:p>
    <w:p w14:paraId="46555AB1">
      <w:pPr>
        <w:spacing w:line="312" w:lineRule="auto"/>
        <w:ind w:firstLine="420"/>
        <w:jc w:val="left"/>
        <w:rPr>
          <w:rFonts w:hint="eastAsia"/>
          <w:color w:val="auto"/>
          <w:szCs w:val="21"/>
          <w:highlight w:val="none"/>
          <w:lang w:eastAsia="zh-CN"/>
        </w:rPr>
      </w:pPr>
      <w:r>
        <w:rPr>
          <w:rFonts w:hint="eastAsia" w:cs="Times New Roman"/>
          <w:color w:val="auto"/>
          <w:sz w:val="21"/>
          <w:szCs w:val="21"/>
          <w:highlight w:val="none"/>
          <w:lang w:val="en-US" w:eastAsia="zh-CN"/>
        </w:rPr>
        <w:t>分标2：</w:t>
      </w:r>
      <w:r>
        <w:rPr>
          <w:rFonts w:hint="eastAsia"/>
          <w:color w:val="auto"/>
          <w:szCs w:val="21"/>
          <w:highlight w:val="none"/>
        </w:rPr>
        <w:t>（1）资质要求：投标人按《医疗器械监督管理条例》（国务院令第739号）医疗器械分类管理要求具备有效的医疗器械经营备案凭证或者经营许可证，且经营范围必须包含采购标的【符合《医疗器械监督管理条例》第四十一条第二款规定的除外】；或者投标人具有《医疗器械监督管理条例》第四十三条规定的注册人凭证。</w:t>
      </w:r>
    </w:p>
    <w:p w14:paraId="0EB21463">
      <w:pPr>
        <w:spacing w:line="312" w:lineRule="auto"/>
        <w:ind w:firstLine="420"/>
        <w:jc w:val="left"/>
        <w:rPr>
          <w:rFonts w:hint="eastAsia"/>
          <w:color w:val="auto"/>
          <w:szCs w:val="21"/>
          <w:highlight w:val="none"/>
          <w:lang w:eastAsia="zh-CN"/>
        </w:rPr>
      </w:pPr>
      <w:r>
        <w:rPr>
          <w:rFonts w:hint="eastAsia"/>
          <w:color w:val="auto"/>
          <w:szCs w:val="21"/>
          <w:highlight w:val="none"/>
          <w:lang w:eastAsia="zh-CN"/>
        </w:rPr>
        <w:t>（2）业绩要求：无。</w:t>
      </w:r>
    </w:p>
    <w:p w14:paraId="544D084E">
      <w:pPr>
        <w:spacing w:line="312" w:lineRule="auto"/>
        <w:ind w:firstLine="420"/>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3</w:t>
      </w:r>
      <w:r>
        <w:rPr>
          <w:rFonts w:hint="eastAsia"/>
          <w:color w:val="auto"/>
          <w:szCs w:val="21"/>
          <w:highlight w:val="none"/>
        </w:rPr>
        <w:t xml:space="preserve">）单位负责人为同一人或者存在直接控股、管理关系的不同供应商，不得参加本项目同一合同项下的政府采购活动。为本项目提供整体设计、规范编制或者项目管理、监理、检测等服务的供应商，不得再参加本项目的采购活动。 </w:t>
      </w:r>
    </w:p>
    <w:p w14:paraId="6921892C">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4</w:t>
      </w:r>
      <w:r>
        <w:rPr>
          <w:rFonts w:hint="eastAsia"/>
          <w:color w:val="auto"/>
          <w:szCs w:val="21"/>
          <w:highlight w:val="none"/>
        </w:rPr>
        <w:t>）未被列入失信被执行人、重大税收违法失信主体、政府采购严重违法失信行为记录名单。</w:t>
      </w:r>
    </w:p>
    <w:p w14:paraId="39BAE949">
      <w:pPr>
        <w:spacing w:line="312" w:lineRule="auto"/>
        <w:ind w:firstLine="420"/>
        <w:jc w:val="left"/>
        <w:rPr>
          <w:color w:val="auto"/>
          <w:szCs w:val="21"/>
          <w:highlight w:val="none"/>
        </w:rPr>
      </w:pPr>
      <w:r>
        <w:rPr>
          <w:rFonts w:hint="eastAsia"/>
          <w:color w:val="auto"/>
          <w:szCs w:val="21"/>
          <w:highlight w:val="none"/>
        </w:rPr>
        <w:t>（5）本项目不允许分公司</w:t>
      </w:r>
      <w:r>
        <w:rPr>
          <w:rFonts w:hint="eastAsia"/>
          <w:color w:val="auto"/>
          <w:szCs w:val="21"/>
          <w:highlight w:val="none"/>
          <w:lang w:val="en-US" w:eastAsia="zh-CN"/>
        </w:rPr>
        <w:t>同时</w:t>
      </w:r>
      <w:r>
        <w:rPr>
          <w:rFonts w:hint="eastAsia"/>
          <w:color w:val="auto"/>
          <w:szCs w:val="21"/>
          <w:highlight w:val="none"/>
        </w:rPr>
        <w:t xml:space="preserve">参与投标。 </w:t>
      </w:r>
    </w:p>
    <w:p w14:paraId="5A55D8AE">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）本项目不允许转包和分包。</w:t>
      </w:r>
    </w:p>
    <w:p w14:paraId="3F58A9C6">
      <w:pPr>
        <w:spacing w:line="312" w:lineRule="auto"/>
        <w:ind w:firstLine="420"/>
        <w:jc w:val="left"/>
        <w:rPr>
          <w:rFonts w:hint="eastAsia" w:eastAsia="宋体"/>
          <w:color w:val="auto"/>
          <w:szCs w:val="21"/>
          <w:highlight w:val="none"/>
          <w:lang w:eastAsia="zh-CN"/>
        </w:rPr>
      </w:pPr>
      <w:r>
        <w:rPr>
          <w:rFonts w:hint="eastAsia"/>
          <w:color w:val="auto"/>
          <w:szCs w:val="21"/>
          <w:highlight w:val="none"/>
        </w:rPr>
        <w:t>（</w:t>
      </w:r>
      <w:r>
        <w:rPr>
          <w:rFonts w:hint="eastAsia"/>
          <w:color w:val="auto"/>
          <w:szCs w:val="21"/>
          <w:highlight w:val="none"/>
          <w:lang w:val="en-US" w:eastAsia="zh-CN"/>
        </w:rPr>
        <w:t>7</w:t>
      </w:r>
      <w:r>
        <w:rPr>
          <w:rFonts w:hint="eastAsia"/>
          <w:color w:val="auto"/>
          <w:szCs w:val="21"/>
          <w:highlight w:val="none"/>
        </w:rPr>
        <w:t>）本项目不接受联合体投标</w:t>
      </w:r>
      <w:r>
        <w:rPr>
          <w:rFonts w:hint="eastAsia"/>
          <w:color w:val="auto"/>
          <w:szCs w:val="21"/>
          <w:highlight w:val="none"/>
          <w:lang w:eastAsia="zh-CN"/>
        </w:rPr>
        <w:t>。</w:t>
      </w:r>
    </w:p>
    <w:p w14:paraId="69DB1E7D">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8</w:t>
      </w:r>
      <w:r>
        <w:rPr>
          <w:rFonts w:hint="eastAsia"/>
          <w:color w:val="auto"/>
          <w:szCs w:val="21"/>
          <w:highlight w:val="none"/>
        </w:rPr>
        <w:t>）按照招标公告的规定获得招标文件。</w:t>
      </w:r>
    </w:p>
    <w:p w14:paraId="0745335F">
      <w:pPr>
        <w:spacing w:line="312" w:lineRule="auto"/>
        <w:ind w:firstLine="442"/>
        <w:jc w:val="left"/>
        <w:rPr>
          <w:b/>
          <w:bCs/>
          <w:color w:val="auto"/>
          <w:sz w:val="22"/>
          <w:szCs w:val="22"/>
          <w:highlight w:val="none"/>
        </w:rPr>
      </w:pPr>
      <w:r>
        <w:rPr>
          <w:rFonts w:hint="eastAsia"/>
          <w:b/>
          <w:bCs/>
          <w:color w:val="auto"/>
          <w:sz w:val="22"/>
          <w:szCs w:val="22"/>
          <w:highlight w:val="none"/>
        </w:rPr>
        <w:t>三、获取招标文件</w:t>
      </w:r>
    </w:p>
    <w:p w14:paraId="6F20A2D0">
      <w:pPr>
        <w:spacing w:line="312" w:lineRule="auto"/>
        <w:ind w:firstLine="420"/>
        <w:jc w:val="left"/>
        <w:rPr>
          <w:color w:val="auto"/>
          <w:szCs w:val="21"/>
          <w:highlight w:val="none"/>
        </w:rPr>
      </w:pPr>
      <w:r>
        <w:rPr>
          <w:rFonts w:hint="eastAsia"/>
          <w:color w:val="auto"/>
          <w:szCs w:val="21"/>
          <w:highlight w:val="none"/>
        </w:rPr>
        <w:t>时间：</w:t>
      </w:r>
      <w:r>
        <w:rPr>
          <w:rFonts w:hint="eastAsia"/>
          <w:color w:val="auto"/>
          <w:szCs w:val="21"/>
          <w:highlight w:val="none"/>
          <w:lang w:eastAsia="zh-CN"/>
        </w:rPr>
        <w:t>2026年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日至</w:t>
      </w:r>
      <w:r>
        <w:rPr>
          <w:rFonts w:hint="eastAsia"/>
          <w:color w:val="auto"/>
          <w:szCs w:val="21"/>
          <w:highlight w:val="none"/>
          <w:lang w:eastAsia="zh-CN"/>
        </w:rPr>
        <w:t>2026年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 ，每天上午00:00至12:00，下午12:00至23:59（北京时间，法定节假日除外）</w:t>
      </w:r>
    </w:p>
    <w:p w14:paraId="5818E86F">
      <w:pPr>
        <w:spacing w:line="312" w:lineRule="auto"/>
        <w:ind w:firstLine="420"/>
        <w:jc w:val="left"/>
        <w:rPr>
          <w:color w:val="auto"/>
          <w:szCs w:val="21"/>
          <w:highlight w:val="none"/>
        </w:rPr>
      </w:pPr>
      <w:r>
        <w:rPr>
          <w:rFonts w:hint="eastAsia"/>
          <w:color w:val="auto"/>
          <w:szCs w:val="21"/>
          <w:highlight w:val="none"/>
        </w:rPr>
        <w:t>地点（网址）：广西政府采购云平台（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hint="eastAsia"/>
          <w:color w:val="auto"/>
          <w:szCs w:val="21"/>
          <w:highlight w:val="none"/>
        </w:rPr>
        <w:t>https://www.gcy.zfcg.gxzf.gov.cn/</w:t>
      </w:r>
      <w:r>
        <w:rPr>
          <w:rFonts w:hint="eastAsia"/>
          <w:color w:val="auto"/>
          <w:szCs w:val="21"/>
          <w:highlight w:val="none"/>
        </w:rPr>
        <w:fldChar w:fldCharType="end"/>
      </w:r>
      <w:r>
        <w:rPr>
          <w:rFonts w:hint="eastAsia"/>
          <w:color w:val="auto"/>
          <w:szCs w:val="21"/>
          <w:highlight w:val="none"/>
        </w:rPr>
        <w:t>）</w:t>
      </w:r>
    </w:p>
    <w:p w14:paraId="1228EDFF">
      <w:pPr>
        <w:spacing w:line="312" w:lineRule="auto"/>
        <w:ind w:firstLine="420"/>
        <w:jc w:val="left"/>
        <w:rPr>
          <w:color w:val="auto"/>
          <w:szCs w:val="21"/>
          <w:highlight w:val="none"/>
        </w:rPr>
      </w:pPr>
      <w:r>
        <w:rPr>
          <w:rFonts w:hint="eastAsia"/>
          <w:color w:val="auto"/>
          <w:szCs w:val="21"/>
          <w:highlight w:val="none"/>
        </w:rPr>
        <w:t>方式：</w:t>
      </w:r>
      <w:bookmarkStart w:id="14" w:name="_Hlk132732941"/>
      <w:r>
        <w:rPr>
          <w:rFonts w:hint="eastAsia"/>
          <w:color w:val="auto"/>
          <w:szCs w:val="21"/>
          <w:highlight w:val="none"/>
        </w:rPr>
        <w:t>供应商登录广西政府采购云平台在线申请获取</w:t>
      </w:r>
      <w:r>
        <w:rPr>
          <w:rFonts w:hint="eastAsia"/>
          <w:color w:val="auto"/>
          <w:szCs w:val="21"/>
          <w:highlight w:val="none"/>
          <w:lang w:eastAsia="zh-CN"/>
        </w:rPr>
        <w:t>招标文件</w:t>
      </w:r>
      <w:r>
        <w:rPr>
          <w:rFonts w:hint="eastAsia"/>
          <w:color w:val="auto"/>
          <w:szCs w:val="21"/>
          <w:highlight w:val="none"/>
        </w:rPr>
        <w:t>（进入“项目采购”应用，在获取</w:t>
      </w:r>
      <w:r>
        <w:rPr>
          <w:rFonts w:hint="eastAsia"/>
          <w:color w:val="auto"/>
          <w:szCs w:val="21"/>
          <w:highlight w:val="none"/>
          <w:lang w:eastAsia="zh-CN"/>
        </w:rPr>
        <w:t>招标文件</w:t>
      </w:r>
      <w:r>
        <w:rPr>
          <w:rFonts w:hint="eastAsia"/>
          <w:color w:val="auto"/>
          <w:szCs w:val="21"/>
          <w:highlight w:val="none"/>
        </w:rPr>
        <w:t>菜单中选择项目，申请获取</w:t>
      </w:r>
      <w:r>
        <w:rPr>
          <w:rFonts w:hint="eastAsia"/>
          <w:color w:val="auto"/>
          <w:szCs w:val="21"/>
          <w:highlight w:val="none"/>
          <w:lang w:eastAsia="zh-CN"/>
        </w:rPr>
        <w:t>招标文件</w:t>
      </w:r>
      <w:r>
        <w:rPr>
          <w:rFonts w:hint="eastAsia"/>
          <w:color w:val="auto"/>
          <w:szCs w:val="21"/>
          <w:highlight w:val="none"/>
        </w:rPr>
        <w:t>）</w:t>
      </w:r>
      <w:bookmarkEnd w:id="14"/>
    </w:p>
    <w:p w14:paraId="61DCB75C">
      <w:pPr>
        <w:spacing w:line="312" w:lineRule="auto"/>
        <w:ind w:firstLine="420"/>
        <w:jc w:val="left"/>
        <w:rPr>
          <w:color w:val="auto"/>
          <w:highlight w:val="none"/>
        </w:rPr>
      </w:pPr>
      <w:r>
        <w:rPr>
          <w:rFonts w:hint="eastAsia"/>
          <w:color w:val="auto"/>
          <w:highlight w:val="none"/>
        </w:rPr>
        <w:t>售价（元）：</w:t>
      </w:r>
      <w:r>
        <w:rPr>
          <w:color w:val="auto"/>
          <w:highlight w:val="none"/>
        </w:rPr>
        <w:t>0</w:t>
      </w:r>
    </w:p>
    <w:p w14:paraId="07A635F1">
      <w:pPr>
        <w:spacing w:line="312" w:lineRule="auto"/>
        <w:ind w:firstLine="442"/>
        <w:jc w:val="left"/>
        <w:rPr>
          <w:b/>
          <w:bCs/>
          <w:color w:val="auto"/>
          <w:sz w:val="22"/>
          <w:szCs w:val="22"/>
          <w:highlight w:val="none"/>
        </w:rPr>
      </w:pPr>
      <w:r>
        <w:rPr>
          <w:rFonts w:hint="eastAsia"/>
          <w:b/>
          <w:bCs/>
          <w:color w:val="auto"/>
          <w:sz w:val="22"/>
          <w:szCs w:val="22"/>
          <w:highlight w:val="none"/>
        </w:rPr>
        <w:t>四、提交投标文件截止时间、开标时间和地点</w:t>
      </w:r>
    </w:p>
    <w:p w14:paraId="61F580CB">
      <w:pPr>
        <w:spacing w:line="312" w:lineRule="auto"/>
        <w:ind w:firstLine="420"/>
        <w:jc w:val="left"/>
        <w:rPr>
          <w:color w:val="auto"/>
          <w:szCs w:val="21"/>
          <w:highlight w:val="none"/>
        </w:rPr>
      </w:pPr>
      <w:r>
        <w:rPr>
          <w:rFonts w:hint="eastAsia"/>
          <w:color w:val="auto"/>
          <w:szCs w:val="21"/>
          <w:highlight w:val="none"/>
        </w:rPr>
        <w:t>提交投标文件截止时间：</w:t>
      </w:r>
      <w:r>
        <w:rPr>
          <w:rFonts w:hint="eastAsia"/>
          <w:color w:val="auto"/>
          <w:szCs w:val="21"/>
          <w:highlight w:val="none"/>
          <w:lang w:eastAsia="zh-CN"/>
        </w:rPr>
        <w:t>2026年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r>
        <w:rPr>
          <w:color w:val="auto"/>
          <w:szCs w:val="21"/>
          <w:highlight w:val="none"/>
        </w:rPr>
        <w:t>0</w:t>
      </w:r>
      <w:r>
        <w:rPr>
          <w:rFonts w:hint="eastAsia"/>
          <w:color w:val="auto"/>
          <w:szCs w:val="21"/>
          <w:highlight w:val="none"/>
        </w:rPr>
        <w:t>9</w:t>
      </w:r>
      <w:r>
        <w:rPr>
          <w:color w:val="auto"/>
          <w:szCs w:val="21"/>
          <w:highlight w:val="none"/>
        </w:rPr>
        <w:t>时</w:t>
      </w:r>
      <w:r>
        <w:rPr>
          <w:rFonts w:hint="eastAsia"/>
          <w:color w:val="auto"/>
          <w:szCs w:val="21"/>
          <w:highlight w:val="none"/>
        </w:rPr>
        <w:t>0</w:t>
      </w:r>
      <w:r>
        <w:rPr>
          <w:color w:val="auto"/>
          <w:szCs w:val="21"/>
          <w:highlight w:val="none"/>
        </w:rPr>
        <w:t>0分</w:t>
      </w:r>
      <w:r>
        <w:rPr>
          <w:rFonts w:hint="eastAsia"/>
          <w:color w:val="auto"/>
          <w:szCs w:val="21"/>
          <w:highlight w:val="none"/>
        </w:rPr>
        <w:t>（北京时间）</w:t>
      </w:r>
    </w:p>
    <w:p w14:paraId="4167B852">
      <w:pPr>
        <w:spacing w:line="312" w:lineRule="auto"/>
        <w:ind w:firstLine="420"/>
        <w:jc w:val="left"/>
        <w:rPr>
          <w:color w:val="auto"/>
          <w:szCs w:val="21"/>
          <w:highlight w:val="none"/>
        </w:rPr>
      </w:pPr>
      <w:r>
        <w:rPr>
          <w:rFonts w:hint="eastAsia"/>
          <w:color w:val="auto"/>
          <w:szCs w:val="21"/>
          <w:highlight w:val="none"/>
        </w:rPr>
        <w:t>投标地点（网址）：</w:t>
      </w:r>
      <w:bookmarkStart w:id="15" w:name="_Hlk88997081"/>
      <w:r>
        <w:rPr>
          <w:rFonts w:hint="eastAsia"/>
          <w:color w:val="auto"/>
          <w:szCs w:val="21"/>
          <w:highlight w:val="none"/>
        </w:rPr>
        <w:t>本项目为全流程电子化项目，没有现场递交投标文件及现场开标环节，通过广西政府采购云平台</w:t>
      </w:r>
      <w:bookmarkStart w:id="16" w:name="_Hlk160186485"/>
      <w:r>
        <w:rPr>
          <w:rFonts w:hint="eastAsia"/>
          <w:color w:val="auto"/>
          <w:szCs w:val="21"/>
          <w:highlight w:val="none"/>
        </w:rPr>
        <w:t>（https://www.gcy.zfcg.gxzf.gov.cn/）</w:t>
      </w:r>
      <w:bookmarkEnd w:id="16"/>
      <w:r>
        <w:rPr>
          <w:rFonts w:hint="eastAsia"/>
          <w:color w:val="auto"/>
          <w:szCs w:val="21"/>
          <w:highlight w:val="none"/>
        </w:rPr>
        <w:t>实行在线电子投标，供应商应先安装</w:t>
      </w:r>
      <w:bookmarkStart w:id="17" w:name="_Hlk160186504"/>
      <w:r>
        <w:rPr>
          <w:rFonts w:hint="eastAsia"/>
          <w:color w:val="auto"/>
          <w:szCs w:val="21"/>
          <w:highlight w:val="none"/>
        </w:rPr>
        <w:t>广西政府采购云平台新版客户端（请自行前往广西政府采购网-办事服务-下载专区进行下载）</w:t>
      </w:r>
      <w:bookmarkEnd w:id="17"/>
      <w:r>
        <w:rPr>
          <w:rFonts w:hint="eastAsia"/>
          <w:color w:val="auto"/>
          <w:szCs w:val="21"/>
          <w:highlight w:val="none"/>
        </w:rPr>
        <w:t>，并按照本项目招标文件和广西政府采购云平台的要求使用C</w:t>
      </w:r>
      <w:r>
        <w:rPr>
          <w:color w:val="auto"/>
          <w:szCs w:val="21"/>
          <w:highlight w:val="none"/>
        </w:rPr>
        <w:t>A</w:t>
      </w:r>
      <w:r>
        <w:rPr>
          <w:rFonts w:hint="eastAsia"/>
          <w:color w:val="auto"/>
          <w:szCs w:val="21"/>
          <w:highlight w:val="none"/>
        </w:rPr>
        <w:t xml:space="preserve">认证编制、加密投标文件后在投标截止时间前上传至广西政府采购云平台，供应商在广西政府采购云平台提交电子版投标文件时，请填写参加远程开标活动经办人联系方式。 </w:t>
      </w:r>
      <w:bookmarkEnd w:id="15"/>
      <w:r>
        <w:rPr>
          <w:rFonts w:hint="eastAsia"/>
          <w:color w:val="auto"/>
          <w:szCs w:val="21"/>
          <w:highlight w:val="none"/>
        </w:rPr>
        <w:t xml:space="preserve">      </w:t>
      </w:r>
    </w:p>
    <w:p w14:paraId="7226416D">
      <w:pPr>
        <w:spacing w:line="312" w:lineRule="auto"/>
        <w:ind w:firstLine="420"/>
        <w:jc w:val="left"/>
        <w:rPr>
          <w:color w:val="auto"/>
          <w:szCs w:val="21"/>
          <w:highlight w:val="none"/>
        </w:rPr>
      </w:pPr>
      <w:r>
        <w:rPr>
          <w:rFonts w:hint="eastAsia"/>
          <w:color w:val="auto"/>
          <w:szCs w:val="21"/>
          <w:highlight w:val="none"/>
        </w:rPr>
        <w:t>开标时间：</w:t>
      </w:r>
      <w:r>
        <w:rPr>
          <w:rFonts w:hint="eastAsia"/>
          <w:color w:val="auto"/>
          <w:szCs w:val="21"/>
          <w:highlight w:val="none"/>
          <w:lang w:eastAsia="zh-CN"/>
        </w:rPr>
        <w:t>202</w:t>
      </w:r>
      <w:r>
        <w:rPr>
          <w:rFonts w:hint="eastAsia"/>
          <w:color w:val="auto"/>
          <w:szCs w:val="21"/>
          <w:highlight w:val="none"/>
          <w:lang w:val="en-US" w:eastAsia="zh-CN"/>
        </w:rPr>
        <w:t>6</w:t>
      </w:r>
      <w:r>
        <w:rPr>
          <w:rFonts w:hint="eastAsia"/>
          <w:color w:val="auto"/>
          <w:szCs w:val="21"/>
          <w:highlight w:val="none"/>
        </w:rPr>
        <w:t xml:space="preserve"> 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日09时00分（北京时间）</w:t>
      </w:r>
    </w:p>
    <w:p w14:paraId="73FE836C">
      <w:pPr>
        <w:spacing w:line="312" w:lineRule="auto"/>
        <w:ind w:firstLine="420"/>
        <w:jc w:val="left"/>
        <w:rPr>
          <w:color w:val="auto"/>
          <w:szCs w:val="21"/>
          <w:highlight w:val="none"/>
        </w:rPr>
      </w:pPr>
      <w:r>
        <w:rPr>
          <w:rFonts w:hint="eastAsia"/>
          <w:color w:val="auto"/>
          <w:szCs w:val="21"/>
          <w:highlight w:val="none"/>
        </w:rPr>
        <w:t>开标地点：</w:t>
      </w:r>
      <w:bookmarkStart w:id="18" w:name="_Hlk88997106"/>
      <w:r>
        <w:rPr>
          <w:rFonts w:hint="eastAsia"/>
          <w:color w:val="auto"/>
          <w:szCs w:val="21"/>
          <w:highlight w:val="none"/>
        </w:rPr>
        <w:t>供应商登录广西政府采购云平台电子开标大厅开标。</w:t>
      </w:r>
      <w:bookmarkEnd w:id="18"/>
    </w:p>
    <w:p w14:paraId="27DA556D">
      <w:pPr>
        <w:spacing w:line="312" w:lineRule="auto"/>
        <w:ind w:firstLine="442"/>
        <w:jc w:val="left"/>
        <w:rPr>
          <w:b/>
          <w:bCs/>
          <w:color w:val="auto"/>
          <w:sz w:val="22"/>
          <w:szCs w:val="22"/>
          <w:highlight w:val="none"/>
        </w:rPr>
      </w:pPr>
      <w:r>
        <w:rPr>
          <w:rFonts w:hint="eastAsia"/>
          <w:b/>
          <w:bCs/>
          <w:color w:val="auto"/>
          <w:sz w:val="22"/>
          <w:szCs w:val="22"/>
          <w:highlight w:val="none"/>
        </w:rPr>
        <w:t>五、公告期限</w:t>
      </w:r>
    </w:p>
    <w:p w14:paraId="1D858FD5">
      <w:pPr>
        <w:spacing w:line="312" w:lineRule="auto"/>
        <w:ind w:firstLine="420"/>
        <w:jc w:val="left"/>
        <w:rPr>
          <w:color w:val="auto"/>
          <w:szCs w:val="21"/>
          <w:highlight w:val="none"/>
        </w:rPr>
      </w:pPr>
      <w:r>
        <w:rPr>
          <w:rFonts w:hint="eastAsia"/>
          <w:color w:val="auto"/>
          <w:szCs w:val="21"/>
          <w:highlight w:val="none"/>
        </w:rPr>
        <w:t>自本公告发布之日起5个工作日。</w:t>
      </w:r>
    </w:p>
    <w:p w14:paraId="698BB6CC">
      <w:pPr>
        <w:numPr>
          <w:ilvl w:val="0"/>
          <w:numId w:val="1"/>
        </w:numPr>
        <w:spacing w:line="312" w:lineRule="auto"/>
        <w:ind w:firstLine="442"/>
        <w:jc w:val="left"/>
        <w:rPr>
          <w:b/>
          <w:bCs/>
          <w:color w:val="auto"/>
          <w:sz w:val="22"/>
          <w:szCs w:val="22"/>
          <w:highlight w:val="none"/>
        </w:rPr>
      </w:pPr>
      <w:r>
        <w:rPr>
          <w:rFonts w:hint="eastAsia"/>
          <w:b/>
          <w:bCs/>
          <w:color w:val="auto"/>
          <w:sz w:val="22"/>
          <w:szCs w:val="22"/>
          <w:highlight w:val="none"/>
        </w:rPr>
        <w:t>其他补充事宜</w:t>
      </w:r>
    </w:p>
    <w:p w14:paraId="5FE23143">
      <w:pPr>
        <w:spacing w:line="312" w:lineRule="auto"/>
        <w:ind w:firstLine="420"/>
        <w:jc w:val="left"/>
        <w:rPr>
          <w:color w:val="auto"/>
          <w:szCs w:val="21"/>
          <w:highlight w:val="none"/>
        </w:rPr>
      </w:pPr>
      <w:r>
        <w:rPr>
          <w:rFonts w:hint="eastAsia"/>
          <w:color w:val="auto"/>
          <w:szCs w:val="21"/>
          <w:highlight w:val="none"/>
        </w:rPr>
        <w:t>1.公告发布媒体：广西壮族自治区政府采购网（http://www.ccgp-guangxi.gov.cn/）、中国政府采购网（http://www.ccgp.gov.cn/）</w:t>
      </w:r>
      <w:r>
        <w:rPr>
          <w:rFonts w:hint="eastAsia"/>
          <w:color w:val="auto"/>
          <w:szCs w:val="21"/>
          <w:highlight w:val="none"/>
          <w:lang w:eastAsia="zh-CN"/>
        </w:rPr>
        <w:t>、全国公共资源交易平台（广西.北海） （http://ggzy.jgswj.gxzf.gov.cn/bhggzy/）</w:t>
      </w:r>
      <w:r>
        <w:rPr>
          <w:rFonts w:hint="eastAsia"/>
          <w:color w:val="auto"/>
          <w:szCs w:val="21"/>
          <w:highlight w:val="none"/>
        </w:rPr>
        <w:t>。</w:t>
      </w:r>
    </w:p>
    <w:p w14:paraId="49059923">
      <w:pPr>
        <w:spacing w:line="312" w:lineRule="auto"/>
        <w:ind w:firstLine="420"/>
        <w:jc w:val="left"/>
        <w:rPr>
          <w:color w:val="auto"/>
          <w:szCs w:val="21"/>
          <w:highlight w:val="none"/>
        </w:rPr>
      </w:pPr>
      <w:r>
        <w:rPr>
          <w:rFonts w:hint="eastAsia"/>
          <w:color w:val="auto"/>
          <w:szCs w:val="21"/>
          <w:highlight w:val="none"/>
        </w:rPr>
        <w:t>2.本项目不收取投标保证金。</w:t>
      </w:r>
    </w:p>
    <w:p w14:paraId="4BC18AE4">
      <w:pPr>
        <w:spacing w:line="312" w:lineRule="auto"/>
        <w:ind w:left="420"/>
        <w:rPr>
          <w:color w:val="auto"/>
          <w:szCs w:val="21"/>
          <w:highlight w:val="none"/>
        </w:rPr>
      </w:pPr>
      <w:r>
        <w:rPr>
          <w:rFonts w:hint="eastAsia" w:ascii="Times New Roman" w:hAnsi="Times New Roman" w:eastAsia="宋体" w:cs="Times New Roman"/>
          <w:color w:val="auto"/>
          <w:szCs w:val="21"/>
          <w:highlight w:val="none"/>
        </w:rPr>
        <w:t>3.</w:t>
      </w:r>
      <w:r>
        <w:rPr>
          <w:rFonts w:hint="eastAsia"/>
          <w:color w:val="auto"/>
          <w:szCs w:val="21"/>
          <w:highlight w:val="none"/>
        </w:rPr>
        <w:t>需落实的政府采购政策：</w:t>
      </w:r>
      <w:r>
        <w:rPr>
          <w:color w:val="auto"/>
          <w:szCs w:val="21"/>
          <w:highlight w:val="none"/>
        </w:rPr>
        <w:t>本项目适用政府采购促进中小企业、监狱企业发展、促进残疾人就业、节能环保</w:t>
      </w:r>
      <w:r>
        <w:rPr>
          <w:rFonts w:hint="eastAsia"/>
          <w:color w:val="auto"/>
          <w:szCs w:val="21"/>
          <w:highlight w:val="none"/>
          <w:lang w:eastAsia="zh-CN"/>
        </w:rPr>
        <w:t>、对本国产品的支持</w:t>
      </w:r>
      <w:r>
        <w:rPr>
          <w:color w:val="auto"/>
          <w:szCs w:val="21"/>
          <w:highlight w:val="none"/>
        </w:rPr>
        <w:t>等有关政策，具体详见招标文件。</w:t>
      </w:r>
    </w:p>
    <w:p w14:paraId="62DEEBA7">
      <w:pPr>
        <w:spacing w:line="312" w:lineRule="auto"/>
        <w:ind w:firstLine="420"/>
        <w:rPr>
          <w:rFonts w:hint="eastAsia" w:eastAsia="宋体" w:cs="宋体"/>
          <w:color w:val="auto"/>
          <w:highlight w:val="none"/>
          <w:lang w:val="en-US" w:eastAsia="zh-CN"/>
        </w:rPr>
      </w:pPr>
      <w:r>
        <w:rPr>
          <w:rFonts w:hint="eastAsia" w:cs="宋体"/>
          <w:color w:val="auto"/>
          <w:highlight w:val="none"/>
          <w:lang w:eastAsia="zh-CN"/>
        </w:rPr>
        <w:t>4.本项目采用远程异地评标。</w:t>
      </w:r>
    </w:p>
    <w:p w14:paraId="4F3FEDDC">
      <w:pPr>
        <w:spacing w:line="312" w:lineRule="auto"/>
        <w:ind w:firstLine="420"/>
        <w:rPr>
          <w:color w:val="auto"/>
          <w:szCs w:val="21"/>
          <w:highlight w:val="none"/>
        </w:rPr>
      </w:pPr>
      <w:r>
        <w:rPr>
          <w:rFonts w:hint="eastAsia"/>
          <w:color w:val="auto"/>
          <w:szCs w:val="21"/>
          <w:highlight w:val="none"/>
        </w:rPr>
        <w:t>5</w:t>
      </w:r>
      <w:r>
        <w:rPr>
          <w:color w:val="auto"/>
          <w:szCs w:val="21"/>
          <w:highlight w:val="none"/>
        </w:rPr>
        <w:t>.</w:t>
      </w:r>
      <w:r>
        <w:rPr>
          <w:rFonts w:hint="eastAsia"/>
          <w:color w:val="auto"/>
          <w:szCs w:val="21"/>
          <w:highlight w:val="none"/>
        </w:rPr>
        <w:t>注意事项：</w:t>
      </w:r>
    </w:p>
    <w:p w14:paraId="69EBEC8A">
      <w:pPr>
        <w:spacing w:line="276" w:lineRule="auto"/>
        <w:ind w:firstLine="420"/>
        <w:rPr>
          <w:color w:val="auto"/>
          <w:szCs w:val="21"/>
          <w:highlight w:val="none"/>
        </w:rPr>
      </w:pPr>
      <w:r>
        <w:rPr>
          <w:rFonts w:hint="eastAsia"/>
          <w:color w:val="auto"/>
          <w:szCs w:val="21"/>
          <w:highlight w:val="none"/>
        </w:rPr>
        <w:t>（1）未进行网上注册并办理数字证书（CA认证）的供应商将无法参与本项目政府采购活动，潜在供应商应当在投标截止时间前，完成广西政府采购云平台上的CA数字证书办理及投标文件的提交。完成CA数字证书办理预计7日左右，建议各供应商抓紧时间办理。</w:t>
      </w:r>
    </w:p>
    <w:p w14:paraId="6ACF1D57">
      <w:pPr>
        <w:spacing w:line="276" w:lineRule="auto"/>
        <w:ind w:firstLine="420"/>
        <w:rPr>
          <w:color w:val="auto"/>
          <w:szCs w:val="21"/>
          <w:highlight w:val="none"/>
        </w:rPr>
      </w:pPr>
      <w:r>
        <w:rPr>
          <w:rFonts w:hint="eastAsia"/>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43E6EDAB">
      <w:pPr>
        <w:spacing w:line="276" w:lineRule="auto"/>
        <w:ind w:firstLine="420"/>
        <w:rPr>
          <w:b/>
          <w:bCs/>
          <w:color w:val="auto"/>
          <w:sz w:val="22"/>
          <w:szCs w:val="22"/>
          <w:highlight w:val="none"/>
        </w:rPr>
      </w:pPr>
      <w:r>
        <w:rPr>
          <w:rFonts w:hint="eastAsia"/>
          <w:color w:val="auto"/>
          <w:szCs w:val="21"/>
          <w:highlight w:val="none"/>
        </w:rPr>
        <w:t>（3）若对项目采购电子交易系统操作有疑问，可登录广西政府采购云平台（https://www.gcy.zfcg.gxzf.gov.cn/），点击右侧咨询小采或帮助文档或拨打客服热线95763</w:t>
      </w:r>
      <w:r>
        <w:rPr>
          <w:rFonts w:hint="eastAsia" w:ascii="宋体" w:hAnsi="宋体" w:cs="宋体"/>
          <w:color w:val="auto"/>
          <w:szCs w:val="21"/>
          <w:highlight w:val="none"/>
        </w:rPr>
        <w:t>。</w:t>
      </w:r>
    </w:p>
    <w:p w14:paraId="50B67A69">
      <w:pPr>
        <w:spacing w:line="312" w:lineRule="auto"/>
        <w:ind w:firstLine="442"/>
        <w:jc w:val="left"/>
        <w:rPr>
          <w:b/>
          <w:bCs/>
          <w:color w:val="auto"/>
          <w:sz w:val="22"/>
          <w:szCs w:val="22"/>
          <w:highlight w:val="none"/>
        </w:rPr>
      </w:pPr>
      <w:r>
        <w:rPr>
          <w:rFonts w:hint="eastAsia"/>
          <w:b/>
          <w:bCs/>
          <w:color w:val="auto"/>
          <w:sz w:val="22"/>
          <w:szCs w:val="22"/>
          <w:highlight w:val="none"/>
        </w:rPr>
        <w:t>七、对本次招标提出询问，请按以下方式联系</w:t>
      </w:r>
    </w:p>
    <w:p w14:paraId="513EB99C">
      <w:pPr>
        <w:spacing w:line="312" w:lineRule="auto"/>
        <w:ind w:firstLine="420"/>
        <w:jc w:val="left"/>
        <w:rPr>
          <w:color w:val="auto"/>
          <w:szCs w:val="21"/>
          <w:highlight w:val="none"/>
        </w:rPr>
      </w:pPr>
      <w:r>
        <w:rPr>
          <w:rFonts w:hint="eastAsia"/>
          <w:color w:val="auto"/>
          <w:szCs w:val="21"/>
          <w:highlight w:val="none"/>
        </w:rPr>
        <w:t>1.采购人信息</w:t>
      </w:r>
    </w:p>
    <w:p w14:paraId="6AC3A8CF">
      <w:pPr>
        <w:spacing w:line="312" w:lineRule="auto"/>
        <w:ind w:firstLine="420"/>
        <w:jc w:val="left"/>
        <w:rPr>
          <w:rFonts w:hint="eastAsia" w:eastAsia="宋体"/>
          <w:color w:val="auto"/>
          <w:szCs w:val="21"/>
          <w:highlight w:val="none"/>
          <w:u w:val="single"/>
          <w:lang w:eastAsia="zh-CN"/>
        </w:rPr>
      </w:pPr>
      <w:bookmarkStart w:id="19" w:name="_Hlk19048373"/>
      <w:r>
        <w:rPr>
          <w:rFonts w:hint="eastAsia"/>
          <w:color w:val="auto"/>
          <w:szCs w:val="21"/>
          <w:highlight w:val="none"/>
        </w:rPr>
        <w:t>名称</w:t>
      </w:r>
      <w:r>
        <w:rPr>
          <w:color w:val="auto"/>
          <w:szCs w:val="21"/>
          <w:highlight w:val="none"/>
        </w:rPr>
        <w:t>：</w:t>
      </w:r>
      <w:r>
        <w:rPr>
          <w:rFonts w:hint="eastAsia"/>
          <w:color w:val="auto"/>
          <w:szCs w:val="21"/>
          <w:highlight w:val="none"/>
          <w:u w:val="single"/>
          <w:lang w:eastAsia="zh-CN"/>
        </w:rPr>
        <w:t>北海市中医医院</w:t>
      </w:r>
    </w:p>
    <w:p w14:paraId="275BC2CB">
      <w:pPr>
        <w:spacing w:line="312" w:lineRule="auto"/>
        <w:ind w:firstLine="420"/>
        <w:jc w:val="left"/>
        <w:rPr>
          <w:rFonts w:hint="eastAsia" w:eastAsia="宋体"/>
          <w:color w:val="auto"/>
          <w:szCs w:val="21"/>
          <w:highlight w:val="none"/>
          <w:u w:val="single"/>
          <w:lang w:eastAsia="zh-CN"/>
        </w:rPr>
      </w:pPr>
      <w:r>
        <w:rPr>
          <w:color w:val="auto"/>
          <w:szCs w:val="21"/>
          <w:highlight w:val="none"/>
        </w:rPr>
        <w:t>地址：</w:t>
      </w:r>
      <w:r>
        <w:rPr>
          <w:rFonts w:hint="eastAsia" w:ascii="Times New Roman" w:hAnsi="Times New Roman" w:eastAsia="宋体" w:cs="Times New Roman"/>
          <w:color w:val="auto"/>
          <w:szCs w:val="21"/>
          <w:highlight w:val="none"/>
          <w:u w:val="single"/>
          <w:lang w:val="en-US" w:eastAsia="zh-CN"/>
        </w:rPr>
        <w:t>北海市新建路1号</w:t>
      </w:r>
    </w:p>
    <w:p w14:paraId="195854FE">
      <w:pPr>
        <w:spacing w:line="312" w:lineRule="auto"/>
        <w:ind w:firstLine="420"/>
        <w:jc w:val="left"/>
        <w:rPr>
          <w:rFonts w:hint="eastAsia"/>
          <w:color w:val="auto"/>
          <w:szCs w:val="21"/>
          <w:highlight w:val="none"/>
          <w:u w:val="single"/>
          <w:lang w:val="en-US" w:eastAsia="zh-CN"/>
        </w:rPr>
      </w:pPr>
      <w:r>
        <w:rPr>
          <w:rFonts w:hint="eastAsia"/>
          <w:color w:val="auto"/>
          <w:szCs w:val="21"/>
          <w:highlight w:val="none"/>
        </w:rPr>
        <w:t>项目联系人：</w:t>
      </w:r>
      <w:r>
        <w:rPr>
          <w:rFonts w:hint="eastAsia"/>
          <w:color w:val="auto"/>
          <w:szCs w:val="21"/>
          <w:highlight w:val="none"/>
          <w:u w:val="single"/>
          <w:lang w:val="en-US" w:eastAsia="zh-CN"/>
        </w:rPr>
        <w:t>吴老师</w:t>
      </w:r>
    </w:p>
    <w:p w14:paraId="2C020B96">
      <w:pPr>
        <w:spacing w:line="312" w:lineRule="auto"/>
        <w:ind w:firstLine="420"/>
        <w:jc w:val="left"/>
        <w:rPr>
          <w:rFonts w:hint="eastAsia" w:eastAsia="宋体"/>
          <w:color w:val="auto"/>
          <w:szCs w:val="21"/>
          <w:highlight w:val="none"/>
          <w:u w:val="single"/>
          <w:lang w:val="en-US" w:eastAsia="zh-CN"/>
        </w:rPr>
      </w:pPr>
      <w:r>
        <w:rPr>
          <w:rFonts w:hint="eastAsia"/>
          <w:color w:val="auto"/>
          <w:szCs w:val="21"/>
          <w:highlight w:val="none"/>
        </w:rPr>
        <w:t>项目</w:t>
      </w:r>
      <w:r>
        <w:rPr>
          <w:color w:val="auto"/>
          <w:szCs w:val="21"/>
          <w:highlight w:val="none"/>
        </w:rPr>
        <w:t>联系</w:t>
      </w:r>
      <w:r>
        <w:rPr>
          <w:rFonts w:hint="eastAsia"/>
          <w:color w:val="auto"/>
          <w:szCs w:val="21"/>
          <w:highlight w:val="none"/>
        </w:rPr>
        <w:t>方式</w:t>
      </w:r>
      <w:r>
        <w:rPr>
          <w:color w:val="auto"/>
          <w:szCs w:val="21"/>
          <w:highlight w:val="none"/>
        </w:rPr>
        <w:t>：</w:t>
      </w:r>
      <w:r>
        <w:rPr>
          <w:rFonts w:hint="eastAsia"/>
          <w:color w:val="auto"/>
          <w:szCs w:val="21"/>
          <w:highlight w:val="none"/>
          <w:u w:val="single"/>
          <w:lang w:val="en-US" w:eastAsia="zh-CN"/>
        </w:rPr>
        <w:t xml:space="preserve"> </w:t>
      </w:r>
      <w:r>
        <w:rPr>
          <w:rFonts w:hint="eastAsia"/>
          <w:color w:val="auto"/>
          <w:szCs w:val="21"/>
          <w:highlight w:val="none"/>
          <w:u w:val="single"/>
          <w:lang w:eastAsia="zh-CN"/>
        </w:rPr>
        <w:t>0779-2029218</w:t>
      </w:r>
    </w:p>
    <w:p w14:paraId="070747A6">
      <w:pPr>
        <w:spacing w:line="312" w:lineRule="auto"/>
        <w:ind w:firstLine="420"/>
        <w:jc w:val="left"/>
        <w:rPr>
          <w:color w:val="auto"/>
          <w:szCs w:val="21"/>
          <w:highlight w:val="none"/>
          <w:u w:val="single"/>
        </w:rPr>
      </w:pPr>
    </w:p>
    <w:p w14:paraId="66C5A99A">
      <w:pPr>
        <w:spacing w:line="312" w:lineRule="auto"/>
        <w:ind w:firstLine="420"/>
        <w:jc w:val="left"/>
        <w:rPr>
          <w:color w:val="auto"/>
          <w:szCs w:val="21"/>
          <w:highlight w:val="none"/>
        </w:rPr>
      </w:pPr>
      <w:r>
        <w:rPr>
          <w:rFonts w:hint="eastAsia"/>
          <w:color w:val="auto"/>
          <w:szCs w:val="21"/>
          <w:highlight w:val="none"/>
        </w:rPr>
        <w:t>2.采购代理机构信息</w:t>
      </w:r>
    </w:p>
    <w:p w14:paraId="085144E1">
      <w:pPr>
        <w:spacing w:line="312" w:lineRule="auto"/>
        <w:ind w:firstLine="420"/>
        <w:jc w:val="left"/>
        <w:rPr>
          <w:color w:val="auto"/>
          <w:szCs w:val="21"/>
          <w:highlight w:val="none"/>
          <w:u w:val="single"/>
        </w:rPr>
      </w:pPr>
      <w:r>
        <w:rPr>
          <w:rFonts w:hint="eastAsia"/>
          <w:color w:val="auto"/>
          <w:szCs w:val="21"/>
          <w:highlight w:val="none"/>
        </w:rPr>
        <w:t>名称</w:t>
      </w:r>
      <w:r>
        <w:rPr>
          <w:color w:val="auto"/>
          <w:szCs w:val="21"/>
          <w:highlight w:val="none"/>
        </w:rPr>
        <w:t>：</w:t>
      </w:r>
      <w:r>
        <w:rPr>
          <w:color w:val="auto"/>
          <w:szCs w:val="21"/>
          <w:highlight w:val="none"/>
          <w:u w:val="single"/>
        </w:rPr>
        <w:t>广西机电设备招标有限公司</w:t>
      </w:r>
    </w:p>
    <w:p w14:paraId="69692BAA">
      <w:pPr>
        <w:spacing w:line="312" w:lineRule="auto"/>
        <w:ind w:firstLine="420"/>
        <w:jc w:val="left"/>
        <w:rPr>
          <w:color w:val="auto"/>
          <w:highlight w:val="none"/>
          <w:u w:val="single"/>
        </w:rPr>
      </w:pPr>
      <w:r>
        <w:rPr>
          <w:color w:val="auto"/>
          <w:szCs w:val="21"/>
          <w:highlight w:val="none"/>
        </w:rPr>
        <w:t>地址：</w:t>
      </w:r>
      <w:r>
        <w:rPr>
          <w:rFonts w:hint="eastAsia"/>
          <w:color w:val="auto"/>
          <w:szCs w:val="21"/>
          <w:highlight w:val="none"/>
          <w:u w:val="single"/>
        </w:rPr>
        <w:t>广西北海市北海大道与西藏路交汇处银河产业城2幢5层508</w:t>
      </w:r>
      <w:bookmarkEnd w:id="19"/>
    </w:p>
    <w:p w14:paraId="6CB7AD82">
      <w:pPr>
        <w:spacing w:line="312" w:lineRule="auto"/>
        <w:ind w:firstLine="420"/>
        <w:jc w:val="left"/>
        <w:rPr>
          <w:rFonts w:hint="default" w:eastAsia="宋体"/>
          <w:color w:val="auto"/>
          <w:szCs w:val="21"/>
          <w:highlight w:val="none"/>
          <w:u w:val="single"/>
          <w:lang w:val="en-US" w:eastAsia="zh-CN"/>
        </w:rPr>
      </w:pPr>
      <w:r>
        <w:rPr>
          <w:color w:val="auto"/>
          <w:szCs w:val="21"/>
          <w:highlight w:val="none"/>
        </w:rPr>
        <w:t>项目联系人：</w:t>
      </w:r>
      <w:r>
        <w:rPr>
          <w:rFonts w:hint="eastAsia"/>
          <w:color w:val="auto"/>
          <w:szCs w:val="21"/>
          <w:highlight w:val="none"/>
          <w:u w:val="single"/>
        </w:rPr>
        <w:t>吴仁晖、郑舒心、李妍茜</w:t>
      </w:r>
    </w:p>
    <w:p w14:paraId="0A1EE6CE">
      <w:pPr>
        <w:spacing w:line="312" w:lineRule="auto"/>
        <w:ind w:firstLine="420"/>
        <w:jc w:val="left"/>
        <w:rPr>
          <w:rFonts w:hint="default" w:eastAsia="宋体"/>
          <w:color w:val="auto"/>
          <w:szCs w:val="21"/>
          <w:highlight w:val="none"/>
          <w:u w:val="single"/>
          <w:lang w:val="en-US" w:eastAsia="zh-CN"/>
        </w:rPr>
      </w:pPr>
      <w:r>
        <w:rPr>
          <w:rFonts w:hint="eastAsia"/>
          <w:color w:val="auto"/>
          <w:szCs w:val="21"/>
          <w:highlight w:val="none"/>
        </w:rPr>
        <w:t>项目联系方式</w:t>
      </w:r>
      <w:r>
        <w:rPr>
          <w:color w:val="auto"/>
          <w:szCs w:val="21"/>
          <w:highlight w:val="none"/>
        </w:rPr>
        <w:t>：</w:t>
      </w:r>
      <w:r>
        <w:rPr>
          <w:rFonts w:hint="eastAsia"/>
          <w:color w:val="auto"/>
          <w:szCs w:val="21"/>
          <w:highlight w:val="none"/>
          <w:u w:val="single"/>
          <w:lang w:val="en-US" w:eastAsia="zh-CN"/>
        </w:rPr>
        <w:t>0779-3900996/0779-2039746</w:t>
      </w:r>
    </w:p>
    <w:p w14:paraId="50AA1A96">
      <w:pPr>
        <w:spacing w:line="312" w:lineRule="auto"/>
        <w:ind w:firstLine="420"/>
        <w:jc w:val="right"/>
        <w:rPr>
          <w:color w:val="auto"/>
          <w:szCs w:val="21"/>
          <w:highlight w:val="none"/>
        </w:rPr>
      </w:pPr>
    </w:p>
    <w:p w14:paraId="01CFC8A9">
      <w:pPr>
        <w:spacing w:line="312" w:lineRule="auto"/>
        <w:ind w:firstLine="420"/>
        <w:jc w:val="right"/>
        <w:rPr>
          <w:color w:val="auto"/>
          <w:szCs w:val="21"/>
          <w:highlight w:val="none"/>
        </w:rPr>
      </w:pPr>
    </w:p>
    <w:p w14:paraId="3707923D">
      <w:pPr>
        <w:spacing w:line="312" w:lineRule="auto"/>
        <w:ind w:firstLine="420"/>
        <w:jc w:val="right"/>
        <w:rPr>
          <w:color w:val="auto"/>
          <w:szCs w:val="21"/>
          <w:highlight w:val="none"/>
        </w:rPr>
      </w:pPr>
      <w:r>
        <w:rPr>
          <w:color w:val="auto"/>
          <w:szCs w:val="21"/>
          <w:highlight w:val="none"/>
        </w:rPr>
        <w:t>广西机电设备招标有限公司</w:t>
      </w:r>
    </w:p>
    <w:p w14:paraId="0E9EE1DD">
      <w:pPr>
        <w:spacing w:line="312" w:lineRule="auto"/>
        <w:ind w:firstLine="420"/>
        <w:jc w:val="right"/>
        <w:rPr>
          <w:color w:val="auto"/>
          <w:sz w:val="18"/>
          <w:szCs w:val="18"/>
          <w:highlight w:val="none"/>
        </w:rPr>
      </w:pPr>
      <w:r>
        <w:rPr>
          <w:rFonts w:hint="eastAsia"/>
          <w:color w:val="auto"/>
          <w:szCs w:val="21"/>
          <w:highlight w:val="none"/>
          <w:lang w:eastAsia="zh-CN"/>
        </w:rPr>
        <w:t>2026年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p>
    <w:p w14:paraId="06795983">
      <w:pPr>
        <w:pStyle w:val="27"/>
        <w:spacing w:before="120" w:after="120" w:line="320" w:lineRule="exact"/>
        <w:jc w:val="center"/>
        <w:outlineLvl w:val="0"/>
        <w:rPr>
          <w:rFonts w:ascii="Times New Roman" w:hAnsi="Times New Roman" w:cs="Times New Roman"/>
          <w:color w:val="auto"/>
          <w:highlight w:val="none"/>
        </w:rPr>
        <w:sectPr>
          <w:headerReference r:id="rId9" w:type="first"/>
          <w:footerReference r:id="rId11" w:type="first"/>
          <w:headerReference r:id="rId8" w:type="default"/>
          <w:footerReference r:id="rId10" w:type="default"/>
          <w:pgSz w:w="11906" w:h="16838"/>
          <w:pgMar w:top="1304" w:right="1133" w:bottom="1304" w:left="1218" w:header="851" w:footer="903" w:gutter="0"/>
          <w:pgNumType w:start="1"/>
          <w:cols w:space="720" w:num="1"/>
        </w:sectPr>
      </w:pPr>
    </w:p>
    <w:p w14:paraId="68988CA7">
      <w:pPr>
        <w:pStyle w:val="27"/>
        <w:numPr>
          <w:ilvl w:val="0"/>
          <w:numId w:val="2"/>
        </w:numPr>
        <w:spacing w:before="120" w:after="120" w:line="320" w:lineRule="exact"/>
        <w:jc w:val="center"/>
        <w:outlineLvl w:val="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 xml:space="preserve"> </w:t>
      </w:r>
      <w:bookmarkStart w:id="20" w:name="_Toc2309"/>
      <w:r>
        <w:rPr>
          <w:rFonts w:ascii="Times New Roman" w:hAnsi="Times New Roman" w:cs="Times New Roman"/>
          <w:color w:val="auto"/>
          <w:sz w:val="32"/>
          <w:szCs w:val="32"/>
          <w:highlight w:val="none"/>
        </w:rPr>
        <w:t>项目采购需求</w:t>
      </w:r>
      <w:bookmarkEnd w:id="20"/>
    </w:p>
    <w:p w14:paraId="358CB840">
      <w:pPr>
        <w:pStyle w:val="27"/>
        <w:numPr>
          <w:ilvl w:val="0"/>
          <w:numId w:val="0"/>
        </w:numPr>
        <w:spacing w:before="120" w:after="120" w:line="320" w:lineRule="exact"/>
        <w:jc w:val="center"/>
        <w:outlineLvl w:val="0"/>
        <w:rPr>
          <w:rFonts w:hint="eastAsia" w:ascii="Times New Roman" w:hAnsi="Times New Roman" w:cs="Times New Roman"/>
          <w:color w:val="auto"/>
          <w:sz w:val="32"/>
          <w:szCs w:val="32"/>
          <w:highlight w:val="none"/>
          <w:lang w:eastAsia="zh-CN"/>
        </w:rPr>
      </w:pPr>
    </w:p>
    <w:p w14:paraId="338DBAB3">
      <w:pPr>
        <w:pStyle w:val="27"/>
        <w:numPr>
          <w:ilvl w:val="0"/>
          <w:numId w:val="0"/>
        </w:numPr>
        <w:spacing w:before="120" w:after="120" w:line="320" w:lineRule="exact"/>
        <w:jc w:val="center"/>
        <w:outlineLvl w:val="0"/>
        <w:rPr>
          <w:rFonts w:hint="eastAsia" w:ascii="Times New Roman" w:hAnsi="Times New Roman" w:cs="Times New Roman"/>
          <w:b/>
          <w:bCs/>
          <w:color w:val="auto"/>
          <w:sz w:val="28"/>
          <w:szCs w:val="28"/>
          <w:highlight w:val="none"/>
          <w:lang w:eastAsia="zh-CN"/>
        </w:rPr>
      </w:pPr>
      <w:bookmarkStart w:id="21" w:name="_Toc18201"/>
      <w:r>
        <w:rPr>
          <w:rFonts w:hint="eastAsia" w:ascii="Times New Roman" w:hAnsi="Times New Roman" w:cs="Times New Roman"/>
          <w:b/>
          <w:bCs/>
          <w:color w:val="auto"/>
          <w:sz w:val="28"/>
          <w:szCs w:val="28"/>
          <w:highlight w:val="none"/>
          <w:lang w:eastAsia="zh-CN"/>
        </w:rPr>
        <w:t>【标项一：</w:t>
      </w:r>
      <w:r>
        <w:rPr>
          <w:rFonts w:hint="eastAsia" w:ascii="Times New Roman" w:hAnsi="Times New Roman" w:cs="Times New Roman"/>
          <w:b/>
          <w:bCs/>
          <w:color w:val="auto"/>
          <w:sz w:val="28"/>
          <w:szCs w:val="28"/>
          <w:highlight w:val="none"/>
          <w:lang w:val="en-US" w:eastAsia="zh-CN"/>
        </w:rPr>
        <w:t>检验设备一套</w:t>
      </w:r>
      <w:r>
        <w:rPr>
          <w:rFonts w:hint="eastAsia" w:ascii="Times New Roman" w:hAnsi="Times New Roman" w:cs="Times New Roman"/>
          <w:b/>
          <w:bCs/>
          <w:color w:val="auto"/>
          <w:sz w:val="28"/>
          <w:szCs w:val="28"/>
          <w:highlight w:val="none"/>
          <w:lang w:eastAsia="zh-CN"/>
        </w:rPr>
        <w:t>】</w:t>
      </w:r>
      <w:bookmarkEnd w:id="21"/>
    </w:p>
    <w:p w14:paraId="1834D107">
      <w:pPr>
        <w:spacing w:line="360" w:lineRule="auto"/>
        <w:rPr>
          <w:rFonts w:ascii="黑体" w:hAnsi="黑体" w:eastAsia="黑体" w:cs="Arial"/>
          <w:b/>
          <w:color w:val="auto"/>
          <w:sz w:val="28"/>
          <w:szCs w:val="28"/>
          <w:highlight w:val="none"/>
        </w:rPr>
      </w:pPr>
      <w:r>
        <w:rPr>
          <w:rFonts w:ascii="黑体" w:hAnsi="黑体" w:eastAsia="黑体" w:cs="Arial"/>
          <w:b/>
          <w:color w:val="auto"/>
          <w:sz w:val="28"/>
          <w:szCs w:val="28"/>
          <w:highlight w:val="none"/>
        </w:rPr>
        <w:t>一、</w:t>
      </w:r>
      <w:r>
        <w:rPr>
          <w:rFonts w:hint="eastAsia" w:ascii="黑体" w:hAnsi="黑体" w:eastAsia="黑体" w:cs="Arial"/>
          <w:b/>
          <w:color w:val="auto"/>
          <w:sz w:val="28"/>
          <w:szCs w:val="28"/>
          <w:highlight w:val="none"/>
        </w:rPr>
        <w:t>总体</w:t>
      </w:r>
      <w:r>
        <w:rPr>
          <w:rFonts w:ascii="黑体" w:hAnsi="黑体" w:eastAsia="黑体" w:cs="Arial"/>
          <w:b/>
          <w:color w:val="auto"/>
          <w:sz w:val="28"/>
          <w:szCs w:val="28"/>
          <w:highlight w:val="none"/>
        </w:rPr>
        <w:t>要求</w:t>
      </w:r>
    </w:p>
    <w:p w14:paraId="4B5E413A">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510B5B75">
      <w:pPr>
        <w:spacing w:line="360" w:lineRule="auto"/>
        <w:rPr>
          <w:color w:val="auto"/>
          <w:szCs w:val="21"/>
          <w:highlight w:val="none"/>
        </w:rPr>
      </w:pPr>
      <w:r>
        <w:rPr>
          <w:rFonts w:hint="eastAsia"/>
          <w:color w:val="auto"/>
          <w:szCs w:val="21"/>
          <w:highlight w:val="none"/>
        </w:rPr>
        <w:t>详见招标文件“评审方法及标准</w:t>
      </w:r>
      <w:r>
        <w:rPr>
          <w:color w:val="auto"/>
          <w:szCs w:val="21"/>
          <w:highlight w:val="none"/>
        </w:rPr>
        <w:t>/政府采购政策应用说明”。</w:t>
      </w:r>
    </w:p>
    <w:p w14:paraId="24E7A406">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采购人与中标供应商</w:t>
      </w:r>
      <w:r>
        <w:rPr>
          <w:color w:val="auto"/>
          <w:szCs w:val="21"/>
          <w:highlight w:val="none"/>
        </w:rPr>
        <w:t>在采购合同中约定。</w:t>
      </w:r>
    </w:p>
    <w:p w14:paraId="00F49062">
      <w:pPr>
        <w:spacing w:line="360" w:lineRule="auto"/>
        <w:rPr>
          <w:color w:val="auto"/>
          <w:szCs w:val="21"/>
          <w:highlight w:val="none"/>
        </w:rPr>
      </w:pPr>
      <w:r>
        <w:rPr>
          <w:rFonts w:hint="eastAsia"/>
          <w:color w:val="auto"/>
          <w:szCs w:val="21"/>
          <w:highlight w:val="none"/>
        </w:rPr>
        <w:t>3.标注“▲”的条款或要求系指实质性条款或实质性要求，必须满足，如存在负偏离将导致</w:t>
      </w:r>
      <w:r>
        <w:rPr>
          <w:rFonts w:hint="eastAsia"/>
          <w:color w:val="auto"/>
          <w:szCs w:val="21"/>
          <w:highlight w:val="none"/>
          <w:lang w:eastAsia="zh-CN"/>
        </w:rPr>
        <w:t>投标无效</w:t>
      </w:r>
      <w:r>
        <w:rPr>
          <w:rFonts w:hint="eastAsia"/>
          <w:color w:val="auto"/>
          <w:szCs w:val="21"/>
          <w:highlight w:val="none"/>
        </w:rPr>
        <w:t>。标注</w:t>
      </w:r>
      <w:r>
        <w:rPr>
          <w:rFonts w:hint="eastAsia" w:ascii="方正楷体_GB2312" w:hAnsi="方正楷体_GB2312" w:eastAsia="方正楷体_GB2312" w:cs="方正楷体_GB2312"/>
          <w:color w:val="auto"/>
          <w:szCs w:val="21"/>
          <w:highlight w:val="none"/>
          <w:lang w:eastAsia="zh-CN"/>
        </w:rPr>
        <w:t>“</w:t>
      </w:r>
      <w:r>
        <w:rPr>
          <w:rFonts w:hint="eastAsia" w:ascii="方正楷体_GB2312" w:hAnsi="方正楷体_GB2312" w:eastAsia="方正楷体_GB2312" w:cs="方正楷体_GB2312"/>
          <w:i w:val="0"/>
          <w:iCs w:val="0"/>
          <w:color w:val="auto"/>
          <w:kern w:val="0"/>
          <w:sz w:val="21"/>
          <w:szCs w:val="21"/>
          <w:highlight w:val="none"/>
          <w:u w:val="none"/>
          <w:lang w:val="en-US" w:eastAsia="zh-CN" w:bidi="ar"/>
        </w:rPr>
        <w:t>●</w:t>
      </w:r>
      <w:r>
        <w:rPr>
          <w:rFonts w:hint="eastAsia" w:ascii="方正楷体_GB2312" w:hAnsi="方正楷体_GB2312" w:eastAsia="方正楷体_GB2312" w:cs="方正楷体_GB2312"/>
          <w:color w:val="auto"/>
          <w:szCs w:val="21"/>
          <w:highlight w:val="none"/>
          <w:lang w:eastAsia="zh-CN"/>
        </w:rPr>
        <w:t>”</w:t>
      </w:r>
      <w:r>
        <w:rPr>
          <w:rFonts w:hint="eastAsia"/>
          <w:color w:val="auto"/>
          <w:szCs w:val="21"/>
          <w:highlight w:val="none"/>
        </w:rPr>
        <w:t>代表重要指标</w:t>
      </w:r>
      <w:r>
        <w:rPr>
          <w:rFonts w:hint="eastAsia" w:ascii="方正楷体_GB2312" w:hAnsi="方正楷体_GB2312" w:eastAsia="方正楷体_GB2312" w:cs="方正楷体_GB2312"/>
          <w:color w:val="auto"/>
          <w:szCs w:val="21"/>
          <w:highlight w:val="none"/>
          <w:lang w:val="en-US" w:eastAsia="zh-CN"/>
        </w:rPr>
        <w:t>。</w:t>
      </w:r>
    </w:p>
    <w:p w14:paraId="58133EB4">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二、技术要求</w:t>
      </w:r>
    </w:p>
    <w:p w14:paraId="48E15540">
      <w:pPr>
        <w:spacing w:line="360" w:lineRule="auto"/>
        <w:rPr>
          <w:color w:val="auto"/>
          <w:szCs w:val="21"/>
          <w:highlight w:val="none"/>
        </w:rPr>
      </w:pPr>
      <w:r>
        <w:rPr>
          <w:rFonts w:hint="eastAsia"/>
          <w:color w:val="auto"/>
          <w:szCs w:val="21"/>
          <w:highlight w:val="none"/>
        </w:rPr>
        <w:t>1.需实现的功能、目标及应用场景</w:t>
      </w:r>
    </w:p>
    <w:p w14:paraId="3E832220">
      <w:pPr>
        <w:spacing w:line="360" w:lineRule="auto"/>
        <w:rPr>
          <w:color w:val="auto"/>
          <w:szCs w:val="21"/>
          <w:highlight w:val="none"/>
        </w:rPr>
      </w:pPr>
      <w:r>
        <w:rPr>
          <w:rFonts w:hint="eastAsia"/>
          <w:color w:val="auto"/>
          <w:szCs w:val="21"/>
          <w:highlight w:val="none"/>
        </w:rPr>
        <w:t>满足招标文件要求，验收达到合格标准。</w:t>
      </w:r>
    </w:p>
    <w:p w14:paraId="09BE7A29">
      <w:pPr>
        <w:spacing w:line="360" w:lineRule="auto"/>
        <w:rPr>
          <w:color w:val="auto"/>
          <w:szCs w:val="21"/>
          <w:highlight w:val="none"/>
        </w:rPr>
      </w:pPr>
      <w:r>
        <w:rPr>
          <w:color w:val="auto"/>
          <w:szCs w:val="21"/>
          <w:highlight w:val="none"/>
        </w:rPr>
        <w:t>2</w:t>
      </w:r>
      <w:r>
        <w:rPr>
          <w:rFonts w:hint="eastAsia"/>
          <w:color w:val="auto"/>
          <w:szCs w:val="21"/>
          <w:highlight w:val="none"/>
        </w:rPr>
        <w:t>.是否接受进口产品：</w:t>
      </w:r>
    </w:p>
    <w:p w14:paraId="68138D34">
      <w:pPr>
        <w:spacing w:line="360" w:lineRule="auto"/>
        <w:rPr>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u w:val="none"/>
          <w:lang w:val="en-US" w:eastAsia="zh-CN"/>
        </w:rPr>
        <w:t>不</w:t>
      </w:r>
      <w:r>
        <w:rPr>
          <w:rFonts w:hint="eastAsia" w:ascii="宋体" w:hAnsi="宋体" w:eastAsia="宋体" w:cs="宋体"/>
          <w:color w:val="auto"/>
          <w:szCs w:val="21"/>
          <w:highlight w:val="none"/>
        </w:rPr>
        <w:t>接受进口产品</w:t>
      </w:r>
      <w:r>
        <w:rPr>
          <w:rFonts w:hint="eastAsia" w:ascii="宋体" w:hAnsi="宋体" w:eastAsia="宋体" w:cs="宋体"/>
          <w:color w:val="000000"/>
          <w:szCs w:val="21"/>
          <w:highlight w:val="none"/>
        </w:rPr>
        <w:t>。</w:t>
      </w:r>
    </w:p>
    <w:p w14:paraId="7374EE8D">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需执行的国家相关标准、行业标准、地方标准或者其他标准、规范</w:t>
      </w:r>
    </w:p>
    <w:p w14:paraId="1BB2AF83">
      <w:pPr>
        <w:keepNext w:val="0"/>
        <w:keepLines w:val="0"/>
        <w:widowControl/>
        <w:suppressLineNumbers w:val="0"/>
        <w:jc w:val="left"/>
        <w:rPr>
          <w:iCs/>
          <w:color w:val="auto"/>
          <w:szCs w:val="21"/>
          <w:highlight w:val="none"/>
        </w:rPr>
      </w:pPr>
      <w:r>
        <w:rPr>
          <w:rFonts w:hint="eastAsia"/>
          <w:color w:val="auto"/>
          <w:szCs w:val="21"/>
          <w:highlight w:val="none"/>
        </w:rPr>
        <w:t>本项目应执行的国家相关标准、行业标准、地方标准或者其他标准、规范</w:t>
      </w:r>
      <w:r>
        <w:rPr>
          <w:rFonts w:hint="eastAsia"/>
          <w:color w:val="auto"/>
          <w:szCs w:val="21"/>
          <w:highlight w:val="none"/>
          <w:lang w:eastAsia="zh-CN"/>
        </w:rPr>
        <w:t>：</w:t>
      </w:r>
      <w:r>
        <w:rPr>
          <w:rFonts w:hint="eastAsia" w:ascii="宋体" w:hAnsi="宋体" w:eastAsia="宋体" w:cs="宋体"/>
          <w:i w:val="0"/>
          <w:iCs w:val="0"/>
          <w:color w:val="auto"/>
          <w:sz w:val="21"/>
          <w:szCs w:val="21"/>
          <w:highlight w:val="none"/>
          <w:u w:val="single"/>
          <w:lang w:val="en-US" w:eastAsia="zh-CN" w:bidi="ar"/>
        </w:rPr>
        <w:t>详见技术指标要求</w:t>
      </w:r>
      <w:r>
        <w:rPr>
          <w:rFonts w:hint="eastAsia"/>
          <w:color w:val="auto"/>
          <w:szCs w:val="21"/>
          <w:highlight w:val="none"/>
        </w:rPr>
        <w:t>。</w:t>
      </w:r>
    </w:p>
    <w:p w14:paraId="3D56A196">
      <w:pPr>
        <w:spacing w:line="360" w:lineRule="auto"/>
        <w:rPr>
          <w:color w:val="auto"/>
          <w:szCs w:val="21"/>
          <w:highlight w:val="none"/>
        </w:rPr>
      </w:pPr>
      <w:r>
        <w:rPr>
          <w:color w:val="auto"/>
          <w:szCs w:val="21"/>
          <w:highlight w:val="none"/>
        </w:rPr>
        <w:t>4</w:t>
      </w:r>
      <w:r>
        <w:rPr>
          <w:rFonts w:hint="eastAsia"/>
          <w:color w:val="auto"/>
          <w:szCs w:val="21"/>
          <w:highlight w:val="none"/>
        </w:rPr>
        <w:t>.一般说明</w:t>
      </w:r>
    </w:p>
    <w:p w14:paraId="069F0D47">
      <w:pPr>
        <w:spacing w:line="360" w:lineRule="auto"/>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本章</w:t>
      </w:r>
      <w:r>
        <w:rPr>
          <w:color w:val="auto"/>
          <w:szCs w:val="21"/>
          <w:highlight w:val="none"/>
        </w:rPr>
        <w:t>中如提及品牌型号，仅起参考作用。供应商可选用其他品牌型号替代，但这些替代的品牌型号要实质上参照或相当于或优于参考品牌型号及其技术参数性能（配置）要求。</w:t>
      </w:r>
    </w:p>
    <w:p w14:paraId="1745E26C">
      <w:pPr>
        <w:spacing w:line="360" w:lineRule="auto"/>
        <w:rPr>
          <w:rFonts w:hint="eastAsia"/>
          <w:color w:val="auto"/>
          <w:szCs w:val="21"/>
          <w:highlight w:val="none"/>
        </w:rPr>
      </w:pPr>
      <w:r>
        <w:rPr>
          <w:rFonts w:hint="eastAsia"/>
          <w:color w:val="auto"/>
          <w:szCs w:val="21"/>
          <w:highlight w:val="none"/>
        </w:rPr>
        <w:t>（</w:t>
      </w:r>
      <w:r>
        <w:rPr>
          <w:color w:val="auto"/>
          <w:szCs w:val="21"/>
          <w:highlight w:val="none"/>
        </w:rPr>
        <w:t>2）如要求提供检测报告</w:t>
      </w:r>
      <w:r>
        <w:rPr>
          <w:rFonts w:hint="eastAsia"/>
          <w:color w:val="auto"/>
          <w:szCs w:val="21"/>
          <w:highlight w:val="none"/>
        </w:rPr>
        <w:t>或其他证明材料</w:t>
      </w:r>
      <w:r>
        <w:rPr>
          <w:color w:val="auto"/>
          <w:szCs w:val="21"/>
          <w:highlight w:val="none"/>
        </w:rPr>
        <w:t>的，检测报告或</w:t>
      </w:r>
      <w:r>
        <w:rPr>
          <w:rFonts w:hint="eastAsia"/>
          <w:color w:val="auto"/>
          <w:szCs w:val="21"/>
          <w:highlight w:val="none"/>
        </w:rPr>
        <w:t>其他证明材料</w:t>
      </w:r>
      <w:r>
        <w:rPr>
          <w:color w:val="auto"/>
          <w:szCs w:val="21"/>
          <w:highlight w:val="none"/>
        </w:rPr>
        <w:t>内容中若涉及外文说明，必须同时提供对应中文翻译说明，评审依据以中文翻译内容为准，外文说明仅供参考；产品</w:t>
      </w:r>
      <w:r>
        <w:rPr>
          <w:rFonts w:hint="eastAsia"/>
          <w:color w:val="auto"/>
          <w:szCs w:val="21"/>
          <w:highlight w:val="none"/>
        </w:rPr>
        <w:t>证明材料</w:t>
      </w:r>
      <w:r>
        <w:rPr>
          <w:color w:val="auto"/>
          <w:szCs w:val="21"/>
          <w:highlight w:val="none"/>
        </w:rPr>
        <w:t>应为报告正面、背面和附件标注的全部具体内容；产品</w:t>
      </w:r>
      <w:r>
        <w:rPr>
          <w:rFonts w:hint="eastAsia"/>
          <w:color w:val="auto"/>
          <w:szCs w:val="21"/>
          <w:highlight w:val="none"/>
        </w:rPr>
        <w:t>证明材料</w:t>
      </w:r>
      <w:r>
        <w:rPr>
          <w:color w:val="auto"/>
          <w:szCs w:val="21"/>
          <w:highlight w:val="none"/>
        </w:rPr>
        <w:t>的</w:t>
      </w:r>
      <w:r>
        <w:rPr>
          <w:rFonts w:hint="eastAsia"/>
          <w:color w:val="auto"/>
          <w:szCs w:val="21"/>
          <w:highlight w:val="none"/>
        </w:rPr>
        <w:t>内容</w:t>
      </w:r>
      <w:r>
        <w:rPr>
          <w:color w:val="auto"/>
          <w:szCs w:val="21"/>
          <w:highlight w:val="none"/>
        </w:rPr>
        <w:t>应该能够被阅读、识别和判断。</w:t>
      </w:r>
      <w:r>
        <w:rPr>
          <w:rFonts w:hint="eastAsia"/>
          <w:color w:val="auto"/>
          <w:szCs w:val="21"/>
          <w:highlight w:val="none"/>
        </w:rPr>
        <w:t xml:space="preserve"> </w:t>
      </w:r>
    </w:p>
    <w:p w14:paraId="589289D3">
      <w:pPr>
        <w:spacing w:line="360" w:lineRule="auto"/>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lang w:eastAsia="zh-CN"/>
        </w:rPr>
        <w:t>）供应商应根据自身实际情况如实响应招标文件，不得仅将招标文件中“技术参数要求”或“商务要求”内容简单复制粘贴作为投标响应，否则将按无效响应处理。对于重要技术条款或技术参数应当在投标文件中提供技术支持资料（如有），技术支持资料以</w:t>
      </w:r>
      <w:ins w:id="0" w:author="JDZBzheng" w:date="2026-06-30T11:55:59Z">
        <w:r>
          <w:rPr>
            <w:rFonts w:hint="eastAsia" w:ascii="宋体" w:hAnsi="宋体" w:cs="宋体"/>
            <w:color w:val="000000"/>
            <w:szCs w:val="21"/>
            <w:highlight w:val="none"/>
            <w:lang w:val="en-US" w:eastAsia="zh-CN"/>
          </w:rPr>
          <w:t>招标</w:t>
        </w:r>
      </w:ins>
      <w:r>
        <w:rPr>
          <w:rFonts w:hint="eastAsia" w:ascii="宋体" w:hAnsi="宋体" w:eastAsia="宋体" w:cs="宋体"/>
          <w:color w:val="000000"/>
          <w:szCs w:val="21"/>
          <w:highlight w:val="none"/>
          <w:lang w:eastAsia="zh-CN"/>
        </w:rPr>
        <w:t>文件中规定的形式为准，否则将视为无效技术支持资料。</w:t>
      </w:r>
    </w:p>
    <w:p w14:paraId="2EC5CA2B">
      <w:pPr>
        <w:spacing w:line="360" w:lineRule="auto"/>
        <w:rPr>
          <w:rFonts w:hint="eastAsia" w:ascii="宋体" w:hAnsi="宋体" w:eastAsia="宋体" w:cs="宋体"/>
          <w:color w:val="000000"/>
          <w:szCs w:val="21"/>
          <w:highlight w:val="none"/>
          <w:lang w:eastAsia="zh-CN"/>
        </w:rPr>
      </w:pPr>
      <w:r>
        <w:rPr>
          <w:rFonts w:hint="eastAsia" w:ascii="宋体" w:hAnsi="宋体" w:eastAsia="宋体" w:cs="宋体"/>
          <w:b/>
          <w:bCs/>
          <w:color w:val="000000"/>
          <w:szCs w:val="21"/>
          <w:highlight w:val="none"/>
          <w:lang w:eastAsia="zh-CN"/>
        </w:rPr>
        <w:t>（</w:t>
      </w:r>
      <w:r>
        <w:rPr>
          <w:rFonts w:hint="eastAsia" w:ascii="宋体" w:hAnsi="宋体" w:eastAsia="宋体" w:cs="宋体"/>
          <w:b/>
          <w:bCs/>
          <w:color w:val="000000"/>
          <w:szCs w:val="21"/>
          <w:highlight w:val="none"/>
          <w:lang w:val="en-US" w:eastAsia="zh-CN"/>
        </w:rPr>
        <w:t>4</w:t>
      </w:r>
      <w:r>
        <w:rPr>
          <w:rFonts w:hint="eastAsia" w:ascii="宋体" w:hAnsi="宋体" w:eastAsia="宋体" w:cs="宋体"/>
          <w:b/>
          <w:bCs/>
          <w:color w:val="000000"/>
          <w:szCs w:val="21"/>
          <w:highlight w:val="none"/>
          <w:lang w:eastAsia="zh-CN"/>
        </w:rPr>
        <w:t>）</w:t>
      </w:r>
      <w:r>
        <w:rPr>
          <w:rFonts w:hint="eastAsia" w:ascii="宋体" w:hAnsi="宋体" w:eastAsia="宋体" w:cs="宋体"/>
          <w:b/>
          <w:bCs/>
          <w:color w:val="000000"/>
          <w:szCs w:val="21"/>
          <w:highlight w:val="none"/>
          <w:lang w:val="en-US" w:eastAsia="zh-CN"/>
        </w:rPr>
        <w:t>投标人所</w:t>
      </w:r>
      <w:r>
        <w:rPr>
          <w:rFonts w:hint="eastAsia" w:ascii="宋体" w:hAnsi="宋体" w:eastAsia="宋体" w:cs="宋体"/>
          <w:b/>
          <w:bCs/>
          <w:color w:val="000000"/>
          <w:szCs w:val="21"/>
          <w:highlight w:val="none"/>
          <w:lang w:eastAsia="zh-CN"/>
        </w:rPr>
        <w:t>投标产品</w:t>
      </w:r>
      <w:r>
        <w:rPr>
          <w:rFonts w:hint="eastAsia" w:ascii="宋体" w:hAnsi="宋体" w:cs="宋体"/>
          <w:b/>
          <w:bCs/>
          <w:color w:val="000000"/>
          <w:szCs w:val="21"/>
          <w:highlight w:val="none"/>
          <w:lang w:eastAsia="zh-CN"/>
        </w:rPr>
        <w:t>属于</w:t>
      </w:r>
      <w:r>
        <w:rPr>
          <w:rFonts w:hint="eastAsia" w:ascii="宋体" w:hAnsi="宋体" w:eastAsia="宋体" w:cs="宋体"/>
          <w:b/>
          <w:bCs/>
          <w:color w:val="000000"/>
          <w:szCs w:val="21"/>
          <w:highlight w:val="none"/>
          <w:lang w:eastAsia="zh-CN"/>
        </w:rPr>
        <w:t>第一类医疗器械产品的，投标文件中须按《医疗器械注册与备案管理办法》（国家市场监督管理总局令第 47 号）提供该设备在负责药品监督管理的部门提交备案资料证明材料复印件（或扫描件）加盖投标人电子签章；投标产品属第二、三类医疗器械产品的，投标文件中须按《医疗器械注册与备案管理办法》（国家市场监督管理总局令第 47 号）提供该设备有效的药品监督管理部门出具的医疗器械注册证复印件（或扫描件）加盖投标人电子签章，否则投标无效。</w:t>
      </w:r>
    </w:p>
    <w:p w14:paraId="718E50EC">
      <w:pPr>
        <w:spacing w:line="360" w:lineRule="auto"/>
        <w:rPr>
          <w:color w:val="auto"/>
          <w:szCs w:val="21"/>
          <w:highlight w:val="none"/>
        </w:rPr>
      </w:pPr>
      <w:r>
        <w:rPr>
          <w:color w:val="auto"/>
          <w:szCs w:val="21"/>
          <w:highlight w:val="none"/>
        </w:rPr>
        <w:t>5</w:t>
      </w:r>
      <w:r>
        <w:rPr>
          <w:rFonts w:hint="eastAsia"/>
          <w:color w:val="auto"/>
          <w:szCs w:val="21"/>
          <w:highlight w:val="none"/>
        </w:rPr>
        <w:t>.核心产品</w:t>
      </w:r>
    </w:p>
    <w:p w14:paraId="2C517328">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none"/>
          <w:lang w:eastAsia="zh-CN"/>
        </w:rPr>
      </w:pPr>
      <w:r>
        <w:rPr>
          <w:rFonts w:hint="eastAsia" w:asciiTheme="majorEastAsia" w:hAnsiTheme="majorEastAsia" w:eastAsiaTheme="majorEastAsia" w:cstheme="majorEastAsia"/>
          <w:color w:val="auto"/>
          <w:sz w:val="21"/>
          <w:szCs w:val="21"/>
          <w:highlight w:val="none"/>
        </w:rPr>
        <w:t>本项目为货物采购项目，核心产品为：</w:t>
      </w:r>
      <w:r>
        <w:rPr>
          <w:rFonts w:hint="eastAsia" w:asciiTheme="majorEastAsia" w:hAnsiTheme="majorEastAsia" w:eastAsiaTheme="majorEastAsia" w:cstheme="majorEastAsia"/>
          <w:color w:val="auto"/>
          <w:sz w:val="21"/>
          <w:szCs w:val="21"/>
          <w:highlight w:val="none"/>
          <w:u w:val="single"/>
        </w:rPr>
        <w:t xml:space="preserve"> </w:t>
      </w:r>
      <w:r>
        <w:rPr>
          <w:rFonts w:hint="eastAsia" w:asciiTheme="majorEastAsia" w:hAnsiTheme="majorEastAsia" w:eastAsiaTheme="majorEastAsia" w:cstheme="majorEastAsia"/>
          <w:color w:val="auto"/>
          <w:sz w:val="21"/>
          <w:szCs w:val="21"/>
          <w:highlight w:val="none"/>
          <w:u w:val="single"/>
          <w:lang w:val="en-US" w:eastAsia="zh-CN"/>
        </w:rPr>
        <w:t>第6分项“</w:t>
      </w:r>
      <w:r>
        <w:rPr>
          <w:rFonts w:hint="eastAsia" w:ascii="宋体" w:hAnsi="宋体" w:eastAsia="宋体" w:cs="宋体"/>
          <w:color w:val="000000"/>
          <w:szCs w:val="21"/>
          <w:highlight w:val="none"/>
          <w:u w:val="single"/>
        </w:rPr>
        <w:t>全自动生化免疫流水线</w:t>
      </w:r>
      <w:r>
        <w:rPr>
          <w:rFonts w:hint="eastAsia" w:asciiTheme="majorEastAsia" w:hAnsiTheme="majorEastAsia" w:eastAsiaTheme="majorEastAsia" w:cstheme="majorEastAsia"/>
          <w:color w:val="auto"/>
          <w:sz w:val="21"/>
          <w:szCs w:val="21"/>
          <w:highlight w:val="none"/>
          <w:u w:val="single"/>
          <w:lang w:val="en-US" w:eastAsia="zh-CN"/>
        </w:rPr>
        <w:t>”（核心产品品牌相同的，</w:t>
      </w:r>
      <w:r>
        <w:rPr>
          <w:rFonts w:hint="eastAsia" w:ascii="宋体" w:hAnsi="宋体" w:eastAsia="宋体" w:cs="宋体"/>
          <w:color w:val="auto"/>
          <w:sz w:val="21"/>
          <w:szCs w:val="21"/>
          <w:highlight w:val="none"/>
          <w:u w:val="single"/>
          <w:lang w:val="en-US" w:eastAsia="zh-CN"/>
        </w:rPr>
        <w:t>视为提供同品牌产品）</w:t>
      </w:r>
      <w:r>
        <w:rPr>
          <w:rFonts w:hint="eastAsia" w:ascii="宋体" w:hAnsi="宋体" w:eastAsia="宋体" w:cs="宋体"/>
          <w:b/>
          <w:bCs/>
          <w:color w:val="auto"/>
          <w:sz w:val="21"/>
          <w:szCs w:val="21"/>
          <w:highlight w:val="none"/>
          <w:u w:val="single"/>
        </w:rPr>
        <w:t xml:space="preserve"> </w:t>
      </w:r>
      <w:r>
        <w:rPr>
          <w:rFonts w:hint="eastAsia" w:asciiTheme="majorEastAsia" w:hAnsiTheme="majorEastAsia" w:eastAsiaTheme="majorEastAsia" w:cstheme="majorEastAsia"/>
          <w:color w:val="auto"/>
          <w:sz w:val="21"/>
          <w:szCs w:val="21"/>
          <w:highlight w:val="none"/>
          <w:u w:val="none"/>
          <w:lang w:eastAsia="zh-CN"/>
        </w:rPr>
        <w:t>。</w:t>
      </w:r>
    </w:p>
    <w:p w14:paraId="554D6D6A">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none"/>
          <w:lang w:eastAsia="zh-CN"/>
        </w:rPr>
      </w:pPr>
      <w:r>
        <w:rPr>
          <w:rFonts w:hint="eastAsia" w:asciiTheme="majorEastAsia" w:hAnsiTheme="majorEastAsia" w:eastAsiaTheme="majorEastAsia" w:cstheme="majorEastAsia"/>
          <w:color w:val="auto"/>
          <w:sz w:val="21"/>
          <w:szCs w:val="21"/>
          <w:highlight w:val="none"/>
          <w:lang w:val="en-US" w:eastAsia="zh-CN" w:bidi="ar"/>
        </w:rPr>
        <w:t>提供相同品牌产品且通过资格审查、符合性审查的不同投标人参加同一合同项下投标的，按一家投标人计算，评审后得分最高的同品牌投标人获得中标人推荐资格；评审得分相同的，由采购人或者采购人委托的评标委员会按照招标文件规定的方式确定一个投标人获得中标人推荐资格，招标文件未规定的采取随机抽取方式确定，其他同品牌投标人不作为中标候选人。</w:t>
      </w:r>
    </w:p>
    <w:p w14:paraId="0A041449">
      <w:pPr>
        <w:spacing w:line="360" w:lineRule="auto"/>
        <w:rPr>
          <w:color w:val="auto"/>
          <w:szCs w:val="21"/>
          <w:highlight w:val="none"/>
        </w:rPr>
      </w:pPr>
      <w:r>
        <w:rPr>
          <w:rFonts w:hint="eastAsia"/>
          <w:color w:val="auto"/>
          <w:szCs w:val="21"/>
          <w:highlight w:val="none"/>
        </w:rPr>
        <w:t>6.节能产品</w:t>
      </w:r>
    </w:p>
    <w:p w14:paraId="4F0B4591">
      <w:pPr>
        <w:spacing w:line="360" w:lineRule="auto"/>
        <w:rPr>
          <w:rFonts w:hint="eastAsia"/>
          <w:color w:val="auto"/>
          <w:highlight w:val="none"/>
          <w:u w:val="single"/>
        </w:rPr>
      </w:pPr>
      <w:r>
        <w:rPr>
          <w:rFonts w:hint="eastAsia"/>
          <w:color w:val="auto"/>
          <w:szCs w:val="21"/>
          <w:highlight w:val="none"/>
        </w:rPr>
        <w:t>本项目强制采购节能产品为：</w:t>
      </w:r>
      <w:r>
        <w:rPr>
          <w:rFonts w:hint="eastAsia"/>
          <w:color w:val="auto"/>
          <w:szCs w:val="21"/>
          <w:highlight w:val="none"/>
          <w:u w:val="single"/>
          <w:lang w:val="en-US" w:eastAsia="zh-CN"/>
        </w:rPr>
        <w:t>/</w:t>
      </w:r>
      <w:r>
        <w:rPr>
          <w:rFonts w:hint="eastAsia"/>
          <w:color w:val="auto"/>
          <w:highlight w:val="none"/>
          <w:u w:val="single"/>
        </w:rPr>
        <w:t xml:space="preserve"> </w:t>
      </w:r>
    </w:p>
    <w:p w14:paraId="7B0DAF27">
      <w:pPr>
        <w:numPr>
          <w:ilvl w:val="0"/>
          <w:numId w:val="0"/>
        </w:numPr>
        <w:spacing w:line="360" w:lineRule="auto"/>
        <w:rPr>
          <w:rFonts w:hint="eastAsia"/>
          <w:color w:val="auto"/>
          <w:highlight w:val="none"/>
          <w:u w:val="none"/>
          <w:lang w:val="en-US" w:eastAsia="zh-CN"/>
        </w:rPr>
      </w:pPr>
      <w:r>
        <w:rPr>
          <w:rFonts w:hint="eastAsia"/>
          <w:color w:val="auto"/>
          <w:sz w:val="21"/>
          <w:szCs w:val="24"/>
          <w:highlight w:val="none"/>
          <w:lang w:val="en-US" w:eastAsia="zh-CN" w:bidi="ar-SA"/>
        </w:rPr>
        <w:t>7.</w:t>
      </w:r>
      <w:r>
        <w:rPr>
          <w:rFonts w:hint="eastAsia"/>
          <w:color w:val="auto"/>
          <w:highlight w:val="none"/>
          <w:u w:val="none"/>
          <w:lang w:val="en-US" w:eastAsia="zh-CN"/>
        </w:rPr>
        <w:t>网络安全专用产品</w:t>
      </w:r>
    </w:p>
    <w:p w14:paraId="7FA5FF42">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none"/>
          <w:lang w:eastAsia="zh-CN"/>
        </w:rPr>
      </w:pPr>
      <w:r>
        <w:rPr>
          <w:rFonts w:hint="eastAsia"/>
          <w:color w:val="auto"/>
          <w:szCs w:val="21"/>
          <w:highlight w:val="none"/>
        </w:rPr>
        <w:t>本项目</w:t>
      </w:r>
      <w:r>
        <w:rPr>
          <w:rFonts w:hint="eastAsia"/>
          <w:color w:val="auto"/>
          <w:szCs w:val="21"/>
          <w:highlight w:val="none"/>
          <w:lang w:val="en-US" w:eastAsia="zh-CN"/>
        </w:rPr>
        <w:t>网络安全专用产品</w:t>
      </w:r>
      <w:r>
        <w:rPr>
          <w:rFonts w:hint="eastAsia"/>
          <w:color w:val="auto"/>
          <w:szCs w:val="21"/>
          <w:highlight w:val="none"/>
        </w:rPr>
        <w:t>为：</w:t>
      </w:r>
      <w:r>
        <w:rPr>
          <w:rFonts w:hint="eastAsia"/>
          <w:color w:val="auto"/>
          <w:szCs w:val="21"/>
          <w:highlight w:val="none"/>
          <w:u w:val="single"/>
          <w:lang w:val="en-US" w:eastAsia="zh-CN"/>
        </w:rPr>
        <w:t>/</w:t>
      </w:r>
      <w:r>
        <w:rPr>
          <w:rFonts w:hint="eastAsia"/>
          <w:color w:val="auto"/>
          <w:highlight w:val="none"/>
          <w:u w:val="single"/>
        </w:rPr>
        <w:t xml:space="preserve"> </w:t>
      </w:r>
    </w:p>
    <w:p w14:paraId="41F6218A">
      <w:pPr>
        <w:numPr>
          <w:ilvl w:val="0"/>
          <w:numId w:val="0"/>
        </w:numPr>
        <w:spacing w:line="360" w:lineRule="auto"/>
        <w:rPr>
          <w:color w:val="auto"/>
          <w:szCs w:val="21"/>
          <w:highlight w:val="none"/>
        </w:rPr>
      </w:pPr>
      <w:r>
        <w:rPr>
          <w:rFonts w:hint="eastAsia" w:cs="Times New Roman"/>
          <w:color w:val="auto"/>
          <w:sz w:val="21"/>
          <w:szCs w:val="21"/>
          <w:highlight w:val="none"/>
          <w:lang w:val="en-US" w:eastAsia="zh-CN" w:bidi="ar-SA"/>
        </w:rPr>
        <w:t>8</w:t>
      </w:r>
      <w:r>
        <w:rPr>
          <w:rFonts w:ascii="Times New Roman" w:hAnsi="Times New Roman" w:eastAsia="宋体" w:cs="Times New Roman"/>
          <w:color w:val="auto"/>
          <w:sz w:val="21"/>
          <w:szCs w:val="21"/>
          <w:highlight w:val="none"/>
          <w:lang w:val="en-US" w:eastAsia="zh-CN" w:bidi="ar-SA"/>
        </w:rPr>
        <w:t>.</w:t>
      </w:r>
      <w:r>
        <w:rPr>
          <w:rFonts w:hint="eastAsia"/>
          <w:color w:val="auto"/>
          <w:szCs w:val="21"/>
          <w:highlight w:val="none"/>
        </w:rPr>
        <w:t>标的名称、数量、需满足的质量、技术规格、物理特性、性能、材料、结构、外观、安全，或者服务内容和标准一览表</w:t>
      </w:r>
    </w:p>
    <w:tbl>
      <w:tblPr>
        <w:tblStyle w:val="56"/>
        <w:tblW w:w="110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1190"/>
        <w:gridCol w:w="504"/>
        <w:gridCol w:w="507"/>
        <w:gridCol w:w="1361"/>
        <w:gridCol w:w="707"/>
        <w:gridCol w:w="6332"/>
      </w:tblGrid>
      <w:tr w14:paraId="6D365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250FC1B3">
            <w:pPr>
              <w:keepNext w:val="0"/>
              <w:keepLines w:val="0"/>
              <w:suppressLineNumbers w:val="0"/>
              <w:wordWrap w:val="0"/>
              <w:spacing w:before="0" w:beforeAutospacing="0" w:after="0" w:afterAutospacing="0" w:line="440" w:lineRule="exact"/>
              <w:ind w:left="0" w:leftChars="0" w:right="0" w:rightChars="0"/>
              <w:jc w:val="center"/>
              <w:rPr>
                <w:rFonts w:ascii="Arial" w:hAnsi="Arial" w:cs="Arial"/>
                <w:bCs/>
                <w:color w:val="auto"/>
                <w:szCs w:val="21"/>
                <w:highlight w:val="none"/>
              </w:rPr>
            </w:pPr>
            <w:r>
              <w:rPr>
                <w:rFonts w:hint="eastAsia" w:ascii="宋体" w:hAnsi="宋体" w:eastAsia="宋体" w:cs="宋体"/>
                <w:color w:val="auto"/>
                <w:sz w:val="21"/>
                <w:szCs w:val="21"/>
                <w:highlight w:val="none"/>
              </w:rPr>
              <w:t>序号</w:t>
            </w:r>
          </w:p>
        </w:tc>
        <w:tc>
          <w:tcPr>
            <w:tcW w:w="1190" w:type="dxa"/>
            <w:noWrap w:val="0"/>
            <w:vAlign w:val="center"/>
          </w:tcPr>
          <w:p w14:paraId="57B43E5B">
            <w:pPr>
              <w:keepNext w:val="0"/>
              <w:keepLines w:val="0"/>
              <w:suppressLineNumbers w:val="0"/>
              <w:wordWrap w:val="0"/>
              <w:spacing w:before="0" w:beforeAutospacing="0" w:after="0" w:afterAutospacing="0" w:line="440" w:lineRule="exact"/>
              <w:ind w:left="0" w:leftChars="0" w:right="0" w:rightChars="0"/>
              <w:jc w:val="center"/>
              <w:rPr>
                <w:rFonts w:ascii="Arial" w:hAnsi="Arial" w:cs="Arial"/>
                <w:bCs/>
                <w:color w:val="auto"/>
                <w:szCs w:val="21"/>
                <w:highlight w:val="none"/>
              </w:rPr>
            </w:pPr>
            <w:r>
              <w:rPr>
                <w:rFonts w:hint="eastAsia" w:ascii="宋体" w:hAnsi="宋体" w:eastAsia="宋体" w:cs="宋体"/>
                <w:color w:val="auto"/>
                <w:sz w:val="21"/>
                <w:szCs w:val="21"/>
                <w:highlight w:val="none"/>
              </w:rPr>
              <w:t>采购货物的名称</w:t>
            </w:r>
          </w:p>
        </w:tc>
        <w:tc>
          <w:tcPr>
            <w:tcW w:w="504" w:type="dxa"/>
            <w:tcBorders>
              <w:right w:val="single" w:color="auto" w:sz="4" w:space="0"/>
            </w:tcBorders>
            <w:noWrap w:val="0"/>
            <w:vAlign w:val="center"/>
          </w:tcPr>
          <w:p w14:paraId="0F1F6FA1">
            <w:pPr>
              <w:keepNext w:val="0"/>
              <w:keepLines w:val="0"/>
              <w:suppressLineNumbers w:val="0"/>
              <w:wordWrap w:val="0"/>
              <w:spacing w:before="0" w:beforeAutospacing="0" w:after="0" w:afterAutospacing="0" w:line="440" w:lineRule="exact"/>
              <w:ind w:left="0" w:leftChars="0" w:right="0" w:rightChars="0"/>
              <w:jc w:val="center"/>
              <w:rPr>
                <w:rFonts w:ascii="Arial" w:hAnsi="Arial" w:cs="Arial"/>
                <w:bCs/>
                <w:color w:val="auto"/>
                <w:szCs w:val="21"/>
                <w:highlight w:val="none"/>
              </w:rPr>
            </w:pPr>
            <w:r>
              <w:rPr>
                <w:rFonts w:hint="eastAsia" w:ascii="宋体" w:hAnsi="宋体" w:eastAsia="宋体" w:cs="宋体"/>
                <w:color w:val="auto"/>
                <w:sz w:val="21"/>
                <w:szCs w:val="21"/>
                <w:highlight w:val="none"/>
              </w:rPr>
              <w:t>数量</w:t>
            </w:r>
          </w:p>
        </w:tc>
        <w:tc>
          <w:tcPr>
            <w:tcW w:w="507" w:type="dxa"/>
            <w:noWrap w:val="0"/>
            <w:vAlign w:val="center"/>
          </w:tcPr>
          <w:p w14:paraId="697BC2B0">
            <w:pPr>
              <w:keepNext w:val="0"/>
              <w:keepLines w:val="0"/>
              <w:suppressLineNumbers w:val="0"/>
              <w:wordWrap w:val="0"/>
              <w:spacing w:before="0" w:beforeAutospacing="0" w:after="0" w:afterAutospacing="0" w:line="440" w:lineRule="exact"/>
              <w:ind w:left="0" w:leftChars="0" w:right="0" w:rightChars="0"/>
              <w:jc w:val="center"/>
              <w:rPr>
                <w:rFonts w:ascii="Arial" w:hAnsi="Arial" w:cs="Arial"/>
                <w:bCs/>
                <w:color w:val="auto"/>
                <w:szCs w:val="21"/>
                <w:highlight w:val="none"/>
              </w:rPr>
            </w:pPr>
            <w:r>
              <w:rPr>
                <w:rFonts w:hint="eastAsia" w:ascii="宋体" w:hAnsi="宋体" w:eastAsia="宋体" w:cs="宋体"/>
                <w:color w:val="auto"/>
                <w:sz w:val="21"/>
                <w:szCs w:val="21"/>
                <w:highlight w:val="none"/>
              </w:rPr>
              <w:t>单位</w:t>
            </w:r>
          </w:p>
        </w:tc>
        <w:tc>
          <w:tcPr>
            <w:tcW w:w="1361" w:type="dxa"/>
            <w:shd w:val="clear" w:color="auto" w:fill="auto"/>
            <w:noWrap w:val="0"/>
            <w:vAlign w:val="center"/>
          </w:tcPr>
          <w:p w14:paraId="5915E36E">
            <w:pPr>
              <w:widowControl/>
              <w:jc w:val="center"/>
              <w:rPr>
                <w:rFonts w:hint="eastAsia"/>
                <w:color w:val="auto"/>
                <w:szCs w:val="21"/>
                <w:highlight w:val="none"/>
              </w:rPr>
            </w:pPr>
            <w:r>
              <w:rPr>
                <w:rFonts w:hint="eastAsia" w:ascii="宋体" w:hAnsi="宋体" w:cs="宋体"/>
                <w:i w:val="0"/>
                <w:iCs w:val="0"/>
                <w:color w:val="auto"/>
                <w:sz w:val="21"/>
                <w:szCs w:val="21"/>
                <w:highlight w:val="none"/>
                <w:u w:val="none"/>
                <w:lang w:val="en-US" w:eastAsia="zh-CN" w:bidi="ar"/>
              </w:rPr>
              <w:t>最高限价（元）</w:t>
            </w:r>
          </w:p>
        </w:tc>
        <w:tc>
          <w:tcPr>
            <w:tcW w:w="707" w:type="dxa"/>
            <w:shd w:val="clear" w:color="auto" w:fill="auto"/>
            <w:noWrap w:val="0"/>
            <w:vAlign w:val="center"/>
          </w:tcPr>
          <w:p w14:paraId="359BC50C">
            <w:pPr>
              <w:widowControl/>
              <w:jc w:val="center"/>
              <w:rPr>
                <w:rFonts w:ascii="Arial" w:hAnsi="Arial" w:eastAsia="宋体" w:cs="Arial"/>
                <w:bCs/>
                <w:color w:val="auto"/>
                <w:sz w:val="21"/>
                <w:szCs w:val="21"/>
                <w:highlight w:val="none"/>
                <w:lang w:val="en-US" w:eastAsia="zh-CN" w:bidi="ar-SA"/>
              </w:rPr>
            </w:pPr>
            <w:r>
              <w:rPr>
                <w:rFonts w:ascii="Arial" w:hAnsi="Arial" w:cs="Arial"/>
                <w:bCs/>
                <w:color w:val="auto"/>
                <w:szCs w:val="21"/>
                <w:highlight w:val="none"/>
              </w:rPr>
              <w:t>所属行业</w:t>
            </w:r>
          </w:p>
        </w:tc>
        <w:tc>
          <w:tcPr>
            <w:tcW w:w="6332" w:type="dxa"/>
            <w:noWrap w:val="0"/>
            <w:vAlign w:val="center"/>
          </w:tcPr>
          <w:p w14:paraId="14593EE2">
            <w:pPr>
              <w:widowControl/>
              <w:spacing w:line="240" w:lineRule="exact"/>
              <w:jc w:val="center"/>
              <w:rPr>
                <w:color w:val="auto"/>
                <w:szCs w:val="21"/>
                <w:highlight w:val="none"/>
              </w:rPr>
            </w:pPr>
            <w:r>
              <w:rPr>
                <w:color w:val="auto"/>
                <w:szCs w:val="21"/>
                <w:highlight w:val="none"/>
              </w:rPr>
              <w:t>技术</w:t>
            </w:r>
            <w:r>
              <w:rPr>
                <w:rFonts w:hint="eastAsia"/>
                <w:color w:val="auto"/>
                <w:szCs w:val="21"/>
                <w:highlight w:val="none"/>
              </w:rPr>
              <w:t>指标要求</w:t>
            </w:r>
          </w:p>
        </w:tc>
      </w:tr>
      <w:tr w14:paraId="27770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382FAB8D">
            <w:pPr>
              <w:keepNext w:val="0"/>
              <w:keepLines w:val="0"/>
              <w:widowControl/>
              <w:suppressLineNumbers w:val="0"/>
              <w:spacing w:before="0" w:beforeAutospacing="0" w:after="0" w:afterAutospacing="0" w:line="360" w:lineRule="auto"/>
              <w:ind w:left="0" w:leftChars="0" w:right="0" w:rightChars="0"/>
              <w:jc w:val="center"/>
              <w:textAlignment w:val="center"/>
              <w:rPr>
                <w:rFonts w:ascii="Arial" w:hAnsi="Arial" w:cs="Arial"/>
                <w:color w:val="auto"/>
                <w:szCs w:val="21"/>
                <w:highlight w:val="none"/>
              </w:rPr>
            </w:pPr>
            <w:r>
              <w:rPr>
                <w:rFonts w:hint="eastAsia" w:ascii="宋体" w:hAnsi="宋体" w:cs="宋体"/>
                <w:color w:val="auto"/>
                <w:sz w:val="21"/>
                <w:szCs w:val="21"/>
                <w:highlight w:val="none"/>
              </w:rPr>
              <w:t>1</w:t>
            </w:r>
          </w:p>
        </w:tc>
        <w:tc>
          <w:tcPr>
            <w:tcW w:w="1190" w:type="dxa"/>
            <w:noWrap w:val="0"/>
            <w:vAlign w:val="center"/>
          </w:tcPr>
          <w:p w14:paraId="01AEE034">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color w:val="auto"/>
                <w:szCs w:val="21"/>
                <w:highlight w:val="none"/>
                <w:lang w:eastAsia="zh-CN"/>
              </w:rPr>
            </w:pPr>
            <w:r>
              <w:rPr>
                <w:rFonts w:hint="eastAsia" w:ascii="宋体" w:hAnsi="宋体" w:eastAsia="宋体" w:cs="宋体"/>
                <w:color w:val="auto"/>
                <w:sz w:val="21"/>
                <w:szCs w:val="21"/>
                <w:highlight w:val="none"/>
                <w:lang w:eastAsia="zh-CN"/>
              </w:rPr>
              <w:t>粪便分析处理系统</w:t>
            </w:r>
          </w:p>
        </w:tc>
        <w:tc>
          <w:tcPr>
            <w:tcW w:w="504" w:type="dxa"/>
            <w:tcBorders>
              <w:right w:val="single" w:color="auto" w:sz="4" w:space="0"/>
            </w:tcBorders>
            <w:noWrap w:val="0"/>
            <w:vAlign w:val="center"/>
          </w:tcPr>
          <w:p w14:paraId="7BA09C74">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bCs/>
                <w:color w:val="auto"/>
                <w:szCs w:val="21"/>
                <w:highlight w:val="none"/>
                <w:lang w:eastAsia="zh-CN"/>
              </w:rPr>
            </w:pPr>
            <w:r>
              <w:rPr>
                <w:rFonts w:hint="eastAsia" w:ascii="宋体" w:hAnsi="宋体" w:eastAsia="宋体" w:cs="宋体"/>
                <w:color w:val="auto"/>
                <w:sz w:val="21"/>
                <w:szCs w:val="21"/>
                <w:highlight w:val="none"/>
              </w:rPr>
              <w:t>1</w:t>
            </w:r>
          </w:p>
        </w:tc>
        <w:tc>
          <w:tcPr>
            <w:tcW w:w="507" w:type="dxa"/>
            <w:noWrap w:val="0"/>
            <w:vAlign w:val="center"/>
          </w:tcPr>
          <w:p w14:paraId="361BA8BB">
            <w:pPr>
              <w:keepNext w:val="0"/>
              <w:keepLines w:val="0"/>
              <w:widowControl/>
              <w:suppressLineNumbers w:val="0"/>
              <w:spacing w:before="0" w:beforeAutospacing="0" w:after="0" w:afterAutospacing="0"/>
              <w:ind w:left="0" w:leftChars="0" w:right="0" w:rightChars="0"/>
              <w:jc w:val="center"/>
              <w:textAlignment w:val="center"/>
              <w:rPr>
                <w:rFonts w:ascii="Arial" w:hAnsi="Arial" w:cs="Arial"/>
                <w:bCs/>
                <w:color w:val="auto"/>
                <w:szCs w:val="21"/>
                <w:highlight w:val="none"/>
              </w:rPr>
            </w:pPr>
            <w:r>
              <w:rPr>
                <w:rFonts w:hint="eastAsia" w:ascii="宋体" w:hAnsi="宋体" w:eastAsia="宋体" w:cs="宋体"/>
                <w:color w:val="auto"/>
                <w:kern w:val="0"/>
                <w:sz w:val="21"/>
                <w:szCs w:val="21"/>
                <w:highlight w:val="none"/>
                <w:lang w:bidi="ar"/>
              </w:rPr>
              <w:t>套</w:t>
            </w:r>
          </w:p>
        </w:tc>
        <w:tc>
          <w:tcPr>
            <w:tcW w:w="1361" w:type="dxa"/>
            <w:shd w:val="clear" w:color="auto" w:fill="auto"/>
            <w:noWrap w:val="0"/>
            <w:vAlign w:val="center"/>
          </w:tcPr>
          <w:p w14:paraId="5E1D9130">
            <w:pPr>
              <w:widowControl/>
              <w:jc w:val="center"/>
              <w:rPr>
                <w:rFonts w:hint="default" w:ascii="Arial" w:hAnsi="Arial" w:cs="Arial"/>
                <w:bCs/>
                <w:color w:val="auto"/>
                <w:szCs w:val="21"/>
                <w:highlight w:val="none"/>
                <w:lang w:val="en-US"/>
              </w:rPr>
            </w:pPr>
            <w:r>
              <w:rPr>
                <w:rFonts w:hint="eastAsia" w:ascii="宋体" w:hAnsi="宋体" w:cs="宋体"/>
                <w:i w:val="0"/>
                <w:iCs w:val="0"/>
                <w:color w:val="auto"/>
                <w:sz w:val="22"/>
                <w:szCs w:val="22"/>
                <w:highlight w:val="none"/>
                <w:u w:val="none"/>
                <w:lang w:val="en-US" w:eastAsia="zh-CN" w:bidi="ar"/>
              </w:rPr>
              <w:t>150000.00</w:t>
            </w:r>
          </w:p>
        </w:tc>
        <w:tc>
          <w:tcPr>
            <w:tcW w:w="707" w:type="dxa"/>
            <w:shd w:val="clear" w:color="auto" w:fill="auto"/>
            <w:noWrap w:val="0"/>
            <w:vAlign w:val="center"/>
          </w:tcPr>
          <w:p w14:paraId="0B92B32D">
            <w:pPr>
              <w:widowControl/>
              <w:jc w:val="center"/>
              <w:rPr>
                <w:rFonts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rPr>
              <w:t>工业</w:t>
            </w:r>
          </w:p>
        </w:tc>
        <w:tc>
          <w:tcPr>
            <w:tcW w:w="6332" w:type="dxa"/>
            <w:noWrap w:val="0"/>
            <w:vAlign w:val="center"/>
          </w:tcPr>
          <w:p w14:paraId="500C47B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一、粪便分析处理系统1套</w:t>
            </w:r>
          </w:p>
          <w:p w14:paraId="2C81597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粪便分析处理系统至少由2台全自动粪便分析仪组成，可根据医院实际需要可连机使用，也可拆分单机使用。</w:t>
            </w:r>
          </w:p>
          <w:p w14:paraId="2083A51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（一）核心技术参数</w:t>
            </w:r>
          </w:p>
          <w:p w14:paraId="034EA93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1.具备智能搅拌控制技术。</w:t>
            </w:r>
          </w:p>
          <w:p w14:paraId="08C4B62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2.具备优先审核功能：对病理有型成份物质图片优先排序，集中审核。</w:t>
            </w:r>
          </w:p>
          <w:p w14:paraId="26BDA6E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●3.具备智能稀释功能：≥5种以上标本稀释方式,可根据样本颜色、性状等情况进行自动调整稀释液用量。</w:t>
            </w:r>
          </w:p>
          <w:p w14:paraId="614B441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4.送样装置：轨道式自动进样，待检区容纳标本数≥45个。</w:t>
            </w:r>
          </w:p>
          <w:p w14:paraId="2F11BFC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●5.粪便采集器有耗材收费编码。</w:t>
            </w:r>
          </w:p>
          <w:p w14:paraId="3196CD4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6.标本前处理方式：旋转式混匀。</w:t>
            </w:r>
          </w:p>
          <w:p w14:paraId="5879AAA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●7.限量采样功能 采袋杯内具备限量采样设计。</w:t>
            </w:r>
          </w:p>
          <w:p w14:paraId="1C67E8D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8.报告格式：可定性和半定量报告模式。</w:t>
            </w:r>
          </w:p>
          <w:p w14:paraId="6CB6809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9.采集杯具备密闭性，穿刺采样。</w:t>
            </w:r>
          </w:p>
          <w:p w14:paraId="3C58358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10.金标检测项目仪器可同时一次性吸样检测</w:t>
            </w:r>
            <w:ins w:id="1" w:author="JDZBzheng" w:date="2026-06-30T11:06:29Z">
              <w:r>
                <w:rPr>
                  <w:rFonts w:hint="eastAsia" w:ascii="宋体" w:hAnsi="宋体" w:cs="宋体"/>
                  <w:color w:val="auto"/>
                  <w:sz w:val="21"/>
                  <w:szCs w:val="21"/>
                  <w:highlight w:val="none"/>
                  <w:lang w:eastAsia="zh-CN"/>
                </w:rPr>
                <w:t>项目</w:t>
              </w:r>
            </w:ins>
            <w:r>
              <w:rPr>
                <w:rFonts w:hint="eastAsia" w:ascii="宋体" w:hAnsi="宋体" w:eastAsia="宋体" w:cs="宋体"/>
                <w:color w:val="auto"/>
                <w:sz w:val="21"/>
                <w:szCs w:val="21"/>
                <w:highlight w:val="none"/>
              </w:rPr>
              <w:t>≥6 个(FOB、转铁蛋白等)。</w:t>
            </w:r>
          </w:p>
          <w:p w14:paraId="24675F5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11.金标卡孵育检测通道≥20个独立检测单控孵育通道位。</w:t>
            </w:r>
          </w:p>
          <w:p w14:paraId="6F0ADB6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▲12.金标试剂卡加载量≥120个试剂卡。</w:t>
            </w:r>
          </w:p>
          <w:p w14:paraId="61C8D3E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13.检测速度：≥80个标本/小时。</w:t>
            </w:r>
          </w:p>
          <w:p w14:paraId="36FC670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●14.使用流动石英计数池，通道数≥3通道。</w:t>
            </w:r>
          </w:p>
          <w:p w14:paraId="23B8538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15.网络功能：可连科室及医院LIS和HIS系统。</w:t>
            </w:r>
          </w:p>
          <w:p w14:paraId="049A169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16.显微镜摄像头 高清CMOS数码摄像头，像素≥500万。</w:t>
            </w:r>
          </w:p>
          <w:p w14:paraId="4EB934F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17.数据接口：具备双向通讯接口功能。</w:t>
            </w:r>
          </w:p>
          <w:p w14:paraId="697F74A9">
            <w:pPr>
              <w:keepNext w:val="0"/>
              <w:keepLines w:val="0"/>
              <w:suppressLineNumbers w:val="0"/>
              <w:wordWrap w:val="0"/>
              <w:spacing w:before="0" w:beforeAutospacing="0" w:after="0" w:afterAutospacing="0" w:line="44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使用年限≥5年。</w:t>
            </w:r>
          </w:p>
          <w:p w14:paraId="5B04CBC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（二）适配要求</w:t>
            </w:r>
          </w:p>
          <w:p w14:paraId="6ECE23C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1.全自动粪便分析仪主机2台（可连可拆分）。</w:t>
            </w:r>
          </w:p>
          <w:p w14:paraId="563DB2A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2.UPS二套。</w:t>
            </w:r>
          </w:p>
          <w:p w14:paraId="2C99D09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3.主控部分：服务器电脑2套。</w:t>
            </w:r>
          </w:p>
          <w:p w14:paraId="47CB45A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4.系统对接功能：可以与LIS/HIS系统实现无缝对接，可实现病人样品信息录入、实验数据存储及统计分析、报告审核、打印分发等功能，有效提高信息化程度。</w:t>
            </w:r>
          </w:p>
          <w:p w14:paraId="2C37ECF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5.能提供一次性使用粪便采集器、清洗液、粪便隐血检测试剂。</w:t>
            </w:r>
          </w:p>
          <w:p w14:paraId="032EB1E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6.能提供仪器配套使用的质控品、校准品。</w:t>
            </w:r>
          </w:p>
          <w:p w14:paraId="6D26C32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（三）扩展配置与配套设施</w:t>
            </w:r>
          </w:p>
          <w:p w14:paraId="165875ED">
            <w:pPr>
              <w:keepNext w:val="0"/>
              <w:keepLines w:val="0"/>
              <w:suppressLineNumbers w:val="0"/>
              <w:wordWrap w:val="0"/>
              <w:spacing w:before="0" w:beforeAutospacing="0" w:after="0" w:afterAutospacing="0" w:line="440" w:lineRule="exact"/>
              <w:ind w:left="0" w:leftChars="0" w:right="0" w:rightChars="0"/>
              <w:rPr>
                <w:rFonts w:hint="eastAsia"/>
                <w:color w:val="auto"/>
                <w:highlight w:val="none"/>
                <w:lang w:val="en-US" w:eastAsia="zh-CN"/>
              </w:rPr>
            </w:pPr>
            <w:r>
              <w:rPr>
                <w:rFonts w:hint="eastAsia" w:ascii="宋体" w:hAnsi="宋体" w:eastAsia="宋体" w:cs="宋体"/>
                <w:color w:val="auto"/>
                <w:sz w:val="21"/>
                <w:szCs w:val="21"/>
                <w:highlight w:val="none"/>
              </w:rPr>
              <w:t>配电设施：电压220V，输入功率≥200VA。</w:t>
            </w:r>
          </w:p>
        </w:tc>
      </w:tr>
      <w:tr w14:paraId="5D0D3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26CCE1FA">
            <w:pPr>
              <w:keepNext w:val="0"/>
              <w:keepLines w:val="0"/>
              <w:widowControl/>
              <w:suppressLineNumbers w:val="0"/>
              <w:spacing w:before="0" w:beforeAutospacing="0" w:after="0" w:afterAutospacing="0" w:line="360" w:lineRule="auto"/>
              <w:ind w:left="0" w:leftChars="0" w:right="0" w:rightChars="0"/>
              <w:jc w:val="center"/>
              <w:textAlignment w:val="center"/>
              <w:rPr>
                <w:rFonts w:hint="eastAsia" w:ascii="Arial" w:hAnsi="Arial" w:cs="Arial"/>
                <w:b/>
                <w:color w:val="auto"/>
                <w:szCs w:val="21"/>
                <w:highlight w:val="none"/>
              </w:rPr>
            </w:pPr>
            <w:r>
              <w:rPr>
                <w:rFonts w:hint="eastAsia" w:ascii="宋体" w:hAnsi="宋体" w:eastAsia="宋体" w:cs="宋体"/>
                <w:color w:val="auto"/>
                <w:sz w:val="21"/>
                <w:szCs w:val="21"/>
                <w:highlight w:val="none"/>
                <w:lang w:val="en-US" w:eastAsia="zh-CN"/>
              </w:rPr>
              <w:t>2</w:t>
            </w:r>
          </w:p>
        </w:tc>
        <w:tc>
          <w:tcPr>
            <w:tcW w:w="1190" w:type="dxa"/>
            <w:noWrap w:val="0"/>
            <w:vAlign w:val="center"/>
          </w:tcPr>
          <w:p w14:paraId="1CC9BADD">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color w:val="auto"/>
                <w:szCs w:val="21"/>
                <w:highlight w:val="none"/>
                <w:lang w:eastAsia="zh-CN"/>
              </w:rPr>
            </w:pPr>
            <w:r>
              <w:rPr>
                <w:rFonts w:hint="eastAsia" w:ascii="宋体" w:hAnsi="宋体" w:eastAsia="宋体" w:cs="宋体"/>
                <w:color w:val="auto"/>
                <w:sz w:val="21"/>
                <w:szCs w:val="21"/>
                <w:highlight w:val="none"/>
                <w:lang w:eastAsia="zh-CN"/>
              </w:rPr>
              <w:t>全自动化学发光分析仪</w:t>
            </w:r>
          </w:p>
        </w:tc>
        <w:tc>
          <w:tcPr>
            <w:tcW w:w="504" w:type="dxa"/>
            <w:tcBorders>
              <w:right w:val="single" w:color="auto" w:sz="4" w:space="0"/>
            </w:tcBorders>
            <w:noWrap w:val="0"/>
            <w:vAlign w:val="center"/>
          </w:tcPr>
          <w:p w14:paraId="494264C4">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sz w:val="21"/>
                <w:szCs w:val="21"/>
                <w:highlight w:val="none"/>
                <w:lang w:val="en-US" w:eastAsia="zh-CN"/>
              </w:rPr>
              <w:t>1</w:t>
            </w:r>
          </w:p>
        </w:tc>
        <w:tc>
          <w:tcPr>
            <w:tcW w:w="507" w:type="dxa"/>
            <w:noWrap w:val="0"/>
            <w:vAlign w:val="center"/>
          </w:tcPr>
          <w:p w14:paraId="74C4A974">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kern w:val="0"/>
                <w:sz w:val="21"/>
                <w:szCs w:val="21"/>
                <w:highlight w:val="none"/>
                <w:lang w:val="en-US" w:eastAsia="zh-CN" w:bidi="ar"/>
              </w:rPr>
              <w:t>套</w:t>
            </w:r>
          </w:p>
        </w:tc>
        <w:tc>
          <w:tcPr>
            <w:tcW w:w="1361" w:type="dxa"/>
            <w:shd w:val="clear" w:color="auto" w:fill="auto"/>
            <w:noWrap w:val="0"/>
            <w:vAlign w:val="center"/>
          </w:tcPr>
          <w:p w14:paraId="1FDAD9CC">
            <w:pPr>
              <w:widowControl/>
              <w:jc w:val="center"/>
              <w:rPr>
                <w:rFonts w:hint="eastAsia"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50000.00</w:t>
            </w:r>
          </w:p>
        </w:tc>
        <w:tc>
          <w:tcPr>
            <w:tcW w:w="707" w:type="dxa"/>
            <w:shd w:val="clear" w:color="auto" w:fill="auto"/>
            <w:noWrap w:val="0"/>
            <w:vAlign w:val="center"/>
          </w:tcPr>
          <w:p w14:paraId="7523AF81">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332" w:type="dxa"/>
            <w:noWrap w:val="0"/>
            <w:vAlign w:val="center"/>
          </w:tcPr>
          <w:p w14:paraId="0922DE6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（一）核心技术参数</w:t>
            </w:r>
          </w:p>
          <w:p w14:paraId="30F4906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1.检测方法：支持酶促化学发光检测或直接化学发光或电化学发光检测体系。</w:t>
            </w:r>
          </w:p>
          <w:p w14:paraId="47506E4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2.首个检测结果时间≤25分钟。</w:t>
            </w:r>
          </w:p>
          <w:p w14:paraId="71A746C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▲3.单机≥900T/小时。</w:t>
            </w:r>
          </w:p>
          <w:p w14:paraId="3F70217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4.全自动化学发光免疫分析仪具备可扩展性，可多台联机。</w:t>
            </w:r>
          </w:p>
          <w:p w14:paraId="5D316A7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▲5.可开展项目: 过敏原检测项目。</w:t>
            </w:r>
          </w:p>
          <w:p w14:paraId="408BF58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可开展不孕不育项目（包括抗精子抗体、抗透明带抗体、抗子宫内膜抗体、抗人绒毛促性腺激素和抗卵巢抗体等）、自身免疫力抗体项目（包括抗核抗体谱、抗中性粒细胞胞浆抗体谱、抗肌炎抗体、自免肝、血管炎、类风湿关节炎、抗磷脂综合症相关检测项目）等检测。</w:t>
            </w:r>
          </w:p>
          <w:p w14:paraId="71838FD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7.支持急诊优先功能，随时在线急诊。</w:t>
            </w:r>
          </w:p>
          <w:p w14:paraId="1EBD3C6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8.支持LIS系统双向数据传输传送。</w:t>
            </w:r>
          </w:p>
          <w:p w14:paraId="158D4AE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9.样本系统：≥</w:t>
            </w:r>
            <w:r>
              <w:rPr>
                <w:rFonts w:hint="eastAsia" w:ascii="宋体" w:hAnsi="宋体" w:eastAsia="宋体" w:cs="宋体"/>
                <w:color w:val="auto"/>
                <w:sz w:val="21"/>
                <w:szCs w:val="21"/>
                <w:highlight w:val="none"/>
                <w:lang w:val="en-US" w:eastAsia="zh-CN"/>
              </w:rPr>
              <w:t>200</w:t>
            </w:r>
            <w:r>
              <w:rPr>
                <w:rFonts w:hint="eastAsia" w:ascii="宋体" w:hAnsi="宋体" w:eastAsia="宋体" w:cs="宋体"/>
                <w:color w:val="auto"/>
                <w:sz w:val="21"/>
                <w:szCs w:val="21"/>
                <w:highlight w:val="none"/>
              </w:rPr>
              <w:t>个样本位，可随时更换、添加。</w:t>
            </w:r>
          </w:p>
          <w:p w14:paraId="4C9CA59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10.样本类型为血清、血浆、全血、脑脊液、尿液样本等。</w:t>
            </w:r>
          </w:p>
          <w:p w14:paraId="438F52F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11.试剂位≥30个。</w:t>
            </w:r>
          </w:p>
          <w:p w14:paraId="61E58FB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12.过敏原检测试剂位≥100个。</w:t>
            </w:r>
          </w:p>
          <w:p w14:paraId="07A747C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13.具备钢针加样，带清洗装置，具有液面检测功能，有防撞、堵针报警、空吸报警。</w:t>
            </w:r>
          </w:p>
          <w:p w14:paraId="2258BDD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14.具有双清洗系统。</w:t>
            </w:r>
          </w:p>
          <w:p w14:paraId="12B8B19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●15.参加国家及广西省级室间质评，且成绩合格。</w:t>
            </w:r>
          </w:p>
          <w:p w14:paraId="27E2B7D0">
            <w:pPr>
              <w:keepNext w:val="0"/>
              <w:keepLines w:val="0"/>
              <w:numPr>
                <w:ilvl w:val="0"/>
                <w:numId w:val="0"/>
              </w:numPr>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en-US" w:bidi="ar-SA"/>
              </w:rPr>
              <w:t>16.</w:t>
            </w:r>
            <w:r>
              <w:rPr>
                <w:rFonts w:hint="eastAsia" w:ascii="宋体" w:hAnsi="宋体" w:eastAsia="宋体" w:cs="宋体"/>
                <w:color w:val="auto"/>
                <w:sz w:val="21"/>
                <w:szCs w:val="21"/>
                <w:highlight w:val="none"/>
              </w:rPr>
              <w:t>支持在线稀释。</w:t>
            </w:r>
          </w:p>
          <w:p w14:paraId="52069EFA">
            <w:pPr>
              <w:keepNext w:val="0"/>
              <w:keepLines w:val="0"/>
              <w:numPr>
                <w:ilvl w:val="0"/>
                <w:numId w:val="0"/>
              </w:numPr>
              <w:suppressLineNumbers w:val="0"/>
              <w:wordWrap w:val="0"/>
              <w:spacing w:before="0" w:beforeAutospacing="0" w:after="0" w:afterAutospacing="0" w:line="44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17.设备使用年限：≥8年。</w:t>
            </w:r>
          </w:p>
          <w:p w14:paraId="14E1EDA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（二）适配要求</w:t>
            </w:r>
          </w:p>
          <w:p w14:paraId="5C82A4F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1.全自动化学发光分析仪≥1台。</w:t>
            </w:r>
          </w:p>
          <w:p w14:paraId="6192EAE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2.UPS电源一套。</w:t>
            </w:r>
          </w:p>
          <w:p w14:paraId="5CEF1BF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3.系统对接功能：可以与LIS/HIS系统实现无缝对接，可实现病人样品信息录入、实验数据存储及统计分析、报告审核、打印分发等功能，有效提高信息化程度。</w:t>
            </w:r>
          </w:p>
          <w:p w14:paraId="7973719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（三）扩展配置与配套设施</w:t>
            </w:r>
          </w:p>
          <w:p w14:paraId="4F7E7987">
            <w:pPr>
              <w:keepNext w:val="0"/>
              <w:keepLines w:val="0"/>
              <w:suppressLineNumbers w:val="0"/>
              <w:wordWrap w:val="0"/>
              <w:spacing w:before="0" w:beforeAutospacing="0" w:after="0" w:afterAutospacing="0" w:line="440" w:lineRule="exact"/>
              <w:ind w:left="0" w:leftChars="0" w:right="0" w:rightChars="0"/>
              <w:rPr>
                <w:rFonts w:hint="eastAsia"/>
                <w:color w:val="auto"/>
                <w:highlight w:val="none"/>
                <w:lang w:val="en-US" w:eastAsia="zh-CN"/>
              </w:rPr>
            </w:pPr>
            <w:r>
              <w:rPr>
                <w:rFonts w:hint="eastAsia" w:ascii="宋体" w:hAnsi="宋体" w:eastAsia="宋体" w:cs="宋体"/>
                <w:color w:val="auto"/>
                <w:sz w:val="21"/>
                <w:szCs w:val="21"/>
                <w:highlight w:val="none"/>
              </w:rPr>
              <w:t>配电设施：电压220V，输入功率≥200VA。</w:t>
            </w:r>
          </w:p>
        </w:tc>
      </w:tr>
      <w:tr w14:paraId="6C542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339D195C">
            <w:pPr>
              <w:keepNext w:val="0"/>
              <w:keepLines w:val="0"/>
              <w:widowControl/>
              <w:suppressLineNumbers w:val="0"/>
              <w:spacing w:before="0" w:beforeAutospacing="0" w:after="0" w:afterAutospacing="0" w:line="360" w:lineRule="auto"/>
              <w:ind w:left="0" w:leftChars="0" w:right="0" w:rightChars="0"/>
              <w:jc w:val="center"/>
              <w:textAlignment w:val="center"/>
              <w:rPr>
                <w:rFonts w:hint="eastAsia" w:ascii="Arial" w:hAnsi="Arial" w:cs="Arial"/>
                <w:b/>
                <w:color w:val="auto"/>
                <w:szCs w:val="21"/>
                <w:highlight w:val="none"/>
              </w:rPr>
            </w:pPr>
            <w:r>
              <w:rPr>
                <w:rFonts w:hint="eastAsia" w:ascii="宋体" w:hAnsi="宋体" w:eastAsia="宋体" w:cs="宋体"/>
                <w:color w:val="auto"/>
                <w:sz w:val="21"/>
                <w:szCs w:val="21"/>
                <w:highlight w:val="none"/>
                <w:lang w:val="en-US" w:eastAsia="zh-CN"/>
              </w:rPr>
              <w:t>3</w:t>
            </w:r>
          </w:p>
        </w:tc>
        <w:tc>
          <w:tcPr>
            <w:tcW w:w="1190" w:type="dxa"/>
            <w:noWrap w:val="0"/>
            <w:vAlign w:val="center"/>
          </w:tcPr>
          <w:p w14:paraId="7C8CCE6F">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color w:val="auto"/>
                <w:szCs w:val="21"/>
                <w:highlight w:val="none"/>
                <w:lang w:eastAsia="zh-CN"/>
              </w:rPr>
            </w:pPr>
            <w:r>
              <w:rPr>
                <w:rFonts w:hint="eastAsia" w:ascii="宋体" w:hAnsi="宋体" w:eastAsia="宋体" w:cs="宋体"/>
                <w:color w:val="auto"/>
                <w:sz w:val="21"/>
                <w:szCs w:val="21"/>
                <w:highlight w:val="none"/>
                <w:lang w:eastAsia="zh-CN"/>
              </w:rPr>
              <w:t>全自动精液分析系统</w:t>
            </w:r>
          </w:p>
        </w:tc>
        <w:tc>
          <w:tcPr>
            <w:tcW w:w="504" w:type="dxa"/>
            <w:tcBorders>
              <w:right w:val="single" w:color="auto" w:sz="4" w:space="0"/>
            </w:tcBorders>
            <w:noWrap w:val="0"/>
            <w:vAlign w:val="center"/>
          </w:tcPr>
          <w:p w14:paraId="70E7375B">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sz w:val="21"/>
                <w:szCs w:val="21"/>
                <w:highlight w:val="none"/>
                <w:lang w:val="en-US" w:eastAsia="zh-CN"/>
              </w:rPr>
              <w:t>1</w:t>
            </w:r>
          </w:p>
        </w:tc>
        <w:tc>
          <w:tcPr>
            <w:tcW w:w="507" w:type="dxa"/>
            <w:noWrap w:val="0"/>
            <w:vAlign w:val="center"/>
          </w:tcPr>
          <w:p w14:paraId="658AFD99">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kern w:val="0"/>
                <w:sz w:val="21"/>
                <w:szCs w:val="21"/>
                <w:highlight w:val="none"/>
                <w:lang w:val="en-US" w:eastAsia="zh-CN" w:bidi="ar"/>
              </w:rPr>
              <w:t>套</w:t>
            </w:r>
          </w:p>
        </w:tc>
        <w:tc>
          <w:tcPr>
            <w:tcW w:w="1361" w:type="dxa"/>
            <w:shd w:val="clear" w:color="auto" w:fill="auto"/>
            <w:noWrap w:val="0"/>
            <w:vAlign w:val="center"/>
          </w:tcPr>
          <w:p w14:paraId="7443C72E">
            <w:pPr>
              <w:widowControl/>
              <w:jc w:val="center"/>
              <w:rPr>
                <w:rFonts w:hint="eastAsia"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450000.00</w:t>
            </w:r>
          </w:p>
        </w:tc>
        <w:tc>
          <w:tcPr>
            <w:tcW w:w="707" w:type="dxa"/>
            <w:shd w:val="clear" w:color="auto" w:fill="auto"/>
            <w:noWrap w:val="0"/>
            <w:vAlign w:val="center"/>
          </w:tcPr>
          <w:p w14:paraId="47775F13">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332" w:type="dxa"/>
            <w:noWrap w:val="0"/>
            <w:vAlign w:val="center"/>
          </w:tcPr>
          <w:p w14:paraId="5C424F8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ins w:id="2" w:author="JDZBzheng" w:date="2026-06-30T12:34:44Z">
              <w:r>
                <w:rPr>
                  <w:rFonts w:hint="eastAsia" w:ascii="宋体" w:hAnsi="宋体" w:cs="宋体"/>
                  <w:color w:val="auto"/>
                  <w:sz w:val="21"/>
                  <w:szCs w:val="21"/>
                  <w:highlight w:val="none"/>
                  <w:lang w:val="en-US" w:eastAsia="zh-CN"/>
                </w:rPr>
                <w:t>一、</w:t>
              </w:r>
            </w:ins>
            <w:r>
              <w:rPr>
                <w:rFonts w:hint="eastAsia" w:ascii="宋体" w:hAnsi="宋体" w:eastAsia="宋体" w:cs="宋体"/>
                <w:color w:val="auto"/>
                <w:sz w:val="21"/>
                <w:szCs w:val="21"/>
                <w:highlight w:val="none"/>
              </w:rPr>
              <w:t>全自动精液分析系统包括精子质量分析模块（精子质量分析仪1台）和精浆生化分析模块（精浆生化分析仪1台）组成，可为不同品牌的独立检测设备。</w:t>
            </w:r>
          </w:p>
          <w:p w14:paraId="400DCD2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（一）精子质量分析仪核心技术参数</w:t>
            </w:r>
          </w:p>
          <w:p w14:paraId="1F118B4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1.产品组成及资质</w:t>
            </w:r>
          </w:p>
          <w:p w14:paraId="2FB4854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▲1.1设备为一体机，包含生物显微镜，计算机系统，温控系统，电源系统，精子计数池，精子质量分析管理软件等。</w:t>
            </w:r>
          </w:p>
          <w:p w14:paraId="7D56516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1.2具备精子检测动力学分析、形态学分析、DNA损伤分析功能。</w:t>
            </w:r>
          </w:p>
          <w:p w14:paraId="157A3F5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2.具备显微镜自动控制功能。</w:t>
            </w:r>
          </w:p>
          <w:p w14:paraId="2CF3A0B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2.1显微镜可自动扫描、自动聚焦采集精子动态视频与静态图像，已拍摄图像视野可坐标追溯。</w:t>
            </w:r>
          </w:p>
          <w:p w14:paraId="3F0DC7C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2.2在软件控制下，显微镜可自动物镜转换，其重复性误差不大于0.015mm。</w:t>
            </w:r>
          </w:p>
          <w:p w14:paraId="7236831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2.3在软件控制下，载物台自动在XYZ方向移动；载物台移动最小步距：X轴≤0.002mm, Y轴≤0.002mm。</w:t>
            </w:r>
          </w:p>
          <w:p w14:paraId="14DE288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3.具备恒温控制功能。</w:t>
            </w:r>
          </w:p>
          <w:p w14:paraId="7627E53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温控范围：37.0℃±0.5℃范围内。</w:t>
            </w:r>
          </w:p>
          <w:p w14:paraId="08A0E7C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4.具备</w:t>
            </w:r>
            <w:r>
              <w:rPr>
                <w:rFonts w:hint="eastAsia" w:ascii="宋体" w:hAnsi="宋体" w:eastAsia="宋体" w:cs="宋体"/>
                <w:color w:val="auto"/>
                <w:sz w:val="21"/>
                <w:szCs w:val="21"/>
                <w:highlight w:val="none"/>
                <w:lang w:val="en-US" w:eastAsia="zh-CN"/>
              </w:rPr>
              <w:t>软件通用功能</w:t>
            </w:r>
            <w:r>
              <w:rPr>
                <w:rFonts w:hint="eastAsia" w:ascii="宋体" w:hAnsi="宋体" w:eastAsia="宋体" w:cs="宋体"/>
                <w:color w:val="auto"/>
                <w:sz w:val="21"/>
                <w:szCs w:val="21"/>
                <w:highlight w:val="none"/>
              </w:rPr>
              <w:t>。</w:t>
            </w:r>
          </w:p>
          <w:p w14:paraId="3B55ABC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4.1界面语言支持中英文切换。</w:t>
            </w:r>
          </w:p>
          <w:p w14:paraId="51388EA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4.2可任意切换世界卫生组织人类精液检查与处理实验室手册第四版、第五版和第六版的标准。</w:t>
            </w:r>
          </w:p>
          <w:p w14:paraId="5621A78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4.3具备病例统计功能。</w:t>
            </w:r>
          </w:p>
          <w:p w14:paraId="3280ADE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5.精子质量常规分析数据。</w:t>
            </w:r>
          </w:p>
          <w:p w14:paraId="1383162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5.1精子前向运动PR符合率≥95%。分析仪进行自动聚焦采集图像，精子静态图像清晰率≥96%。</w:t>
            </w:r>
          </w:p>
          <w:p w14:paraId="66C50F8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5.2精子非前向运动NP符合率≥92%。</w:t>
            </w:r>
          </w:p>
          <w:p w14:paraId="105DF93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5.3精子不活动IM符合率≥96%。</w:t>
            </w:r>
          </w:p>
          <w:p w14:paraId="4FA6D75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6.精子形态学分析数据。</w:t>
            </w:r>
          </w:p>
          <w:p w14:paraId="1E6B346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头部异常精子个数符合率≥94%，精子杂质误认率≤1%。</w:t>
            </w:r>
          </w:p>
          <w:p w14:paraId="3819329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7.精子DNA损伤分析数据。</w:t>
            </w:r>
          </w:p>
          <w:p w14:paraId="7CCEEE8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计数精子数、有DNA碎片精子、无DNA碎片精子，识别结果符合率≥96%，杂质误认率≤4%。</w:t>
            </w:r>
          </w:p>
          <w:p w14:paraId="3EC6CD8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8.具备质控功能。</w:t>
            </w:r>
          </w:p>
          <w:p w14:paraId="1DB0BD1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9.重复性</w:t>
            </w:r>
          </w:p>
          <w:p w14:paraId="1A66ADE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9.1明场和相衬下进行精子浓度分析，CV≤2%。</w:t>
            </w:r>
          </w:p>
          <w:p w14:paraId="11EEC2F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9.2精子形态学分析计数精子数，CV≤5%。</w:t>
            </w:r>
          </w:p>
          <w:p w14:paraId="16ABBFD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9.3精子DNA损伤分析计数精子数，CV≤5%。</w:t>
            </w:r>
          </w:p>
          <w:p w14:paraId="2F98990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10.稳定性</w:t>
            </w:r>
          </w:p>
          <w:p w14:paraId="776EC37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10.1开机8小时内明场和相衬下进行浓度分析，CV≤3%。</w:t>
            </w:r>
          </w:p>
          <w:p w14:paraId="78A3EF6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10.2开机8小时内精子形态学分析计数精子数，CV≤5%。</w:t>
            </w:r>
          </w:p>
          <w:p w14:paraId="2F7685D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10.3开机8小时内精子DNA损伤分析计数精子数，检测结果的变异系数（CV,%）≤5%。</w:t>
            </w:r>
          </w:p>
          <w:p w14:paraId="2C4C644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11.具备数据库管理功能，具有LIS导出功能，方便进行LIS联网。</w:t>
            </w:r>
          </w:p>
          <w:p w14:paraId="0227B3E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（二）精浆生化分析仪核心技术参数</w:t>
            </w:r>
          </w:p>
          <w:p w14:paraId="4EC701B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1.具备高效自动化操作功能。能自动加样、温控、测光，软件一键查询结果。</w:t>
            </w:r>
          </w:p>
          <w:p w14:paraId="2183C15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2.高精度与稳定性：具备优良的光学性能、温控精度和加样准确性。</w:t>
            </w:r>
          </w:p>
          <w:p w14:paraId="3DDBBE1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3.支持锌、果糖、柠檬酸、中性α-葡萄糖苷酶等关键指标同步检测。</w:t>
            </w:r>
          </w:p>
          <w:p w14:paraId="3C1A852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4.具备信息化管理功能：支持LIS系统对接，具备质控管理、结果查询、历史数据追溯等功能。</w:t>
            </w:r>
          </w:p>
          <w:p w14:paraId="44A1C1B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5.加样性能：加样准确度误差≤±5%，重复性 CV≤2%。</w:t>
            </w:r>
          </w:p>
          <w:p w14:paraId="71FF3BC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6.软件系统功能：支持自检、测试申请、结果存储、故障提示、LIS 对接，操作响应时间≤30s。</w:t>
            </w:r>
          </w:p>
          <w:p w14:paraId="391EF72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7.检测速度：4人份≤25分钟，一次可同时检测≥4人份标本。</w:t>
            </w:r>
          </w:p>
          <w:p w14:paraId="006F029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8.具备质控功能。</w:t>
            </w:r>
          </w:p>
          <w:p w14:paraId="251424FE">
            <w:pPr>
              <w:keepNext w:val="0"/>
              <w:keepLines w:val="0"/>
              <w:suppressLineNumbers w:val="0"/>
              <w:wordWrap w:val="0"/>
              <w:spacing w:before="0" w:beforeAutospacing="0" w:after="0" w:afterAutospacing="0" w:line="44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设备使用年限：≥8年。</w:t>
            </w:r>
          </w:p>
          <w:p w14:paraId="119CFFF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三</w:t>
            </w:r>
            <w:r>
              <w:rPr>
                <w:rFonts w:hint="eastAsia" w:ascii="宋体" w:hAnsi="宋体" w:eastAsia="宋体" w:cs="宋体"/>
                <w:color w:val="000000" w:themeColor="text1"/>
                <w:sz w:val="21"/>
                <w:szCs w:val="21"/>
                <w:highlight w:val="none"/>
                <w14:textFill>
                  <w14:solidFill>
                    <w14:schemeClr w14:val="tx1"/>
                  </w14:solidFill>
                </w14:textFill>
              </w:rPr>
              <w:t>）适配要求</w:t>
            </w:r>
          </w:p>
          <w:p w14:paraId="66324AD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1.精子质量分析模块（精子质量分析仪1台）和精浆生化分析模块（精浆生化分析仪1台）组成，可为不同品牌的独立检测</w:t>
            </w:r>
            <w:r>
              <w:rPr>
                <w:rFonts w:hint="eastAsia" w:ascii="宋体" w:hAnsi="宋体" w:eastAsia="宋体" w:cs="宋体"/>
                <w:color w:val="auto"/>
                <w:sz w:val="21"/>
                <w:szCs w:val="21"/>
                <w:highlight w:val="none"/>
                <w:lang w:val="en-US" w:eastAsia="zh-CN"/>
              </w:rPr>
              <w:t>设备</w:t>
            </w:r>
            <w:r>
              <w:rPr>
                <w:rFonts w:hint="eastAsia" w:ascii="宋体" w:hAnsi="宋体" w:eastAsia="宋体" w:cs="宋体"/>
                <w:color w:val="auto"/>
                <w:sz w:val="21"/>
                <w:szCs w:val="21"/>
                <w:highlight w:val="none"/>
              </w:rPr>
              <w:t>。</w:t>
            </w:r>
          </w:p>
          <w:p w14:paraId="2FA604E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2.UPS电源一套。</w:t>
            </w:r>
          </w:p>
          <w:p w14:paraId="1CFC516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3.系统对接功能：可以与LIS/HIS系统实现无缝对接，可实现病人样品信息录入、实验数据存储及统计分析、报告审核、打印分发等功能，有效提高信息化程度。</w:t>
            </w:r>
          </w:p>
          <w:p w14:paraId="288E3E4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）扩展配置与配套设施</w:t>
            </w:r>
          </w:p>
          <w:p w14:paraId="49F9C9A5">
            <w:pPr>
              <w:keepNext w:val="0"/>
              <w:keepLines w:val="0"/>
              <w:suppressLineNumbers w:val="0"/>
              <w:wordWrap w:val="0"/>
              <w:spacing w:before="0" w:beforeAutospacing="0" w:after="0" w:afterAutospacing="0" w:line="440" w:lineRule="exact"/>
              <w:ind w:left="0" w:leftChars="0" w:right="0" w:rightChars="0"/>
              <w:rPr>
                <w:rFonts w:hint="eastAsia"/>
                <w:color w:val="auto"/>
                <w:highlight w:val="none"/>
                <w:lang w:val="en-US" w:eastAsia="zh-CN"/>
              </w:rPr>
            </w:pPr>
            <w:r>
              <w:rPr>
                <w:rFonts w:hint="eastAsia" w:ascii="宋体" w:hAnsi="宋体" w:eastAsia="宋体" w:cs="宋体"/>
                <w:color w:val="auto"/>
                <w:sz w:val="21"/>
                <w:szCs w:val="21"/>
                <w:highlight w:val="none"/>
              </w:rPr>
              <w:t>配电设施：电压220V，输入功率≥200VA。</w:t>
            </w:r>
          </w:p>
        </w:tc>
      </w:tr>
      <w:tr w14:paraId="4115B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7814973D">
            <w:pPr>
              <w:keepNext w:val="0"/>
              <w:keepLines w:val="0"/>
              <w:widowControl/>
              <w:suppressLineNumbers w:val="0"/>
              <w:spacing w:before="0" w:beforeAutospacing="0" w:after="0" w:afterAutospacing="0" w:line="360" w:lineRule="auto"/>
              <w:ind w:left="0" w:leftChars="0" w:right="0" w:rightChars="0"/>
              <w:jc w:val="center"/>
              <w:textAlignment w:val="center"/>
              <w:rPr>
                <w:rFonts w:hint="eastAsia" w:ascii="Arial" w:hAnsi="Arial" w:cs="Arial"/>
                <w:b/>
                <w:color w:val="auto"/>
                <w:szCs w:val="21"/>
                <w:highlight w:val="none"/>
              </w:rPr>
            </w:pPr>
            <w:r>
              <w:rPr>
                <w:rFonts w:hint="eastAsia" w:ascii="宋体" w:hAnsi="宋体" w:eastAsia="宋体" w:cs="宋体"/>
                <w:color w:val="auto"/>
                <w:sz w:val="21"/>
                <w:szCs w:val="21"/>
                <w:highlight w:val="none"/>
                <w:lang w:val="en-US" w:eastAsia="zh-CN"/>
              </w:rPr>
              <w:t>4</w:t>
            </w:r>
          </w:p>
        </w:tc>
        <w:tc>
          <w:tcPr>
            <w:tcW w:w="1190" w:type="dxa"/>
            <w:noWrap w:val="0"/>
            <w:vAlign w:val="center"/>
          </w:tcPr>
          <w:p w14:paraId="10D90AB9">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color w:val="auto"/>
                <w:szCs w:val="21"/>
                <w:highlight w:val="none"/>
                <w:lang w:eastAsia="zh-CN"/>
              </w:rPr>
            </w:pPr>
            <w:r>
              <w:rPr>
                <w:rFonts w:hint="eastAsia" w:ascii="宋体" w:hAnsi="宋体" w:eastAsia="宋体" w:cs="宋体"/>
                <w:color w:val="auto"/>
                <w:sz w:val="21"/>
                <w:szCs w:val="21"/>
                <w:highlight w:val="none"/>
                <w:lang w:eastAsia="zh-CN"/>
              </w:rPr>
              <w:t>全自动尿液分析流水线</w:t>
            </w:r>
          </w:p>
        </w:tc>
        <w:tc>
          <w:tcPr>
            <w:tcW w:w="504" w:type="dxa"/>
            <w:tcBorders>
              <w:right w:val="single" w:color="auto" w:sz="4" w:space="0"/>
            </w:tcBorders>
            <w:noWrap w:val="0"/>
            <w:vAlign w:val="center"/>
          </w:tcPr>
          <w:p w14:paraId="6D9C2C97">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sz w:val="21"/>
                <w:szCs w:val="21"/>
                <w:highlight w:val="none"/>
                <w:lang w:val="en-US" w:eastAsia="zh-CN"/>
              </w:rPr>
              <w:t>1</w:t>
            </w:r>
          </w:p>
        </w:tc>
        <w:tc>
          <w:tcPr>
            <w:tcW w:w="507" w:type="dxa"/>
            <w:noWrap w:val="0"/>
            <w:vAlign w:val="center"/>
          </w:tcPr>
          <w:p w14:paraId="535330F7">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kern w:val="0"/>
                <w:sz w:val="21"/>
                <w:szCs w:val="21"/>
                <w:highlight w:val="none"/>
                <w:lang w:val="en-US" w:eastAsia="zh-CN" w:bidi="ar"/>
              </w:rPr>
              <w:t>套</w:t>
            </w:r>
          </w:p>
        </w:tc>
        <w:tc>
          <w:tcPr>
            <w:tcW w:w="1361" w:type="dxa"/>
            <w:shd w:val="clear" w:color="auto" w:fill="auto"/>
            <w:noWrap w:val="0"/>
            <w:vAlign w:val="center"/>
          </w:tcPr>
          <w:p w14:paraId="5C755742">
            <w:pPr>
              <w:widowControl/>
              <w:jc w:val="center"/>
              <w:rPr>
                <w:rFonts w:hint="eastAsia"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300000.00</w:t>
            </w:r>
          </w:p>
        </w:tc>
        <w:tc>
          <w:tcPr>
            <w:tcW w:w="707" w:type="dxa"/>
            <w:shd w:val="clear" w:color="auto" w:fill="auto"/>
            <w:noWrap w:val="0"/>
            <w:vAlign w:val="center"/>
          </w:tcPr>
          <w:p w14:paraId="140B9BEC">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332" w:type="dxa"/>
            <w:noWrap w:val="0"/>
            <w:vAlign w:val="center"/>
          </w:tcPr>
          <w:p w14:paraId="14D363F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ins w:id="3" w:author="JDZBzheng" w:date="2026-06-30T12:35:05Z">
              <w:r>
                <w:rPr>
                  <w:rFonts w:hint="eastAsia" w:ascii="宋体" w:hAnsi="宋体" w:cs="宋体"/>
                  <w:color w:val="auto"/>
                  <w:sz w:val="21"/>
                  <w:szCs w:val="21"/>
                  <w:highlight w:val="none"/>
                  <w:lang w:val="en-US" w:eastAsia="zh-CN"/>
                </w:rPr>
                <w:t>一、</w:t>
              </w:r>
            </w:ins>
            <w:r>
              <w:rPr>
                <w:rFonts w:hint="eastAsia" w:ascii="宋体" w:hAnsi="宋体" w:eastAsia="宋体" w:cs="宋体"/>
                <w:color w:val="auto"/>
                <w:sz w:val="21"/>
                <w:szCs w:val="21"/>
                <w:highlight w:val="none"/>
              </w:rPr>
              <w:t>全自动尿液分析流水线由全自动尿液干化学分析仪2台、尿液有形</w:t>
            </w:r>
            <w:r>
              <w:rPr>
                <w:rFonts w:hint="eastAsia" w:ascii="宋体" w:hAnsi="宋体" w:cs="宋体"/>
                <w:color w:val="auto"/>
                <w:sz w:val="21"/>
                <w:szCs w:val="21"/>
                <w:highlight w:val="none"/>
                <w:lang w:eastAsia="zh-CN"/>
              </w:rPr>
              <w:t>分析</w:t>
            </w:r>
            <w:r>
              <w:rPr>
                <w:rFonts w:hint="eastAsia" w:ascii="宋体" w:hAnsi="宋体" w:eastAsia="宋体" w:cs="宋体"/>
                <w:color w:val="auto"/>
                <w:sz w:val="21"/>
                <w:szCs w:val="21"/>
                <w:highlight w:val="none"/>
              </w:rPr>
              <w:t>仪2台和工作柜组成或全自动尿液干化学分析仪1台、尿液有形</w:t>
            </w:r>
            <w:r>
              <w:rPr>
                <w:rFonts w:hint="eastAsia" w:ascii="宋体" w:hAnsi="宋体" w:cs="宋体"/>
                <w:color w:val="auto"/>
                <w:sz w:val="21"/>
                <w:szCs w:val="21"/>
                <w:highlight w:val="none"/>
                <w:lang w:eastAsia="zh-CN"/>
              </w:rPr>
              <w:t>分析</w:t>
            </w:r>
            <w:r>
              <w:rPr>
                <w:rFonts w:hint="eastAsia" w:ascii="宋体" w:hAnsi="宋体" w:eastAsia="宋体" w:cs="宋体"/>
                <w:color w:val="auto"/>
                <w:sz w:val="21"/>
                <w:szCs w:val="21"/>
                <w:highlight w:val="none"/>
              </w:rPr>
              <w:t>仪1台、全自动尿液分析系统（一体机）一套组成。</w:t>
            </w:r>
          </w:p>
          <w:p w14:paraId="48BFE22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（一）核心技术参数</w:t>
            </w:r>
          </w:p>
          <w:p w14:paraId="1BC4044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1.干化学分析仪参数</w:t>
            </w:r>
          </w:p>
          <w:p w14:paraId="42A1DFD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1.1测试项目：≥11项。 </w:t>
            </w:r>
          </w:p>
          <w:p w14:paraId="1EDF30D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1.2单台测试速度：≥220个样本/小时。</w:t>
            </w:r>
          </w:p>
          <w:p w14:paraId="49B21D3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▲1.3样本架功能：支持最大20个待测试管架，360°旋转样本进行条码读取。</w:t>
            </w:r>
          </w:p>
          <w:p w14:paraId="3942473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1.4具备尿液比重计功能：线性范围 1.000～1.055 内，偏倚范围不超过±0.002。</w:t>
            </w:r>
          </w:p>
          <w:p w14:paraId="4569FF5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1.5具备加强清洗功能：分析仪能对浊度计中检测出的高浑浊度样品，自动加强清洗。</w:t>
            </w:r>
          </w:p>
          <w:p w14:paraId="65BFD6B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1.6具备混匀功能：分析仪具有混匀功能，可对样本进行混匀操作。</w:t>
            </w:r>
          </w:p>
          <w:p w14:paraId="460473A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1.7具备样本量检测功能：采用液面感应技术，当样本量不足以检测时，分析仪有报警提示。</w:t>
            </w:r>
          </w:p>
          <w:p w14:paraId="42447F2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1.8具备废试纸条实时监控功能：如废试纸条已满，会自动报警提示。</w:t>
            </w:r>
          </w:p>
          <w:p w14:paraId="20B0DF1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1.9具备试纸图像显示功能：分析仪具有捕捉、显示并存储在加入样本后的尿试纸条图像的功能，用于结果审核与查阅等方面。</w:t>
            </w:r>
          </w:p>
          <w:p w14:paraId="26CA97D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1.10数据存储量：≥100万个样本数据。</w:t>
            </w:r>
          </w:p>
          <w:p w14:paraId="2456A16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1.11试纸仓容量：≥400条试纸。</w:t>
            </w:r>
          </w:p>
          <w:p w14:paraId="1C62BB6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1.12.重复性：分析仪反射率测试结果CV≤1%。</w:t>
            </w:r>
          </w:p>
          <w:p w14:paraId="624F220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1.13稳定性：分析仪开机8h内，反射率测试结果CV≤1%。</w:t>
            </w:r>
          </w:p>
          <w:p w14:paraId="40A4B0F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1.14携带污染：检测除比重和PH外各测试项目最高浓度结果的阳性样本，随后检测阴性样本，阴性样本的结果不得出阳性。</w:t>
            </w:r>
          </w:p>
          <w:p w14:paraId="5875C20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●1.15.参加国家及广西省级室间质评，且成绩合格。</w:t>
            </w:r>
          </w:p>
          <w:p w14:paraId="7FC3F05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2.尿液有形成分分析仪参数</w:t>
            </w:r>
          </w:p>
          <w:p w14:paraId="0E2608E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2.1工作原理：利用人工智能技术，以自动镜检法或流式细胞技术对尿中有形成分进行自动识别与分类计数。</w:t>
            </w:r>
          </w:p>
          <w:p w14:paraId="1ACE482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2.2检测项目：可检测尿液中多种有形成分，自动识别项目≥25项。</w:t>
            </w:r>
          </w:p>
          <w:p w14:paraId="10A3489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2.3检测速度：≥100个/小时。</w:t>
            </w:r>
          </w:p>
          <w:p w14:paraId="7DFB46F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2.4识别率：红细胞≥95%，白细胞≥85%，管型≥85%</w:t>
            </w:r>
          </w:p>
          <w:p w14:paraId="620ADAB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2.5红细胞形态学检测功能：可通过红细胞形态的鉴定发出红细胞形态学报告，可提供3个报告参数，一个直方图。</w:t>
            </w:r>
          </w:p>
          <w:p w14:paraId="44BEBD1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2.6具备智能审核功能，自动提示阳性结果。</w:t>
            </w:r>
          </w:p>
          <w:p w14:paraId="529F4C3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2.7具备存储及查询功能。</w:t>
            </w:r>
          </w:p>
          <w:p w14:paraId="4AB9641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2.8携带污染率：≤0.05%</w:t>
            </w:r>
          </w:p>
          <w:p w14:paraId="219E919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2.9具备清洗排堵功能。</w:t>
            </w:r>
          </w:p>
          <w:p w14:paraId="24D24C2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2.10具备支持密闭标本的直接采样功能。</w:t>
            </w:r>
          </w:p>
          <w:p w14:paraId="243B7AE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●2.11具有适配该设备性能要求的校准物。</w:t>
            </w:r>
          </w:p>
          <w:p w14:paraId="73F7A37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●2.12.参加国家及广西省级室间质评，且成绩合格。</w:t>
            </w:r>
          </w:p>
          <w:p w14:paraId="7E61B7F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2.13设备使用≥8年。</w:t>
            </w:r>
          </w:p>
          <w:p w14:paraId="668538C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▲（二）适配要求</w:t>
            </w:r>
          </w:p>
          <w:p w14:paraId="4641F03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1.全自动尿液干化学分析仪2台、尿液有形</w:t>
            </w:r>
            <w:ins w:id="4" w:author="JDZBzheng" w:date="2026-06-30T11:06:48Z">
              <w:r>
                <w:rPr>
                  <w:rFonts w:hint="eastAsia" w:ascii="宋体" w:hAnsi="宋体" w:cs="宋体"/>
                  <w:color w:val="auto"/>
                  <w:sz w:val="21"/>
                  <w:szCs w:val="21"/>
                  <w:highlight w:val="none"/>
                  <w:lang w:eastAsia="zh-CN"/>
                </w:rPr>
                <w:t>分析</w:t>
              </w:r>
            </w:ins>
            <w:r>
              <w:rPr>
                <w:rFonts w:hint="eastAsia" w:ascii="宋体" w:hAnsi="宋体" w:eastAsia="宋体" w:cs="宋体"/>
                <w:color w:val="auto"/>
                <w:sz w:val="21"/>
                <w:szCs w:val="21"/>
                <w:highlight w:val="none"/>
              </w:rPr>
              <w:t>仪2台和工作柜组成或全自动尿液干化学分析仪1台、尿液有形</w:t>
            </w:r>
            <w:ins w:id="5" w:author="JDZBzheng" w:date="2026-06-30T11:06:54Z">
              <w:r>
                <w:rPr>
                  <w:rFonts w:hint="eastAsia" w:ascii="宋体" w:hAnsi="宋体" w:cs="宋体"/>
                  <w:color w:val="auto"/>
                  <w:sz w:val="21"/>
                  <w:szCs w:val="21"/>
                  <w:highlight w:val="none"/>
                  <w:lang w:eastAsia="zh-CN"/>
                </w:rPr>
                <w:t>分析</w:t>
              </w:r>
            </w:ins>
            <w:r>
              <w:rPr>
                <w:rFonts w:hint="eastAsia" w:ascii="宋体" w:hAnsi="宋体" w:eastAsia="宋体" w:cs="宋体"/>
                <w:color w:val="auto"/>
                <w:sz w:val="21"/>
                <w:szCs w:val="21"/>
                <w:highlight w:val="none"/>
              </w:rPr>
              <w:t>仪1台、全自动尿液分析系统（一体机）一套组成。</w:t>
            </w:r>
          </w:p>
          <w:p w14:paraId="613E14D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2.UPS电源一套。</w:t>
            </w:r>
          </w:p>
          <w:p w14:paraId="7788A59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3.系统对接功能：可以与LIS/HIS系统实现无缝对接，可实现病人样品信息录入、实验数据存储及统计分析、报告审核、打印分发等功能，有效提高信息化程度。</w:t>
            </w:r>
          </w:p>
          <w:p w14:paraId="6A2B558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（三）扩展配置与配套设施</w:t>
            </w:r>
          </w:p>
          <w:p w14:paraId="5461D82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配电设施：电压220V，输入功率≥450VA 。</w:t>
            </w:r>
          </w:p>
          <w:p w14:paraId="2105E20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（四）其他要求</w:t>
            </w:r>
          </w:p>
          <w:p w14:paraId="3AD2F85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1.配套标本采集管等试剂耗材。</w:t>
            </w:r>
          </w:p>
          <w:p w14:paraId="49B7B427">
            <w:pPr>
              <w:keepNext w:val="0"/>
              <w:keepLines w:val="0"/>
              <w:suppressLineNumbers w:val="0"/>
              <w:wordWrap w:val="0"/>
              <w:spacing w:before="0" w:beforeAutospacing="0" w:after="0" w:afterAutospacing="0" w:line="440" w:lineRule="exact"/>
              <w:ind w:left="0" w:leftChars="0" w:right="0" w:rightChars="0"/>
              <w:rPr>
                <w:rFonts w:hint="eastAsia"/>
                <w:color w:val="auto"/>
                <w:highlight w:val="none"/>
                <w:lang w:val="en-US" w:eastAsia="zh-CN"/>
              </w:rPr>
            </w:pPr>
            <w:r>
              <w:rPr>
                <w:rFonts w:hint="eastAsia" w:ascii="宋体" w:hAnsi="宋体" w:eastAsia="宋体" w:cs="宋体"/>
                <w:color w:val="auto"/>
                <w:sz w:val="21"/>
                <w:szCs w:val="21"/>
                <w:highlight w:val="none"/>
              </w:rPr>
              <w:t>2.配套质控品、校准品。</w:t>
            </w:r>
          </w:p>
        </w:tc>
      </w:tr>
      <w:tr w14:paraId="1EEB8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74CBDDB5">
            <w:pPr>
              <w:keepNext w:val="0"/>
              <w:keepLines w:val="0"/>
              <w:widowControl/>
              <w:suppressLineNumbers w:val="0"/>
              <w:spacing w:before="0" w:beforeAutospacing="0" w:after="0" w:afterAutospacing="0" w:line="360" w:lineRule="auto"/>
              <w:ind w:left="0" w:leftChars="0" w:right="0" w:rightChars="0"/>
              <w:jc w:val="center"/>
              <w:textAlignment w:val="center"/>
              <w:rPr>
                <w:rFonts w:hint="eastAsia" w:ascii="Arial" w:hAnsi="Arial" w:cs="Arial"/>
                <w:b/>
                <w:color w:val="auto"/>
                <w:szCs w:val="21"/>
                <w:highlight w:val="none"/>
              </w:rPr>
            </w:pPr>
            <w:r>
              <w:rPr>
                <w:rFonts w:hint="eastAsia" w:ascii="宋体" w:hAnsi="宋体" w:eastAsia="宋体" w:cs="宋体"/>
                <w:color w:val="auto"/>
                <w:sz w:val="21"/>
                <w:szCs w:val="21"/>
                <w:highlight w:val="none"/>
                <w:lang w:val="en-US" w:eastAsia="zh-CN"/>
              </w:rPr>
              <w:t>5</w:t>
            </w:r>
          </w:p>
        </w:tc>
        <w:tc>
          <w:tcPr>
            <w:tcW w:w="1190" w:type="dxa"/>
            <w:noWrap w:val="0"/>
            <w:vAlign w:val="center"/>
          </w:tcPr>
          <w:p w14:paraId="3499864F">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color w:val="auto"/>
                <w:szCs w:val="21"/>
                <w:highlight w:val="none"/>
                <w:lang w:eastAsia="zh-CN"/>
              </w:rPr>
            </w:pPr>
            <w:r>
              <w:rPr>
                <w:rFonts w:hint="eastAsia" w:ascii="宋体" w:hAnsi="宋体" w:eastAsia="宋体" w:cs="宋体"/>
                <w:color w:val="auto"/>
                <w:sz w:val="21"/>
                <w:szCs w:val="21"/>
                <w:highlight w:val="none"/>
                <w:lang w:eastAsia="zh-CN"/>
              </w:rPr>
              <w:t>全自动凝血分析系统</w:t>
            </w:r>
          </w:p>
        </w:tc>
        <w:tc>
          <w:tcPr>
            <w:tcW w:w="504" w:type="dxa"/>
            <w:tcBorders>
              <w:right w:val="single" w:color="auto" w:sz="4" w:space="0"/>
            </w:tcBorders>
            <w:noWrap w:val="0"/>
            <w:vAlign w:val="center"/>
          </w:tcPr>
          <w:p w14:paraId="2FB6D1DA">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sz w:val="21"/>
                <w:szCs w:val="21"/>
                <w:highlight w:val="none"/>
                <w:lang w:val="en-US" w:eastAsia="zh-CN"/>
              </w:rPr>
              <w:t>1</w:t>
            </w:r>
          </w:p>
        </w:tc>
        <w:tc>
          <w:tcPr>
            <w:tcW w:w="507" w:type="dxa"/>
            <w:noWrap w:val="0"/>
            <w:vAlign w:val="center"/>
          </w:tcPr>
          <w:p w14:paraId="61223182">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kern w:val="0"/>
                <w:sz w:val="21"/>
                <w:szCs w:val="21"/>
                <w:highlight w:val="none"/>
                <w:lang w:val="en-US" w:eastAsia="zh-CN" w:bidi="ar"/>
              </w:rPr>
              <w:t>套</w:t>
            </w:r>
          </w:p>
        </w:tc>
        <w:tc>
          <w:tcPr>
            <w:tcW w:w="1361" w:type="dxa"/>
            <w:shd w:val="clear" w:color="auto" w:fill="auto"/>
            <w:noWrap w:val="0"/>
            <w:vAlign w:val="center"/>
          </w:tcPr>
          <w:p w14:paraId="2A9825C1">
            <w:pPr>
              <w:widowControl/>
              <w:jc w:val="center"/>
              <w:rPr>
                <w:rFonts w:hint="eastAsia"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700000.00</w:t>
            </w:r>
          </w:p>
        </w:tc>
        <w:tc>
          <w:tcPr>
            <w:tcW w:w="707" w:type="dxa"/>
            <w:shd w:val="clear" w:color="auto" w:fill="auto"/>
            <w:noWrap w:val="0"/>
            <w:vAlign w:val="center"/>
          </w:tcPr>
          <w:p w14:paraId="71272036">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332" w:type="dxa"/>
            <w:noWrap w:val="0"/>
            <w:vAlign w:val="center"/>
          </w:tcPr>
          <w:p w14:paraId="658128D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ins w:id="6" w:author="JDZBzheng" w:date="2026-06-30T12:35:16Z">
              <w:r>
                <w:rPr>
                  <w:rFonts w:hint="eastAsia" w:ascii="宋体" w:hAnsi="宋体" w:cs="宋体"/>
                  <w:color w:val="auto"/>
                  <w:sz w:val="21"/>
                  <w:szCs w:val="21"/>
                  <w:highlight w:val="none"/>
                  <w:lang w:val="en-US" w:eastAsia="zh-CN"/>
                </w:rPr>
                <w:t>一、</w:t>
              </w:r>
            </w:ins>
            <w:r>
              <w:rPr>
                <w:rFonts w:hint="eastAsia" w:ascii="宋体" w:hAnsi="宋体" w:eastAsia="宋体" w:cs="宋体"/>
                <w:color w:val="auto"/>
                <w:sz w:val="21"/>
                <w:szCs w:val="21"/>
                <w:highlight w:val="none"/>
              </w:rPr>
              <w:t>全自动凝血分析系统由全自动凝血流水线或2台全自动凝血分析仪或全自动凝血流水线+2台全自动凝血分析仪组成（可以是不同品牌组成）。</w:t>
            </w:r>
          </w:p>
          <w:p w14:paraId="6FC9EAF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（一）核心技术参数</w:t>
            </w:r>
          </w:p>
          <w:p w14:paraId="57B7C29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1.反应原理：检测方法包含且不限于凝固法（摆动磁珠法或光学法）、发色底物法、免疫比浊法。</w:t>
            </w:r>
          </w:p>
          <w:p w14:paraId="5013252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2.试剂位：单台分析仪单机试剂位≥</w:t>
            </w:r>
            <w:r>
              <w:rPr>
                <w:rFonts w:hint="eastAsia" w:ascii="宋体" w:hAnsi="宋体" w:eastAsia="宋体" w:cs="宋体"/>
                <w:color w:val="auto"/>
                <w:sz w:val="21"/>
                <w:szCs w:val="21"/>
                <w:highlight w:val="none"/>
                <w:lang w:val="en-US" w:eastAsia="zh-CN"/>
              </w:rPr>
              <w:t>45</w:t>
            </w:r>
            <w:r>
              <w:rPr>
                <w:rFonts w:hint="eastAsia" w:ascii="宋体" w:hAnsi="宋体" w:eastAsia="宋体" w:cs="宋体"/>
                <w:color w:val="auto"/>
                <w:sz w:val="21"/>
                <w:szCs w:val="21"/>
                <w:highlight w:val="none"/>
              </w:rPr>
              <w:t>个或单机冷藏试剂位≥35 位，试剂仓具备冷藏功能。</w:t>
            </w:r>
          </w:p>
          <w:p w14:paraId="6E41FAD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3.纤维蛋白原测定方法：仪器拥有PT演算纤维蛋白原与Clauss法实测纤维蛋白原两种方法。</w:t>
            </w:r>
          </w:p>
          <w:p w14:paraId="6FC26E2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▲4.检测通量：流水线连接的凝血分析仪综合检测速度: PT≥600标本/小时。</w:t>
            </w:r>
          </w:p>
          <w:p w14:paraId="51C9772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▲5.流水线连接的单台分析仪波长≥3个，检测通道共用，光学凝固法≥14个，发色底物法≥14个，免疫比浊法≥14个。</w:t>
            </w:r>
          </w:p>
          <w:p w14:paraId="5D0AB05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6.具备凝固曲线和凝固曲线扩展分析能力。</w:t>
            </w:r>
          </w:p>
          <w:p w14:paraId="6D6A132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7.检测项目：支持临床可发检查报告的检测项目包括但不限于：PT、APTT、 FIB、TT、DD、AT、PC、PS、Anti-Xa、DRVVT、SCT、游离蛋白S、抗Xa等项目。</w:t>
            </w:r>
          </w:p>
          <w:p w14:paraId="4E42563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●8.PT、APTT、FIB、TT</w:t>
            </w:r>
            <w:r>
              <w:rPr>
                <w:rFonts w:hint="eastAsia"/>
                <w:szCs w:val="20"/>
                <w:highlight w:val="none"/>
                <w:lang w:val="en-US" w:eastAsia="zh-CN"/>
              </w:rPr>
              <w:t>、DD</w:t>
            </w:r>
            <w:r>
              <w:rPr>
                <w:rFonts w:hint="eastAsia" w:ascii="宋体" w:hAnsi="宋体" w:eastAsia="宋体" w:cs="宋体"/>
                <w:color w:val="auto"/>
                <w:sz w:val="21"/>
                <w:szCs w:val="21"/>
                <w:highlight w:val="none"/>
              </w:rPr>
              <w:t>等凝血检测项目具备独立国家卫生健康委临检中心质控分组，参加国家及广西省级室间质评，且成绩合格。</w:t>
            </w:r>
          </w:p>
          <w:p w14:paraId="5EBA1ED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9.具备自动审核结果功能。</w:t>
            </w:r>
          </w:p>
          <w:p w14:paraId="780E57B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●10.具备样本分析前质量核查功能。包括HIL项目特异性检测，样本量核查，异常吸样检测等功能。</w:t>
            </w:r>
          </w:p>
          <w:p w14:paraId="3CB27DD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11.原厂配套试剂、质控及校准品，有完整的溯源体系。</w:t>
            </w:r>
          </w:p>
          <w:p w14:paraId="7088B34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（二）适配要求</w:t>
            </w:r>
          </w:p>
          <w:p w14:paraId="17125FC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1.系统对接功能：可以与LIS/HIS系统实现无缝对接，可实现病人样品信息录入、实验数据存储及统计分析、报告审核、打印分发等功能，有效提高信息化程度。</w:t>
            </w:r>
          </w:p>
          <w:p w14:paraId="5F6884B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2.全自动凝血分析仪≥2台</w:t>
            </w:r>
          </w:p>
          <w:p w14:paraId="50F60ED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3.UPS电源一套。</w:t>
            </w:r>
          </w:p>
          <w:p w14:paraId="026D82F4">
            <w:pPr>
              <w:keepNext w:val="0"/>
              <w:keepLines w:val="0"/>
              <w:suppressLineNumbers w:val="0"/>
              <w:wordWrap w:val="0"/>
              <w:spacing w:before="0" w:beforeAutospacing="0" w:after="0" w:afterAutospacing="0" w:line="44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设备使用年限：≥7年。</w:t>
            </w:r>
          </w:p>
          <w:p w14:paraId="2B3BD51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（三）扩展配置与配套设施</w:t>
            </w:r>
          </w:p>
          <w:p w14:paraId="55367D7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1.仪器具有系统可扩展性，自动化系统通过闭合式轨道直接将样本进出样系统、凝血分析仪以及其它相关模块和配件连接起来。</w:t>
            </w:r>
          </w:p>
          <w:p w14:paraId="33C16ECF">
            <w:pPr>
              <w:keepNext w:val="0"/>
              <w:keepLines w:val="0"/>
              <w:suppressLineNumbers w:val="0"/>
              <w:wordWrap w:val="0"/>
              <w:spacing w:before="0" w:beforeAutospacing="0" w:after="0" w:afterAutospacing="0" w:line="440" w:lineRule="exact"/>
              <w:ind w:left="0" w:leftChars="0" w:right="0" w:rightChars="0"/>
              <w:rPr>
                <w:rFonts w:hint="eastAsia"/>
                <w:color w:val="auto"/>
                <w:highlight w:val="none"/>
                <w:lang w:val="en-US" w:eastAsia="zh-CN"/>
              </w:rPr>
            </w:pPr>
            <w:r>
              <w:rPr>
                <w:rFonts w:hint="eastAsia" w:ascii="宋体" w:hAnsi="宋体" w:eastAsia="宋体" w:cs="宋体"/>
                <w:color w:val="auto"/>
                <w:sz w:val="21"/>
                <w:szCs w:val="21"/>
                <w:highlight w:val="none"/>
              </w:rPr>
              <w:t>2.配电设施：电压220V，输入功率≥450VA 。</w:t>
            </w:r>
          </w:p>
        </w:tc>
      </w:tr>
      <w:tr w14:paraId="4CA3D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7B746E84">
            <w:pPr>
              <w:keepNext w:val="0"/>
              <w:keepLines w:val="0"/>
              <w:widowControl/>
              <w:suppressLineNumbers w:val="0"/>
              <w:spacing w:before="0" w:beforeAutospacing="0" w:after="0" w:afterAutospacing="0" w:line="360" w:lineRule="auto"/>
              <w:ind w:left="0" w:leftChars="0" w:right="0" w:rightChars="0"/>
              <w:jc w:val="center"/>
              <w:textAlignment w:val="center"/>
              <w:rPr>
                <w:rFonts w:hint="eastAsia" w:ascii="Arial" w:hAnsi="Arial" w:cs="Arial"/>
                <w:b/>
                <w:color w:val="auto"/>
                <w:szCs w:val="21"/>
                <w:highlight w:val="none"/>
              </w:rPr>
            </w:pPr>
            <w:r>
              <w:rPr>
                <w:rFonts w:hint="eastAsia" w:ascii="宋体" w:hAnsi="宋体" w:eastAsia="宋体" w:cs="宋体"/>
                <w:color w:val="auto"/>
                <w:sz w:val="21"/>
                <w:szCs w:val="21"/>
                <w:highlight w:val="none"/>
                <w:lang w:val="en-US" w:eastAsia="zh-CN"/>
              </w:rPr>
              <w:t>6</w:t>
            </w:r>
          </w:p>
        </w:tc>
        <w:tc>
          <w:tcPr>
            <w:tcW w:w="1190" w:type="dxa"/>
            <w:noWrap w:val="0"/>
            <w:vAlign w:val="center"/>
          </w:tcPr>
          <w:p w14:paraId="2D5D0CBC">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color w:val="auto"/>
                <w:szCs w:val="21"/>
                <w:highlight w:val="none"/>
                <w:lang w:eastAsia="zh-CN"/>
              </w:rPr>
            </w:pPr>
            <w:r>
              <w:rPr>
                <w:rFonts w:hint="eastAsia" w:ascii="宋体" w:hAnsi="宋体" w:eastAsia="宋体" w:cs="宋体"/>
                <w:color w:val="auto"/>
                <w:sz w:val="21"/>
                <w:szCs w:val="21"/>
                <w:highlight w:val="none"/>
                <w:lang w:eastAsia="zh-CN"/>
              </w:rPr>
              <w:t>全自动生化免疫流水线</w:t>
            </w:r>
          </w:p>
        </w:tc>
        <w:tc>
          <w:tcPr>
            <w:tcW w:w="504" w:type="dxa"/>
            <w:tcBorders>
              <w:right w:val="single" w:color="auto" w:sz="4" w:space="0"/>
            </w:tcBorders>
            <w:noWrap w:val="0"/>
            <w:vAlign w:val="center"/>
          </w:tcPr>
          <w:p w14:paraId="0F690749">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sz w:val="21"/>
                <w:szCs w:val="21"/>
                <w:highlight w:val="none"/>
                <w:lang w:val="en-US" w:eastAsia="zh-CN"/>
              </w:rPr>
              <w:t>1</w:t>
            </w:r>
          </w:p>
        </w:tc>
        <w:tc>
          <w:tcPr>
            <w:tcW w:w="507" w:type="dxa"/>
            <w:noWrap w:val="0"/>
            <w:vAlign w:val="center"/>
          </w:tcPr>
          <w:p w14:paraId="0B115A28">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kern w:val="0"/>
                <w:sz w:val="21"/>
                <w:szCs w:val="21"/>
                <w:highlight w:val="none"/>
                <w:lang w:val="en-US" w:eastAsia="zh-CN" w:bidi="ar"/>
              </w:rPr>
              <w:t>套</w:t>
            </w:r>
          </w:p>
        </w:tc>
        <w:tc>
          <w:tcPr>
            <w:tcW w:w="1361" w:type="dxa"/>
            <w:shd w:val="clear" w:color="auto" w:fill="auto"/>
            <w:noWrap w:val="0"/>
            <w:vAlign w:val="center"/>
          </w:tcPr>
          <w:p w14:paraId="674535EB">
            <w:pPr>
              <w:widowControl/>
              <w:jc w:val="center"/>
              <w:rPr>
                <w:rFonts w:hint="eastAsia"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4000000.00</w:t>
            </w:r>
          </w:p>
        </w:tc>
        <w:tc>
          <w:tcPr>
            <w:tcW w:w="707" w:type="dxa"/>
            <w:shd w:val="clear" w:color="auto" w:fill="auto"/>
            <w:noWrap w:val="0"/>
            <w:vAlign w:val="center"/>
          </w:tcPr>
          <w:p w14:paraId="671DEB94">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332" w:type="dxa"/>
            <w:noWrap w:val="0"/>
            <w:vAlign w:val="center"/>
          </w:tcPr>
          <w:p w14:paraId="3DF03C1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ins w:id="7" w:author="JDZBzheng" w:date="2026-06-30T12:35:22Z">
              <w:r>
                <w:rPr>
                  <w:rFonts w:hint="eastAsia" w:ascii="宋体" w:hAnsi="宋体" w:cs="宋体"/>
                  <w:color w:val="auto"/>
                  <w:sz w:val="21"/>
                  <w:szCs w:val="21"/>
                  <w:highlight w:val="none"/>
                  <w:lang w:val="en-US" w:eastAsia="zh-CN"/>
                </w:rPr>
                <w:t>一</w:t>
              </w:r>
            </w:ins>
            <w:ins w:id="8" w:author="JDZBzheng" w:date="2026-06-30T12:35:23Z">
              <w:r>
                <w:rPr>
                  <w:rFonts w:hint="eastAsia" w:ascii="宋体" w:hAnsi="宋体" w:cs="宋体"/>
                  <w:color w:val="auto"/>
                  <w:sz w:val="21"/>
                  <w:szCs w:val="21"/>
                  <w:highlight w:val="none"/>
                  <w:lang w:val="en-US" w:eastAsia="zh-CN"/>
                </w:rPr>
                <w:t>、</w:t>
              </w:r>
            </w:ins>
            <w:r>
              <w:rPr>
                <w:rFonts w:hint="eastAsia" w:ascii="宋体" w:hAnsi="宋体" w:eastAsia="宋体" w:cs="宋体"/>
                <w:color w:val="auto"/>
                <w:sz w:val="21"/>
                <w:szCs w:val="21"/>
                <w:highlight w:val="none"/>
              </w:rPr>
              <w:t>生化免疫流水线由线上和线下设备组成。线上设备需求包含智能标本分拣系统和贴标机、前处理模块、全自动生化分析模块、全自动化学发光免疫分析模块、后处理模块等功能模块，所有功能模块（除分拣系统和贴标机外）均由轨道连接实现全程自动化。线下设备由生化免疫组合一体机组成，包含1个全自动生化分析模块和1个全自动化学发光免疫分析模块。</w:t>
            </w:r>
          </w:p>
          <w:p w14:paraId="0CA84E4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（一）核心技术参数</w:t>
            </w:r>
          </w:p>
          <w:p w14:paraId="2A4B374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1.全自动双通道贴标仪</w:t>
            </w:r>
          </w:p>
          <w:p w14:paraId="6BA3D49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1.1贴标仪器为落地柜式设计，上方是一个平面（非曲面或者阶梯平面），可摆放使用物品。</w:t>
            </w:r>
          </w:p>
          <w:p w14:paraId="453AF6A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1.2可以同时装载≥10种不同种类的采血管，每单通道装载量≥150支，不能多种采血管装载同一通道，容量≥1500支。</w:t>
            </w:r>
          </w:p>
          <w:p w14:paraId="06245A8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1.3采血管装载方式：采用整版倾倒式，方便快捷，采血管处于无序状态。</w:t>
            </w:r>
          </w:p>
          <w:p w14:paraId="2F60700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1.4装管仓，采用上下两层，每层≥5个仓位，可同时打开，方便快捷。</w:t>
            </w:r>
          </w:p>
          <w:p w14:paraId="601D631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1.5打印方式：预准备一根采血管，提高效率。采用自由落体导管定点输出，避免机械故障。</w:t>
            </w:r>
          </w:p>
          <w:p w14:paraId="0F9F961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1.6一机双位工作模式，即单台仪器支持两个窗口，两个窗口可独立运行互不干扰。</w:t>
            </w:r>
          </w:p>
          <w:p w14:paraId="56A715E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2.智能采血管理叫号系统</w:t>
            </w:r>
          </w:p>
          <w:p w14:paraId="314471F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2.1软件支持与医院HIS、LIS信息系统免费无缝对接，如：接口数据互通、排队呼叫显示管理、设备管理等。</w:t>
            </w:r>
          </w:p>
          <w:p w14:paraId="751A68A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2.2支持集成智能排队叫号系统，实现自动获取排队叫号信息。</w:t>
            </w:r>
          </w:p>
          <w:p w14:paraId="4C85F30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2.3自助取号登记机：支持医院使用的登记介质(如条形码、就诊卡、医保卡、身份证、电子健康卡等)进行登记。</w:t>
            </w:r>
          </w:p>
          <w:p w14:paraId="2A1109A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2.4自助登记机功能：自动打印排队号单(可按医院要求设定采血提示、项目信息等内容)，自动打印非血标签功能，触屏控制功能。</w:t>
            </w:r>
          </w:p>
          <w:p w14:paraId="4B01FC2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2.5优先设置：可在系统界面设置急诊优先功能，老人优先功能，可根据需要设置优先级别以及优先规则。</w:t>
            </w:r>
          </w:p>
          <w:p w14:paraId="5360C2D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2.6取号设置：可在系统界面设置采血项目取号周期，如遇缺少试剂，或者检验仪器故障，可设置该项目取号周期取号。</w:t>
            </w:r>
          </w:p>
          <w:p w14:paraId="40CD26F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2.7窗口设置：根据现场实际情况，窗口操作界面可随时切换成儿童窗口，或者成年人窗口。</w:t>
            </w:r>
          </w:p>
          <w:p w14:paraId="2C13596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2.8叫号显示：可显示就诊叫号患者、预叫号患者、过号患者及其他提示信息。 </w:t>
            </w:r>
          </w:p>
          <w:p w14:paraId="525FFBC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3.分拣机</w:t>
            </w:r>
          </w:p>
          <w:p w14:paraId="2F0E3D1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3.1工作原理：依据预设的样本分拣规则，精准识别采血管的条形码，并同步复核管帽颜色，从而实现全自动分拣。</w:t>
            </w:r>
          </w:p>
          <w:p w14:paraId="49D0791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3.2分拣样本清单统计：系统具备自动生成分拣数据统计图表的功能；同时，能够提供详尽的</w:t>
            </w:r>
            <w:ins w:id="9" w:author="JDZBzheng" w:date="2026-06-30T11:07:19Z">
              <w:r>
                <w:rPr>
                  <w:rFonts w:hint="eastAsia" w:ascii="宋体" w:hAnsi="宋体" w:cs="宋体"/>
                  <w:color w:val="auto"/>
                  <w:sz w:val="21"/>
                  <w:szCs w:val="21"/>
                  <w:highlight w:val="none"/>
                  <w:lang w:eastAsia="zh-CN"/>
                </w:rPr>
                <w:t>分拣</w:t>
              </w:r>
            </w:ins>
            <w:r>
              <w:rPr>
                <w:rFonts w:hint="eastAsia" w:ascii="宋体" w:hAnsi="宋体" w:eastAsia="宋体" w:cs="宋体"/>
                <w:color w:val="auto"/>
                <w:sz w:val="21"/>
                <w:szCs w:val="21"/>
                <w:highlight w:val="none"/>
              </w:rPr>
              <w:t>样本清单，涵盖患者姓名、年龄、性别、条形码号、患者类别及检验项目等信息。</w:t>
            </w:r>
          </w:p>
          <w:p w14:paraId="126F2EF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3.3进样方式：集中倒入试管输入区；标本通过传输轨道直接进入分拣机。</w:t>
            </w:r>
          </w:p>
          <w:p w14:paraId="6F5E014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3.4分拣输出通道：≥8个常规仓；≥1个特殊仓。</w:t>
            </w:r>
          </w:p>
          <w:p w14:paraId="2B9A68B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3.5输出通道可装载量≥300支/仓。</w:t>
            </w:r>
          </w:p>
          <w:p w14:paraId="4746F86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3.6处理能力：采血管处理速度≥1500支/小时。</w:t>
            </w:r>
          </w:p>
          <w:p w14:paraId="7BC1865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3.7超时送检样本拒收功能：当样本采集时间与接收时间的差值超出指标允许范围时，系统将自动拒收该样本，并将其单独分拣，同时提示信息。</w:t>
            </w:r>
          </w:p>
          <w:p w14:paraId="3B2E8A1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3.8支持的条码类型包括：Code128、Code39、JAN、2of5、NW-7；支持的文字类型涵盖：中文、英文、数字、标点符号等。</w:t>
            </w:r>
          </w:p>
          <w:p w14:paraId="69DA70E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3.9支持满仓预警，可不停机取走标本分拣仓，分拣仓取走后，余量自动清零。</w:t>
            </w:r>
          </w:p>
          <w:p w14:paraId="714454E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3.10外挂式特殊标本仓：错误条码、超时标本、条码识别错误标本可自动导入到外挂式特殊标本仓。</w:t>
            </w:r>
          </w:p>
          <w:p w14:paraId="2AB2D50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3.11特殊管提示功能：特殊采血管，特殊病人，预先登记过信息，在分拣机分拣到该样本后，会自动提示，并记录信息。</w:t>
            </w:r>
          </w:p>
          <w:p w14:paraId="5909B19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4.前处理模块（线上）</w:t>
            </w:r>
          </w:p>
          <w:p w14:paraId="5BDD899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▲4.1具备架式进样或倾倒式进样功能，进出样模块的样本容量≥</w:t>
            </w:r>
            <w:r>
              <w:rPr>
                <w:rFonts w:hint="eastAsia" w:ascii="宋体" w:hAnsi="宋体" w:eastAsia="宋体" w:cs="宋体"/>
                <w:color w:val="auto"/>
                <w:sz w:val="21"/>
                <w:szCs w:val="21"/>
                <w:highlight w:val="none"/>
                <w:lang w:val="en-US" w:eastAsia="zh-CN"/>
              </w:rPr>
              <w:t>400</w:t>
            </w:r>
            <w:r>
              <w:rPr>
                <w:rFonts w:hint="eastAsia" w:ascii="宋体" w:hAnsi="宋体" w:eastAsia="宋体" w:cs="宋体"/>
                <w:color w:val="auto"/>
                <w:sz w:val="21"/>
                <w:szCs w:val="21"/>
                <w:highlight w:val="none"/>
              </w:rPr>
              <w:t>管。</w:t>
            </w:r>
          </w:p>
          <w:p w14:paraId="2D01217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4.2单个进出样模块处理速度≥900管/小时。</w:t>
            </w:r>
          </w:p>
          <w:p w14:paraId="39ECF2A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4.3单台离心模块速度≥450管/小时，可配置多台离心机。</w:t>
            </w:r>
          </w:p>
          <w:p w14:paraId="357929B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4.4离心模块具有低温温控功能，可调温度范围：5-25℃。</w:t>
            </w:r>
          </w:p>
          <w:p w14:paraId="1886F1E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4.5.单台离心模块单批次最大装载量≥80管。</w:t>
            </w:r>
          </w:p>
          <w:p w14:paraId="231155F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4.6具备单机上样模块，样本容量≥200个。</w:t>
            </w:r>
          </w:p>
          <w:p w14:paraId="2B1A80F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4.7单个去盖模块速度≥600管/小时。 </w:t>
            </w:r>
          </w:p>
          <w:p w14:paraId="6A91B2B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4.8具备气溶胶过滤和紫外线消毒功能以防止生物污染。</w:t>
            </w:r>
          </w:p>
          <w:p w14:paraId="3352D7F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4.9每条轨道处理速度≥3000管/小时。</w:t>
            </w:r>
          </w:p>
          <w:p w14:paraId="08393EC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5.全自动生化分析模块（线上）</w:t>
            </w:r>
          </w:p>
          <w:p w14:paraId="02A4992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▲5.1处理能力：生化整体模块生化+ISE综合测试≥4800测试/小时。</w:t>
            </w:r>
          </w:p>
          <w:p w14:paraId="525F289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5.2生化分析方法：终点法，速率法，固定时间法。</w:t>
            </w:r>
          </w:p>
          <w:p w14:paraId="60AA78D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5.3检测原理：包括比色法、比浊法、间接离子选择电极法。</w:t>
            </w:r>
          </w:p>
          <w:p w14:paraId="2BA08A5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▲5.4试剂系统：生化模块总试剂位≥230个试剂位。</w:t>
            </w:r>
          </w:p>
          <w:p w14:paraId="5721F76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5.5样本质量分析：可定量分析脂血、溶血、黄疸指数。</w:t>
            </w:r>
          </w:p>
          <w:p w14:paraId="587A834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5.6支持样本稀释重测，具有样本自动增量、减量及预稀释重测功能。</w:t>
            </w:r>
          </w:p>
          <w:p w14:paraId="46FB1E6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5.7支持稀释重测时预设多档稀释倍数，针对不同样本智能选择不同稀释倍数。</w:t>
            </w:r>
          </w:p>
          <w:p w14:paraId="2E5ECD3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5.8最小反应体积：≤80ul，有效节省试剂成本。</w:t>
            </w:r>
          </w:p>
          <w:p w14:paraId="2C12564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 xml:space="preserve"> 参加2025年国家及广西省级室间质评全自动生化模块肝功能类生化项目（如丙氨酸氨基转移酶），且成绩合格。</w:t>
            </w:r>
          </w:p>
          <w:p w14:paraId="4C801C2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6全自动化学发光免疫分析模块（线上）</w:t>
            </w:r>
          </w:p>
          <w:p w14:paraId="3B26A7E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▲6.1整体测试速度≥1000测试/小时。</w:t>
            </w:r>
          </w:p>
          <w:p w14:paraId="78C8467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6.2校准、质控：能提供本品牌包装的质控品、校准品。</w:t>
            </w:r>
          </w:p>
          <w:p w14:paraId="120CD10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6.3样本针携带污染率≤0.1PPM。</w:t>
            </w:r>
          </w:p>
          <w:p w14:paraId="16C8393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6.4试剂最长在机稳定时间≥28天。</w:t>
            </w:r>
          </w:p>
          <w:p w14:paraId="73C7A49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6.5检测项目包含：性腺、甲状腺、肝纤维化、肿瘤标志物、产前筛查、肾功能、代谢、心血管及心肌标志物类、炎症监测等。</w:t>
            </w:r>
          </w:p>
          <w:p w14:paraId="102DFDF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7.后处理模块（线上）</w:t>
            </w:r>
          </w:p>
          <w:p w14:paraId="6DD4B7E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7.1具备对样本进行自动加盖或封膜功能。</w:t>
            </w:r>
          </w:p>
          <w:p w14:paraId="5215635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7.2单个低温存储模块的样本容量≥10000 管/台。</w:t>
            </w:r>
          </w:p>
          <w:p w14:paraId="6171D7D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7.3低温存储模块支持全科室样本（包括线下样本）管理和存储，可自动定位并调取标本。</w:t>
            </w:r>
          </w:p>
          <w:p w14:paraId="5DD5086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8.生化免疫组合一体机（线下）</w:t>
            </w:r>
          </w:p>
          <w:p w14:paraId="17CE073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8.1全自动生化分析模块和1个全自动化学发光免疫分析模块。</w:t>
            </w:r>
          </w:p>
          <w:p w14:paraId="3C0E586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8.2生化整体模块生化+ISE综合测试≥2400测试/小时。</w:t>
            </w:r>
          </w:p>
          <w:p w14:paraId="336D20E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8.3全自动化学发光免疫分析模块，整体测试速度≥500测试/小时。</w:t>
            </w:r>
          </w:p>
          <w:p w14:paraId="3CB3B62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（二）适配要求</w:t>
            </w:r>
          </w:p>
          <w:p w14:paraId="02C52E3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1.线上设备至少配置1个进出样模块、1个离心模块、1个去盖模块、2个生化分析模块、2个化学发光免疫模块、1个低温存储模块，分拣机1台（选配），贴标机2台（选配）。</w:t>
            </w:r>
          </w:p>
          <w:p w14:paraId="5442D59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2.线下至少配置1个化学发光免疫模块和1个生化分析模块。</w:t>
            </w:r>
          </w:p>
          <w:p w14:paraId="57D60C4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3.超纯水系统2台。</w:t>
            </w:r>
          </w:p>
          <w:p w14:paraId="0BC56BB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4.提供医学检验科管理软件。</w:t>
            </w:r>
          </w:p>
          <w:p w14:paraId="6625967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5.药品冷藏箱2台（试剂存放使用）。</w:t>
            </w:r>
          </w:p>
          <w:p w14:paraId="6C73AC9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6.UPS电源1套。</w:t>
            </w:r>
          </w:p>
          <w:p w14:paraId="0E66C7D4">
            <w:pPr>
              <w:keepNext w:val="0"/>
              <w:keepLines w:val="0"/>
              <w:suppressLineNumbers w:val="0"/>
              <w:wordWrap w:val="0"/>
              <w:spacing w:before="0" w:beforeAutospacing="0" w:after="0" w:afterAutospacing="0" w:line="44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设备使用年限：≥7年。</w:t>
            </w:r>
          </w:p>
          <w:p w14:paraId="08A39D7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（三）扩展配置与配套设施</w:t>
            </w:r>
          </w:p>
          <w:p w14:paraId="4FFBD9E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电源要求：仪器供电为AC220-240V，所有仪器供电需要连接UPS电源，统一从配电箱输出，每路供电端口根据电流或功率大小选择合适的空气开关（不带漏电保护）和线材规格，UPS建议延迟时间大于1小时，必须有单独地线，接地电阻小于10欧姆，零地电压小于5V。</w:t>
            </w:r>
          </w:p>
          <w:p w14:paraId="5C595E8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2.供水：选择品牌或质量较好的PPR管路，外径20mm，供水口预留塑料或不锈钢材质的格林接头或宝塔头，带球阀或截止阀，水质要求电导率小于1μs/cm2。</w:t>
            </w:r>
          </w:p>
          <w:p w14:paraId="7D01DBB4">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3.排水：选择品牌或质量较好的UPVS管，管口直径≥50mm。</w:t>
            </w:r>
          </w:p>
          <w:p w14:paraId="085A2B7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4.承重：建议承重大于500Kg/m2，地面平整，倾斜度≤1/200。</w:t>
            </w:r>
          </w:p>
          <w:p w14:paraId="777A5CB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5.运输:仪器运输通道中电梯门≥1.2m。纵深大于等于1.6m。</w:t>
            </w:r>
          </w:p>
          <w:p w14:paraId="0DD7FBA1">
            <w:pPr>
              <w:keepNext w:val="0"/>
              <w:keepLines w:val="0"/>
              <w:suppressLineNumbers w:val="0"/>
              <w:wordWrap w:val="0"/>
              <w:spacing w:before="0" w:beforeAutospacing="0" w:after="0" w:afterAutospacing="0" w:line="440" w:lineRule="exact"/>
              <w:ind w:left="0" w:leftChars="0" w:right="0" w:rightChars="0"/>
              <w:rPr>
                <w:rFonts w:hint="eastAsia"/>
                <w:color w:val="auto"/>
                <w:highlight w:val="none"/>
                <w:lang w:val="en-US" w:eastAsia="zh-CN"/>
              </w:rPr>
            </w:pPr>
            <w:r>
              <w:rPr>
                <w:rFonts w:hint="eastAsia" w:ascii="宋体" w:hAnsi="宋体" w:eastAsia="宋体" w:cs="宋体"/>
                <w:color w:val="auto"/>
                <w:sz w:val="21"/>
                <w:szCs w:val="21"/>
                <w:highlight w:val="none"/>
              </w:rPr>
              <w:t>6.从配电箱到仪器周边的用电位均走暗管预埋，上水、排水口管路均走暗管预埋。</w:t>
            </w:r>
          </w:p>
        </w:tc>
      </w:tr>
      <w:tr w14:paraId="7DE40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48204D69">
            <w:pPr>
              <w:keepNext w:val="0"/>
              <w:keepLines w:val="0"/>
              <w:widowControl/>
              <w:suppressLineNumbers w:val="0"/>
              <w:spacing w:before="0" w:beforeAutospacing="0" w:after="0" w:afterAutospacing="0" w:line="360" w:lineRule="auto"/>
              <w:ind w:left="0" w:leftChars="0" w:right="0" w:rightChars="0"/>
              <w:jc w:val="center"/>
              <w:textAlignment w:val="center"/>
              <w:rPr>
                <w:rFonts w:hint="eastAsia" w:ascii="Arial" w:hAnsi="Arial" w:cs="Arial"/>
                <w:b/>
                <w:color w:val="auto"/>
                <w:szCs w:val="21"/>
                <w:highlight w:val="none"/>
              </w:rPr>
            </w:pPr>
            <w:r>
              <w:rPr>
                <w:rFonts w:hint="eastAsia" w:ascii="宋体" w:hAnsi="宋体" w:eastAsia="宋体" w:cs="宋体"/>
                <w:color w:val="auto"/>
                <w:sz w:val="21"/>
                <w:szCs w:val="21"/>
                <w:highlight w:val="none"/>
                <w:lang w:val="en-US" w:eastAsia="zh-CN"/>
              </w:rPr>
              <w:t>7</w:t>
            </w:r>
          </w:p>
        </w:tc>
        <w:tc>
          <w:tcPr>
            <w:tcW w:w="1190" w:type="dxa"/>
            <w:noWrap w:val="0"/>
            <w:vAlign w:val="center"/>
          </w:tcPr>
          <w:p w14:paraId="1E38E080">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color w:val="auto"/>
                <w:szCs w:val="21"/>
                <w:highlight w:val="none"/>
                <w:lang w:eastAsia="zh-CN"/>
              </w:rPr>
            </w:pPr>
            <w:r>
              <w:rPr>
                <w:rFonts w:hint="eastAsia" w:ascii="宋体" w:hAnsi="宋体" w:eastAsia="宋体" w:cs="宋体"/>
                <w:color w:val="auto"/>
                <w:sz w:val="21"/>
                <w:szCs w:val="21"/>
                <w:highlight w:val="none"/>
                <w:lang w:eastAsia="zh-CN"/>
              </w:rPr>
              <w:t>全自动微生物鉴定药敏分析仪</w:t>
            </w:r>
          </w:p>
        </w:tc>
        <w:tc>
          <w:tcPr>
            <w:tcW w:w="504" w:type="dxa"/>
            <w:tcBorders>
              <w:right w:val="single" w:color="auto" w:sz="4" w:space="0"/>
            </w:tcBorders>
            <w:noWrap w:val="0"/>
            <w:vAlign w:val="center"/>
          </w:tcPr>
          <w:p w14:paraId="6B313BD4">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sz w:val="21"/>
                <w:szCs w:val="21"/>
                <w:highlight w:val="none"/>
                <w:lang w:val="en-US" w:eastAsia="zh-CN"/>
              </w:rPr>
              <w:t>1</w:t>
            </w:r>
          </w:p>
        </w:tc>
        <w:tc>
          <w:tcPr>
            <w:tcW w:w="507" w:type="dxa"/>
            <w:noWrap w:val="0"/>
            <w:vAlign w:val="center"/>
          </w:tcPr>
          <w:p w14:paraId="73FB0B9B">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kern w:val="0"/>
                <w:sz w:val="21"/>
                <w:szCs w:val="21"/>
                <w:highlight w:val="none"/>
                <w:lang w:val="en-US" w:eastAsia="zh-CN" w:bidi="ar"/>
              </w:rPr>
              <w:t>台</w:t>
            </w:r>
          </w:p>
        </w:tc>
        <w:tc>
          <w:tcPr>
            <w:tcW w:w="1361" w:type="dxa"/>
            <w:shd w:val="clear" w:color="auto" w:fill="auto"/>
            <w:noWrap w:val="0"/>
            <w:vAlign w:val="center"/>
          </w:tcPr>
          <w:p w14:paraId="0A122B57">
            <w:pPr>
              <w:widowControl/>
              <w:jc w:val="center"/>
              <w:rPr>
                <w:rFonts w:hint="eastAsia"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650000.00</w:t>
            </w:r>
          </w:p>
        </w:tc>
        <w:tc>
          <w:tcPr>
            <w:tcW w:w="707" w:type="dxa"/>
            <w:shd w:val="clear" w:color="auto" w:fill="auto"/>
            <w:noWrap w:val="0"/>
            <w:vAlign w:val="center"/>
          </w:tcPr>
          <w:p w14:paraId="28EBA70D">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332" w:type="dxa"/>
            <w:noWrap w:val="0"/>
            <w:vAlign w:val="center"/>
          </w:tcPr>
          <w:p w14:paraId="3AE47D5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（一）核心技术参数</w:t>
            </w:r>
          </w:p>
          <w:p w14:paraId="67E6477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1.鉴定原理：采用生化反应法，对分离出的微生物进行鉴定。</w:t>
            </w:r>
          </w:p>
          <w:p w14:paraId="23D44EF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2.药敏检测方法：以微量肉汤稀释法为基础，采用氧化还原方法（比色）、比浊法测定抗生素最低抑菌浓度（MIC）。</w:t>
            </w:r>
          </w:p>
          <w:p w14:paraId="326DD05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▲3.具备加样模块、检测模块，动态法连续监测结果。</w:t>
            </w:r>
          </w:p>
          <w:p w14:paraId="153FE9BC">
            <w:pPr>
              <w:keepNext w:val="0"/>
              <w:keepLines w:val="0"/>
              <w:suppressLineNumbers w:val="0"/>
              <w:wordWrap w:val="0"/>
              <w:spacing w:before="0" w:beforeAutospacing="0" w:after="0" w:afterAutospacing="0" w:line="440" w:lineRule="exact"/>
              <w:ind w:left="0" w:right="0"/>
              <w:rPr>
                <w:ins w:id="10" w:author="JDZBzheng" w:date="2026-06-30T18:56:37Z"/>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▲4.孵育位≥60个。</w:t>
            </w:r>
            <w:ins w:id="11" w:author="JDZBzheng" w:date="2026-06-30T18:56:36Z">
              <w:r>
                <w:rPr>
                  <w:rFonts w:hint="eastAsia" w:ascii="宋体" w:hAnsi="宋体" w:eastAsia="宋体" w:cs="宋体"/>
                  <w:color w:val="auto"/>
                  <w:sz w:val="21"/>
                  <w:szCs w:val="21"/>
                  <w:highlight w:val="none"/>
                </w:rPr>
                <w:t>（投标人须在投标文件中提供满足本项要求的证明材料来佐证，相关证明材料可以是设备制造商官方技术手册</w:t>
              </w:r>
            </w:ins>
            <w:ins w:id="12" w:author="JDZBzheng" w:date="2026-06-30T18:56:36Z">
              <w:r>
                <w:rPr>
                  <w:rFonts w:hint="eastAsia" w:ascii="宋体" w:hAnsi="宋体" w:eastAsia="宋体" w:cs="宋体"/>
                  <w:color w:val="auto"/>
                  <w:sz w:val="21"/>
                  <w:szCs w:val="21"/>
                  <w:highlight w:val="none"/>
                  <w:lang w:val="en-US" w:eastAsia="zh-CN"/>
                </w:rPr>
                <w:t>或</w:t>
              </w:r>
            </w:ins>
            <w:ins w:id="13" w:author="JDZBzheng" w:date="2026-06-30T18:56:36Z">
              <w:r>
                <w:rPr>
                  <w:rFonts w:hint="eastAsia" w:ascii="宋体" w:hAnsi="宋体" w:eastAsia="宋体" w:cs="宋体"/>
                  <w:color w:val="auto"/>
                  <w:sz w:val="21"/>
                  <w:szCs w:val="21"/>
                  <w:highlight w:val="none"/>
                </w:rPr>
                <w:t>产品彩页</w:t>
              </w:r>
            </w:ins>
            <w:ins w:id="14" w:author="JDZBzheng" w:date="2026-06-30T18:56:36Z">
              <w:r>
                <w:rPr>
                  <w:rFonts w:hint="eastAsia" w:ascii="宋体" w:hAnsi="宋体" w:eastAsia="宋体" w:cs="宋体"/>
                  <w:color w:val="auto"/>
                  <w:sz w:val="21"/>
                  <w:szCs w:val="21"/>
                  <w:highlight w:val="none"/>
                  <w:lang w:val="en-US" w:eastAsia="zh-CN"/>
                </w:rPr>
                <w:t>或</w:t>
              </w:r>
            </w:ins>
            <w:ins w:id="15" w:author="JDZBzheng" w:date="2026-06-30T18:56:36Z">
              <w:r>
                <w:rPr>
                  <w:rFonts w:hint="eastAsia" w:ascii="宋体" w:hAnsi="宋体" w:eastAsia="宋体" w:cs="宋体"/>
                  <w:color w:val="auto"/>
                  <w:sz w:val="21"/>
                  <w:szCs w:val="21"/>
                  <w:highlight w:val="none"/>
                </w:rPr>
                <w:t>原厂规格说明书或第三方检测（检验）机构出具的检测（检验）报告，具备其中一个项即可。）</w:t>
              </w:r>
            </w:ins>
          </w:p>
          <w:p w14:paraId="2A35418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5.具备条码阅读器模块，可自动识别板卡信息。</w:t>
            </w:r>
          </w:p>
          <w:p w14:paraId="72C0126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6.检测系统</w:t>
            </w:r>
          </w:p>
          <w:p w14:paraId="5FCE7C6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 板卡≥100孔，多浓度包被，可检测真实MIC值。</w:t>
            </w:r>
          </w:p>
          <w:p w14:paraId="1E2BCA2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 CARSS网技术方案要求监测的药物和折点需全覆盖。</w:t>
            </w:r>
          </w:p>
          <w:p w14:paraId="44BD47E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 链球菌药敏板卡包括肺炎链球菌、无乳链球菌、草绿色链球菌及其它β-溶血链球菌；抗生素检测包括青霉素（覆盖CLSI第36版或CLSI-ED35判断折点）、替加环素、诱导克林霉素耐药实验等。</w:t>
            </w:r>
          </w:p>
          <w:p w14:paraId="5DB18E9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 包含配套真菌药敏卡包被抗生素药物≥8种。</w:t>
            </w:r>
          </w:p>
          <w:p w14:paraId="27366F4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 药敏卡包被具备符合专家共识治疗方案的一线抗菌药物，包括头孢哌酮/舒巴坦、多粘菌素B以及应用于阳性菌的替加环素、万古霉素、利奈唑胺、达托霉素等。</w:t>
            </w:r>
          </w:p>
          <w:p w14:paraId="3E4F33B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 既有单药敏板、鉴定药敏复合板，又具有单鉴定板。</w:t>
            </w:r>
          </w:p>
          <w:p w14:paraId="1050820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专家系统</w:t>
            </w:r>
          </w:p>
          <w:p w14:paraId="5EFD6AE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 专家系统可依据最新CLSI第36版或CLSI-ED35标准对药物的敏感性进行判断或修正，并显著提示不常见耐药表型，并支持专家规则自定义。</w:t>
            </w:r>
          </w:p>
          <w:p w14:paraId="2D03305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 能够检测≥20种临床常见耐药表型，至少包括MRSA、D试验、VISA、VRSA、VRE、PRSP、HLAR、ESBL、CRE、FOX、CRAB、CRPA、CRKP。</w:t>
            </w:r>
          </w:p>
          <w:p w14:paraId="4BCA003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8.软件功能</w:t>
            </w:r>
          </w:p>
          <w:p w14:paraId="4775567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 全中文操作界面，可自定义报告模板。</w:t>
            </w:r>
          </w:p>
          <w:p w14:paraId="1FA5B7D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 可实现与Lis 数据的交互、条码跟踪。</w:t>
            </w:r>
          </w:p>
          <w:p w14:paraId="40CC3FA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 支持对药物、菌株、样本类型、试验结果的高级</w:t>
            </w:r>
          </w:p>
          <w:p w14:paraId="46844C4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检索、模糊匹配。</w:t>
            </w:r>
          </w:p>
          <w:p w14:paraId="01DEAD1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（二）适配要求</w:t>
            </w:r>
          </w:p>
          <w:p w14:paraId="3E644B3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1.系统对接功能：可以与LIS/HIS系统实现无缝对接，能解决MALDI-TOF微生物质谱鉴定仪端口对接，可实现病人样品信息录入、实验数据存储及统计分析、报告审核、打印分发等功能，有效提高信息化程度。</w:t>
            </w:r>
          </w:p>
          <w:p w14:paraId="3D5EBE5B">
            <w:pPr>
              <w:keepNext w:val="0"/>
              <w:keepLines w:val="0"/>
              <w:suppressLineNumbers w:val="0"/>
              <w:wordWrap w:val="0"/>
              <w:spacing w:before="0" w:beforeAutospacing="0" w:after="0" w:afterAutospacing="0" w:line="44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设备使用年限：≥8年。</w:t>
            </w:r>
          </w:p>
          <w:p w14:paraId="18BC3F5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（三）扩展配置与配套设施</w:t>
            </w:r>
          </w:p>
          <w:p w14:paraId="01C56AC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1.提供红外接种环灭菌器3台。</w:t>
            </w:r>
          </w:p>
          <w:p w14:paraId="4D0B694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2.提供接种环20个。</w:t>
            </w:r>
          </w:p>
          <w:p w14:paraId="4F88DD2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3.配套离心机 1 台，移液枪1把，枪头1包，UPS电源1台；Windows10以上操作系统，3.0GHz CPU处理器，8GB内存，1TB硬盘，DVD刻录光驱，液晶显示屏，条码扫描器1套，激光打印机1台，立式压力蒸汽灭菌器（容积≥120L/0.12m3）1台。</w:t>
            </w:r>
          </w:p>
          <w:p w14:paraId="46DF573E">
            <w:pPr>
              <w:keepNext w:val="0"/>
              <w:keepLines w:val="0"/>
              <w:suppressLineNumbers w:val="0"/>
              <w:wordWrap w:val="0"/>
              <w:spacing w:before="0" w:beforeAutospacing="0" w:after="0" w:afterAutospacing="0" w:line="440" w:lineRule="exact"/>
              <w:ind w:left="0" w:leftChars="0" w:right="0" w:rightChars="0"/>
              <w:rPr>
                <w:rFonts w:hint="eastAsia"/>
                <w:color w:val="auto"/>
                <w:highlight w:val="none"/>
                <w:lang w:val="en-US" w:eastAsia="zh-CN"/>
              </w:rPr>
            </w:pPr>
            <w:r>
              <w:rPr>
                <w:rFonts w:hint="eastAsia" w:ascii="宋体" w:hAnsi="宋体" w:eastAsia="宋体" w:cs="宋体"/>
                <w:color w:val="auto"/>
                <w:sz w:val="21"/>
                <w:szCs w:val="21"/>
                <w:highlight w:val="none"/>
              </w:rPr>
              <w:t>4.配电设施：适用检验科大型设备，电压 220V，功率≥500VA。</w:t>
            </w:r>
          </w:p>
        </w:tc>
      </w:tr>
      <w:tr w14:paraId="1CD3E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0C1ED209">
            <w:pPr>
              <w:keepNext w:val="0"/>
              <w:keepLines w:val="0"/>
              <w:widowControl/>
              <w:suppressLineNumbers w:val="0"/>
              <w:spacing w:before="0" w:beforeAutospacing="0" w:after="0" w:afterAutospacing="0" w:line="360" w:lineRule="auto"/>
              <w:ind w:left="0" w:leftChars="0" w:right="0" w:rightChars="0"/>
              <w:jc w:val="center"/>
              <w:textAlignment w:val="center"/>
              <w:rPr>
                <w:rFonts w:hint="eastAsia" w:ascii="Arial" w:hAnsi="Arial" w:cs="Arial"/>
                <w:b/>
                <w:color w:val="auto"/>
                <w:szCs w:val="21"/>
                <w:highlight w:val="none"/>
              </w:rPr>
            </w:pPr>
            <w:r>
              <w:rPr>
                <w:rFonts w:hint="eastAsia" w:ascii="宋体" w:hAnsi="宋体" w:eastAsia="宋体" w:cs="宋体"/>
                <w:color w:val="auto"/>
                <w:sz w:val="21"/>
                <w:szCs w:val="21"/>
                <w:highlight w:val="none"/>
                <w:lang w:val="en-US" w:eastAsia="zh-CN"/>
              </w:rPr>
              <w:t>8</w:t>
            </w:r>
          </w:p>
        </w:tc>
        <w:tc>
          <w:tcPr>
            <w:tcW w:w="1190" w:type="dxa"/>
            <w:noWrap w:val="0"/>
            <w:vAlign w:val="center"/>
          </w:tcPr>
          <w:p w14:paraId="4544D704">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color w:val="auto"/>
                <w:szCs w:val="21"/>
                <w:highlight w:val="none"/>
                <w:lang w:eastAsia="zh-CN"/>
              </w:rPr>
            </w:pPr>
            <w:r>
              <w:rPr>
                <w:rFonts w:hint="eastAsia" w:ascii="宋体" w:hAnsi="宋体" w:eastAsia="宋体" w:cs="宋体"/>
                <w:color w:val="auto"/>
                <w:sz w:val="21"/>
                <w:szCs w:val="21"/>
                <w:highlight w:val="none"/>
                <w:lang w:eastAsia="zh-CN"/>
              </w:rPr>
              <w:t>全自动微生物质谱检测系统</w:t>
            </w:r>
          </w:p>
        </w:tc>
        <w:tc>
          <w:tcPr>
            <w:tcW w:w="504" w:type="dxa"/>
            <w:tcBorders>
              <w:right w:val="single" w:color="auto" w:sz="4" w:space="0"/>
            </w:tcBorders>
            <w:noWrap w:val="0"/>
            <w:vAlign w:val="center"/>
          </w:tcPr>
          <w:p w14:paraId="5CEB67F6">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sz w:val="21"/>
                <w:szCs w:val="21"/>
                <w:highlight w:val="none"/>
                <w:lang w:val="en-US" w:eastAsia="zh-CN"/>
              </w:rPr>
              <w:t>1</w:t>
            </w:r>
          </w:p>
        </w:tc>
        <w:tc>
          <w:tcPr>
            <w:tcW w:w="507" w:type="dxa"/>
            <w:noWrap w:val="0"/>
            <w:vAlign w:val="center"/>
          </w:tcPr>
          <w:p w14:paraId="619F4600">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kern w:val="0"/>
                <w:sz w:val="21"/>
                <w:szCs w:val="21"/>
                <w:highlight w:val="none"/>
                <w:lang w:val="en-US" w:eastAsia="zh-CN" w:bidi="ar"/>
              </w:rPr>
              <w:t>台</w:t>
            </w:r>
          </w:p>
        </w:tc>
        <w:tc>
          <w:tcPr>
            <w:tcW w:w="1361" w:type="dxa"/>
            <w:shd w:val="clear" w:color="auto" w:fill="auto"/>
            <w:noWrap w:val="0"/>
            <w:vAlign w:val="center"/>
          </w:tcPr>
          <w:p w14:paraId="535F59E4">
            <w:pPr>
              <w:widowControl/>
              <w:jc w:val="center"/>
              <w:rPr>
                <w:rFonts w:hint="eastAsia"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1800000.00</w:t>
            </w:r>
          </w:p>
        </w:tc>
        <w:tc>
          <w:tcPr>
            <w:tcW w:w="707" w:type="dxa"/>
            <w:shd w:val="clear" w:color="auto" w:fill="auto"/>
            <w:noWrap w:val="0"/>
            <w:vAlign w:val="center"/>
          </w:tcPr>
          <w:p w14:paraId="356662AA">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332" w:type="dxa"/>
            <w:noWrap w:val="0"/>
            <w:vAlign w:val="center"/>
          </w:tcPr>
          <w:p w14:paraId="51720B4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（一）设备核心技术参数</w:t>
            </w:r>
          </w:p>
          <w:p w14:paraId="74A8B12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▲1.配备固体激光器，频率在 1-60 Hz 范围内可调，激光频率≥60Hz，激光发射次数≥3亿次。</w:t>
            </w:r>
          </w:p>
          <w:p w14:paraId="1914ED5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2.采用独立电机顶靶装置，最大程度解决平台丝杆磨损。</w:t>
            </w:r>
          </w:p>
          <w:p w14:paraId="361B25A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3.离子源：离子源无需清洗，方便日常维护。</w:t>
            </w:r>
          </w:p>
          <w:p w14:paraId="313CFAD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4.检测器：电子倍增器，最大暗电流≤1pA,最大增益可达107 倍，无需额外加装前置放大器。</w:t>
            </w:r>
          </w:p>
          <w:p w14:paraId="31084A1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5.飞行管：飞行管材质为钛金属，无磁场、电场干扰，检测更准确。</w:t>
            </w:r>
          </w:p>
          <w:p w14:paraId="4CEA434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▲6.仪器必须配备涡轮分子泵高真空系统。</w:t>
            </w:r>
          </w:p>
          <w:p w14:paraId="561B5F8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7.真空系统：内置隔膜泵。</w:t>
            </w:r>
          </w:p>
          <w:p w14:paraId="43F4DF2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8.质谱仪的真空泄复压采用专用机电一体化系统。</w:t>
            </w:r>
          </w:p>
          <w:p w14:paraId="1CA25EA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▲9.数据库：包含可鉴定微生物的数量大于5000种，丝状真菌菌种≥360种。</w:t>
            </w:r>
          </w:p>
          <w:p w14:paraId="35832DD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10软件系统</w:t>
            </w:r>
          </w:p>
          <w:p w14:paraId="57D5DAA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▲10.1采谱和分析鉴定软件一体化，96个样本采集鉴定时间≤15min。</w:t>
            </w:r>
          </w:p>
          <w:p w14:paraId="7B73D38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10.2自动化数据采集，图谱实时刷新，可根据样品信号强度和分辨率自动调整激光能量、采集位置和采集次数来自动获得高质量蛋白质量指纹图谱。</w:t>
            </w:r>
          </w:p>
          <w:p w14:paraId="60773BC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10.3软件可选择中、英文界面，鉴定结果可选择中文。</w:t>
            </w:r>
          </w:p>
          <w:p w14:paraId="7315D2F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10.4软件具备仪器控制、数据采集、数据处理及微生物鉴定分析的</w:t>
            </w:r>
            <w:r>
              <w:rPr>
                <w:rFonts w:hint="eastAsia" w:ascii="宋体" w:hAnsi="宋体" w:eastAsia="宋体" w:cs="宋体"/>
                <w:color w:val="auto"/>
                <w:sz w:val="21"/>
                <w:szCs w:val="21"/>
                <w:highlight w:val="none"/>
                <w:lang w:val="en-US" w:eastAsia="zh-CN"/>
              </w:rPr>
              <w:t>全套功能</w:t>
            </w:r>
            <w:r>
              <w:rPr>
                <w:rFonts w:hint="eastAsia" w:ascii="宋体" w:hAnsi="宋体" w:eastAsia="宋体" w:cs="宋体"/>
                <w:color w:val="auto"/>
                <w:sz w:val="21"/>
                <w:szCs w:val="21"/>
                <w:highlight w:val="none"/>
              </w:rPr>
              <w:t>。</w:t>
            </w:r>
          </w:p>
          <w:p w14:paraId="6539FD4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●11.能提供质谱仪质控品和校准品，质控品和校准品取得注册证。</w:t>
            </w:r>
          </w:p>
          <w:p w14:paraId="0E1B598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12.具备药敏筛查辅助分析功能。</w:t>
            </w:r>
          </w:p>
          <w:p w14:paraId="1BC29B5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●13.管理软件具有质谱微生物实验室管理系统，质谱仪可以与药敏</w:t>
            </w:r>
            <w:r>
              <w:rPr>
                <w:rFonts w:hint="eastAsia" w:cs="Times New Roman"/>
                <w:szCs w:val="20"/>
                <w:highlight w:val="none"/>
                <w:lang w:val="en-US" w:eastAsia="zh-CN"/>
              </w:rPr>
              <w:t>鉴定仪</w:t>
            </w:r>
            <w:r>
              <w:rPr>
                <w:rFonts w:hint="eastAsia" w:ascii="宋体" w:hAnsi="宋体" w:eastAsia="宋体" w:cs="宋体"/>
                <w:color w:val="auto"/>
                <w:sz w:val="21"/>
                <w:szCs w:val="21"/>
                <w:highlight w:val="none"/>
              </w:rPr>
              <w:t>、质谱、血培养等仪器的连接、数据统计等。</w:t>
            </w:r>
          </w:p>
          <w:p w14:paraId="548D5E9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（二）适配要求</w:t>
            </w:r>
            <w:r>
              <w:rPr>
                <w:rFonts w:hint="eastAsia" w:ascii="宋体" w:hAnsi="宋体" w:eastAsia="宋体" w:cs="宋体"/>
                <w:color w:val="auto"/>
                <w:sz w:val="21"/>
                <w:szCs w:val="21"/>
                <w:highlight w:val="none"/>
              </w:rPr>
              <w:tab/>
            </w:r>
          </w:p>
          <w:p w14:paraId="4293896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1.MALDI-TOF微生物质谱鉴定仪1台，包含激光器、离子源、检测器、飞行管、真空系统和靶板。</w:t>
            </w:r>
          </w:p>
          <w:p w14:paraId="2841094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2.数据库及软件：包含微生物临床和科研数据库，微生物采集与分析软件，IVD版本软件等。</w:t>
            </w:r>
          </w:p>
          <w:p w14:paraId="55DC9F4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3.数据处理系统：Windows10以上操作系统，3.0GHz CPU处理器，8GB内存，1TB硬盘，DVD刻录光驱，液晶显示屏，条码扫描器1套，激光打印机。</w:t>
            </w:r>
          </w:p>
          <w:p w14:paraId="07F9174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4.配套设备：分体式标本板，96孔，2块可重复性使用标本板（靶托），5个一次性使用标本板（靶面），配套离心机 1 台，移液枪1把，枪头1包，超声清洗仪1台，点靶台1个，UPS电源1台，3KVA，延时时间2-3小时。立式压力蒸汽灭菌器（容积≥120L/0.12m3）1台。</w:t>
            </w:r>
          </w:p>
          <w:p w14:paraId="3F12533F">
            <w:pPr>
              <w:keepNext w:val="0"/>
              <w:keepLines w:val="0"/>
              <w:suppressLineNumbers w:val="0"/>
              <w:wordWrap w:val="0"/>
              <w:spacing w:before="0" w:beforeAutospacing="0" w:after="0" w:afterAutospacing="0" w:line="44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设备使用年限：≥8年。</w:t>
            </w:r>
          </w:p>
          <w:p w14:paraId="6DE1700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（三）扩展配置与配套设施</w:t>
            </w:r>
          </w:p>
          <w:p w14:paraId="1E675AD0">
            <w:pPr>
              <w:keepNext w:val="0"/>
              <w:keepLines w:val="0"/>
              <w:suppressLineNumbers w:val="0"/>
              <w:wordWrap w:val="0"/>
              <w:spacing w:before="0" w:beforeAutospacing="0" w:after="0" w:afterAutospacing="0" w:line="440" w:lineRule="exact"/>
              <w:ind w:left="0" w:leftChars="0" w:right="0" w:rightChars="0"/>
              <w:rPr>
                <w:rFonts w:hint="eastAsia"/>
                <w:color w:val="auto"/>
                <w:highlight w:val="none"/>
                <w:lang w:val="en-US" w:eastAsia="zh-CN"/>
              </w:rPr>
            </w:pPr>
            <w:r>
              <w:rPr>
                <w:rFonts w:hint="eastAsia" w:ascii="宋体" w:hAnsi="宋体" w:eastAsia="宋体" w:cs="宋体"/>
                <w:color w:val="auto"/>
                <w:sz w:val="21"/>
                <w:szCs w:val="21"/>
                <w:highlight w:val="none"/>
              </w:rPr>
              <w:t>电压 220V，功率≥500VA。</w:t>
            </w:r>
          </w:p>
        </w:tc>
      </w:tr>
      <w:tr w14:paraId="7D9ED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291F15E3">
            <w:pPr>
              <w:keepNext w:val="0"/>
              <w:keepLines w:val="0"/>
              <w:widowControl/>
              <w:suppressLineNumbers w:val="0"/>
              <w:spacing w:before="0" w:beforeAutospacing="0" w:after="0" w:afterAutospacing="0" w:line="360" w:lineRule="auto"/>
              <w:ind w:left="0" w:leftChars="0" w:right="0" w:rightChars="0"/>
              <w:jc w:val="center"/>
              <w:textAlignment w:val="center"/>
              <w:rPr>
                <w:rFonts w:hint="eastAsia" w:ascii="Arial" w:hAnsi="Arial" w:cs="Arial"/>
                <w:b/>
                <w:color w:val="auto"/>
                <w:szCs w:val="21"/>
                <w:highlight w:val="none"/>
              </w:rPr>
            </w:pPr>
            <w:r>
              <w:rPr>
                <w:rFonts w:hint="eastAsia" w:ascii="宋体" w:hAnsi="宋体" w:eastAsia="宋体" w:cs="宋体"/>
                <w:color w:val="auto"/>
                <w:sz w:val="21"/>
                <w:szCs w:val="21"/>
                <w:highlight w:val="none"/>
                <w:lang w:val="en-US" w:eastAsia="zh-CN"/>
              </w:rPr>
              <w:t>9</w:t>
            </w:r>
          </w:p>
        </w:tc>
        <w:tc>
          <w:tcPr>
            <w:tcW w:w="1190" w:type="dxa"/>
            <w:noWrap w:val="0"/>
            <w:vAlign w:val="center"/>
          </w:tcPr>
          <w:p w14:paraId="3EDD78E2">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color w:val="auto"/>
                <w:szCs w:val="21"/>
                <w:highlight w:val="none"/>
                <w:lang w:eastAsia="zh-CN"/>
              </w:rPr>
            </w:pPr>
            <w:r>
              <w:rPr>
                <w:rFonts w:hint="eastAsia" w:ascii="宋体" w:hAnsi="宋体" w:eastAsia="宋体" w:cs="宋体"/>
                <w:color w:val="auto"/>
                <w:sz w:val="21"/>
                <w:szCs w:val="21"/>
                <w:highlight w:val="none"/>
                <w:lang w:eastAsia="zh-CN"/>
              </w:rPr>
              <w:t>全自动血液分析流水线</w:t>
            </w:r>
          </w:p>
        </w:tc>
        <w:tc>
          <w:tcPr>
            <w:tcW w:w="504" w:type="dxa"/>
            <w:tcBorders>
              <w:right w:val="single" w:color="auto" w:sz="4" w:space="0"/>
            </w:tcBorders>
            <w:noWrap w:val="0"/>
            <w:vAlign w:val="center"/>
          </w:tcPr>
          <w:p w14:paraId="2D52F6DB">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sz w:val="21"/>
                <w:szCs w:val="21"/>
                <w:highlight w:val="none"/>
                <w:lang w:val="en-US" w:eastAsia="zh-CN"/>
              </w:rPr>
              <w:t>1</w:t>
            </w:r>
          </w:p>
        </w:tc>
        <w:tc>
          <w:tcPr>
            <w:tcW w:w="507" w:type="dxa"/>
            <w:noWrap w:val="0"/>
            <w:vAlign w:val="center"/>
          </w:tcPr>
          <w:p w14:paraId="3335BDFA">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kern w:val="0"/>
                <w:sz w:val="21"/>
                <w:szCs w:val="21"/>
                <w:highlight w:val="none"/>
                <w:lang w:val="en-US" w:eastAsia="zh-CN" w:bidi="ar"/>
              </w:rPr>
              <w:t>套</w:t>
            </w:r>
          </w:p>
        </w:tc>
        <w:tc>
          <w:tcPr>
            <w:tcW w:w="1361" w:type="dxa"/>
            <w:shd w:val="clear" w:color="auto" w:fill="auto"/>
            <w:noWrap w:val="0"/>
            <w:vAlign w:val="center"/>
          </w:tcPr>
          <w:p w14:paraId="7901390B">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1500000.00</w:t>
            </w:r>
          </w:p>
        </w:tc>
        <w:tc>
          <w:tcPr>
            <w:tcW w:w="707" w:type="dxa"/>
            <w:shd w:val="clear" w:color="auto" w:fill="auto"/>
            <w:noWrap w:val="0"/>
            <w:vAlign w:val="center"/>
          </w:tcPr>
          <w:p w14:paraId="1C0946E5">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332" w:type="dxa"/>
            <w:noWrap w:val="0"/>
            <w:vAlign w:val="center"/>
          </w:tcPr>
          <w:p w14:paraId="493FC81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ins w:id="16" w:author="JDZBzheng" w:date="2026-06-30T12:35:40Z">
              <w:r>
                <w:rPr>
                  <w:rFonts w:hint="eastAsia" w:ascii="宋体" w:hAnsi="宋体" w:cs="宋体"/>
                  <w:color w:val="auto"/>
                  <w:sz w:val="21"/>
                  <w:szCs w:val="21"/>
                  <w:highlight w:val="none"/>
                  <w:lang w:val="en-US" w:eastAsia="zh-CN"/>
                </w:rPr>
                <w:t>一、</w:t>
              </w:r>
            </w:ins>
            <w:r>
              <w:rPr>
                <w:rFonts w:hint="eastAsia" w:ascii="宋体" w:hAnsi="宋体" w:eastAsia="宋体" w:cs="宋体"/>
                <w:color w:val="auto"/>
                <w:sz w:val="21"/>
                <w:szCs w:val="21"/>
                <w:highlight w:val="none"/>
              </w:rPr>
              <w:t>全自动血液分析流水线设备至少包括：全自动五分类血液细胞分析仪2台、自动血涂片制备仪1台、全自动细胞形态学分析仪1台。根据实际需要，具备全自动特定蛋白分析仪、糖化血红蛋白分析仪等设备的模块轨道连接功能。</w:t>
            </w:r>
          </w:p>
          <w:p w14:paraId="4D03483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（一）核心技术参数</w:t>
            </w:r>
          </w:p>
          <w:p w14:paraId="632CC1C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1.全自动血液细胞分析仪（2台）</w:t>
            </w:r>
          </w:p>
          <w:p w14:paraId="22C847C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▲1.1单机检测速度BC＋DIFF＋NRBC≥</w:t>
            </w:r>
            <w:r>
              <w:rPr>
                <w:rFonts w:hint="eastAsia" w:ascii="宋体" w:hAnsi="宋体" w:eastAsia="宋体" w:cs="宋体"/>
                <w:color w:val="auto"/>
                <w:sz w:val="21"/>
                <w:szCs w:val="21"/>
                <w:highlight w:val="none"/>
                <w:lang w:val="en-US" w:eastAsia="zh-CN"/>
              </w:rPr>
              <w:t>90</w:t>
            </w:r>
            <w:r>
              <w:rPr>
                <w:rFonts w:hint="eastAsia" w:ascii="宋体" w:hAnsi="宋体" w:eastAsia="宋体" w:cs="宋体"/>
                <w:color w:val="auto"/>
                <w:sz w:val="21"/>
                <w:szCs w:val="21"/>
                <w:highlight w:val="none"/>
              </w:rPr>
              <w:t>样本/小时。</w:t>
            </w:r>
          </w:p>
          <w:p w14:paraId="56F214D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1.2血液检测及分类参数数目：≥30个参数。</w:t>
            </w:r>
          </w:p>
          <w:p w14:paraId="1329163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1.3检测方法及原理：半导体激光法、鞘流阻抗法、核酸荧光染色法、流式细胞技术。</w:t>
            </w:r>
          </w:p>
          <w:p w14:paraId="706C1D8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1.4体液检测：有体液检测模式，能全自动对脑脊液、胸腹水、关节腔液等体液细胞进行计数和白细胞分类功能，具备通过NMPA注册的原厂配套体液质控品以保证结果稳定性。</w:t>
            </w:r>
          </w:p>
          <w:p w14:paraId="0944755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▲1.5质控品要求：具备同品牌复合质控品，单支质控品可以涵盖红细胞计数，白细胞分类、网织红细胞等检测项目。能提供≥2个不同浓度水平的体液质控品，以注册证为准。</w:t>
            </w:r>
          </w:p>
          <w:p w14:paraId="2F95A8A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●1.6校准品要求：能提供原厂校准品及校准品溯源报告，具备RET校准品以注册证为准。</w:t>
            </w:r>
          </w:p>
          <w:p w14:paraId="04D1C13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●1.7 </w:t>
            </w:r>
            <w:r>
              <w:rPr>
                <w:rFonts w:hint="eastAsia" w:ascii="宋体" w:hAnsi="宋体" w:eastAsia="宋体" w:cs="宋体"/>
                <w:color w:val="auto"/>
                <w:sz w:val="21"/>
                <w:szCs w:val="21"/>
                <w:highlight w:val="none"/>
                <w:lang w:val="en-US" w:eastAsia="zh-CN"/>
              </w:rPr>
              <w:t>质量</w:t>
            </w:r>
            <w:r>
              <w:rPr>
                <w:rFonts w:hint="eastAsia" w:ascii="宋体" w:hAnsi="宋体" w:eastAsia="宋体" w:cs="宋体"/>
                <w:color w:val="auto"/>
                <w:sz w:val="21"/>
                <w:szCs w:val="21"/>
                <w:highlight w:val="none"/>
              </w:rPr>
              <w:t>要求：2025年</w:t>
            </w:r>
            <w:ins w:id="17" w:author="JDZBzheng" w:date="2026-06-30T11:07:49Z">
              <w:r>
                <w:rPr>
                  <w:rFonts w:hint="eastAsia" w:ascii="宋体" w:hAnsi="宋体" w:cs="宋体"/>
                  <w:color w:val="auto"/>
                  <w:sz w:val="21"/>
                  <w:szCs w:val="21"/>
                  <w:highlight w:val="none"/>
                  <w:lang w:eastAsia="zh-CN"/>
                </w:rPr>
                <w:t>国家卫生健康委</w:t>
              </w:r>
            </w:ins>
            <w:r>
              <w:rPr>
                <w:rFonts w:hint="eastAsia" w:ascii="宋体" w:hAnsi="宋体" w:eastAsia="宋体" w:cs="宋体"/>
                <w:color w:val="auto"/>
                <w:sz w:val="21"/>
                <w:szCs w:val="21"/>
                <w:highlight w:val="none"/>
              </w:rPr>
              <w:t>临检中心和广西省级临床检验中心在全血细胞计数能力室间质评中具备单独分组，且成绩合格。</w:t>
            </w:r>
          </w:p>
          <w:p w14:paraId="1224352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2.全自动血涂片制备仪（1台）。</w:t>
            </w:r>
          </w:p>
          <w:p w14:paraId="5AA25F2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2.1推片/染片速度：≥100样本/小时。</w:t>
            </w:r>
          </w:p>
          <w:p w14:paraId="76FE0C0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2.2用血量：全自动进样≤200μl，闭盖进样≤200μl，微量血进样≤25μl。</w:t>
            </w:r>
          </w:p>
          <w:p w14:paraId="547DCF2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2.3染色玻片储存：专用玻片篮，放置10张玻片/蓝。</w:t>
            </w:r>
          </w:p>
          <w:p w14:paraId="372F41A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2.4具备全自动染色盒清洗维护功能。</w:t>
            </w:r>
          </w:p>
          <w:p w14:paraId="00804F8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玻片的标识：可在玻片上直接打印数字和条码。</w:t>
            </w:r>
          </w:p>
          <w:p w14:paraId="5A9D418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3.全自动细胞形态分析仪（1台）。</w:t>
            </w:r>
          </w:p>
          <w:p w14:paraId="13D7233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3.1外周血图片处理速度：完全分类100个WBC+RBC+PLT≥25张/小时，支撑单片进样模式，以支持插队分析样本。</w:t>
            </w:r>
          </w:p>
          <w:p w14:paraId="4951243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3.2白细胞识别符合率大于85%。</w:t>
            </w:r>
          </w:p>
          <w:p w14:paraId="7379121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3.3具备血小板聚集判断功能：可扫描血涂片体部、边缘两侧、尾部以判断是否有血小板聚集。</w:t>
            </w:r>
          </w:p>
          <w:p w14:paraId="23B213A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（二）适配要求</w:t>
            </w:r>
          </w:p>
          <w:p w14:paraId="15FC880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1.全自动五分类血液细胞分析仪2台、自动血涂片制备仪1台、全自动细胞形态学分析仪1台，可选择增配全自动特定蛋白分析仪、糖化血红蛋白分析仪等设备。</w:t>
            </w:r>
          </w:p>
          <w:p w14:paraId="0B54B06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2.系统对接功能：可以与LIS/HIS系统实现无缝对接，可实现病人样品信息录入、实验数据存储及统计分析、报告审核、打印分发等功能，有效提高信息化程度。</w:t>
            </w:r>
          </w:p>
          <w:p w14:paraId="11A648C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设备使用年限：≥8年。</w:t>
            </w:r>
          </w:p>
          <w:p w14:paraId="3DBB8BBD">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4.配备UPS一套。  </w:t>
            </w:r>
          </w:p>
          <w:p w14:paraId="46479279">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（三）扩展配置与配套设施</w:t>
            </w:r>
          </w:p>
          <w:p w14:paraId="0028684B">
            <w:pPr>
              <w:keepNext w:val="0"/>
              <w:keepLines w:val="0"/>
              <w:suppressLineNumbers w:val="0"/>
              <w:wordWrap w:val="0"/>
              <w:spacing w:before="0" w:beforeAutospacing="0" w:after="0" w:afterAutospacing="0" w:line="440" w:lineRule="exact"/>
              <w:ind w:left="0" w:leftChars="0" w:right="0" w:rightChars="0"/>
              <w:rPr>
                <w:rFonts w:hint="eastAsia"/>
                <w:color w:val="auto"/>
                <w:highlight w:val="none"/>
                <w:lang w:val="en-US" w:eastAsia="zh-CN"/>
              </w:rPr>
            </w:pPr>
            <w:r>
              <w:rPr>
                <w:rFonts w:hint="eastAsia" w:ascii="宋体" w:hAnsi="宋体" w:eastAsia="宋体" w:cs="宋体"/>
                <w:color w:val="auto"/>
                <w:sz w:val="21"/>
                <w:szCs w:val="21"/>
                <w:highlight w:val="none"/>
              </w:rPr>
              <w:t>电压 220V，功率≥500VA。</w:t>
            </w:r>
          </w:p>
        </w:tc>
      </w:tr>
      <w:tr w14:paraId="04FC1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5171418A">
            <w:pPr>
              <w:keepNext w:val="0"/>
              <w:keepLines w:val="0"/>
              <w:widowControl/>
              <w:suppressLineNumbers w:val="0"/>
              <w:spacing w:before="0" w:beforeAutospacing="0" w:after="0" w:afterAutospacing="0" w:line="360" w:lineRule="auto"/>
              <w:ind w:left="0" w:leftChars="0" w:right="0" w:rightChars="0"/>
              <w:jc w:val="center"/>
              <w:textAlignment w:val="center"/>
              <w:rPr>
                <w:rFonts w:hint="eastAsia" w:ascii="Arial" w:hAnsi="Arial" w:cs="Arial"/>
                <w:b/>
                <w:color w:val="auto"/>
                <w:szCs w:val="21"/>
                <w:highlight w:val="none"/>
              </w:rPr>
            </w:pPr>
            <w:r>
              <w:rPr>
                <w:rFonts w:hint="eastAsia" w:ascii="宋体" w:hAnsi="宋体" w:eastAsia="宋体" w:cs="宋体"/>
                <w:color w:val="auto"/>
                <w:sz w:val="21"/>
                <w:szCs w:val="21"/>
                <w:highlight w:val="none"/>
                <w:lang w:val="en-US" w:eastAsia="zh-CN"/>
              </w:rPr>
              <w:t>10</w:t>
            </w:r>
          </w:p>
        </w:tc>
        <w:tc>
          <w:tcPr>
            <w:tcW w:w="1190" w:type="dxa"/>
            <w:noWrap w:val="0"/>
            <w:vAlign w:val="center"/>
          </w:tcPr>
          <w:p w14:paraId="6CFC22C8">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eastAsia="宋体" w:cs="Arial"/>
                <w:color w:val="auto"/>
                <w:szCs w:val="21"/>
                <w:highlight w:val="none"/>
                <w:lang w:eastAsia="zh-CN"/>
              </w:rPr>
            </w:pPr>
            <w:r>
              <w:rPr>
                <w:rFonts w:hint="eastAsia" w:ascii="宋体" w:hAnsi="宋体" w:eastAsia="宋体" w:cs="宋体"/>
                <w:color w:val="auto"/>
                <w:sz w:val="21"/>
                <w:szCs w:val="21"/>
                <w:highlight w:val="none"/>
                <w:lang w:eastAsia="zh-CN"/>
              </w:rPr>
              <w:t>全自动血液细菌培养系统</w:t>
            </w:r>
          </w:p>
        </w:tc>
        <w:tc>
          <w:tcPr>
            <w:tcW w:w="504" w:type="dxa"/>
            <w:tcBorders>
              <w:right w:val="single" w:color="auto" w:sz="4" w:space="0"/>
            </w:tcBorders>
            <w:noWrap w:val="0"/>
            <w:vAlign w:val="center"/>
          </w:tcPr>
          <w:p w14:paraId="71812BF6">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sz w:val="21"/>
                <w:szCs w:val="21"/>
                <w:highlight w:val="none"/>
                <w:lang w:val="en-US" w:eastAsia="zh-CN"/>
              </w:rPr>
              <w:t>1</w:t>
            </w:r>
          </w:p>
        </w:tc>
        <w:tc>
          <w:tcPr>
            <w:tcW w:w="507" w:type="dxa"/>
            <w:noWrap w:val="0"/>
            <w:vAlign w:val="center"/>
          </w:tcPr>
          <w:p w14:paraId="095B0AAB">
            <w:pPr>
              <w:keepNext w:val="0"/>
              <w:keepLines w:val="0"/>
              <w:widowControl/>
              <w:suppressLineNumbers w:val="0"/>
              <w:spacing w:before="0" w:beforeAutospacing="0" w:after="0" w:afterAutospacing="0"/>
              <w:ind w:left="0" w:leftChars="0" w:right="0" w:rightChars="0"/>
              <w:jc w:val="center"/>
              <w:textAlignment w:val="center"/>
              <w:rPr>
                <w:rFonts w:hint="eastAsia" w:ascii="Arial" w:hAnsi="Arial" w:cs="Arial"/>
                <w:bCs/>
                <w:color w:val="auto"/>
                <w:szCs w:val="21"/>
                <w:highlight w:val="none"/>
              </w:rPr>
            </w:pPr>
            <w:r>
              <w:rPr>
                <w:rFonts w:hint="eastAsia" w:ascii="宋体" w:hAnsi="宋体" w:eastAsia="宋体" w:cs="宋体"/>
                <w:color w:val="auto"/>
                <w:kern w:val="0"/>
                <w:sz w:val="21"/>
                <w:szCs w:val="21"/>
                <w:highlight w:val="none"/>
                <w:lang w:val="en-US" w:eastAsia="zh-CN" w:bidi="ar"/>
              </w:rPr>
              <w:t>套</w:t>
            </w:r>
          </w:p>
        </w:tc>
        <w:tc>
          <w:tcPr>
            <w:tcW w:w="1361" w:type="dxa"/>
            <w:shd w:val="clear" w:color="auto" w:fill="auto"/>
            <w:noWrap w:val="0"/>
            <w:vAlign w:val="center"/>
          </w:tcPr>
          <w:p w14:paraId="49C34742">
            <w:pPr>
              <w:widowControl/>
              <w:jc w:val="center"/>
              <w:rPr>
                <w:rFonts w:hint="eastAsia"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200000.00</w:t>
            </w:r>
          </w:p>
        </w:tc>
        <w:tc>
          <w:tcPr>
            <w:tcW w:w="707" w:type="dxa"/>
            <w:shd w:val="clear" w:color="auto" w:fill="auto"/>
            <w:noWrap w:val="0"/>
            <w:vAlign w:val="center"/>
          </w:tcPr>
          <w:p w14:paraId="4393966F">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332" w:type="dxa"/>
            <w:noWrap w:val="0"/>
            <w:vAlign w:val="center"/>
          </w:tcPr>
          <w:p w14:paraId="1A2D5FE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（一）核心技术参数</w:t>
            </w:r>
          </w:p>
          <w:p w14:paraId="59D4C53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1.检测原理：比色法。</w:t>
            </w:r>
          </w:p>
          <w:p w14:paraId="7BF2C92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2.培养方式：固体加热，摇摆震动恒温培养。</w:t>
            </w:r>
          </w:p>
          <w:p w14:paraId="7227620B">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3.标本位：单机检测瓶位≥60个，后期可拓展至≥240个。</w:t>
            </w:r>
          </w:p>
          <w:p w14:paraId="6D737E6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4.样本类型：可检测临床血液、体液标本、痰液标本等。</w:t>
            </w:r>
          </w:p>
          <w:p w14:paraId="4FC9A5A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5.标本采集：培养瓶内为负压，同时在瓶体有定量刻度，可实现真空定量采血。</w:t>
            </w:r>
          </w:p>
          <w:p w14:paraId="685B31C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●6.检测菌株：检测菌种种类包括：需氧菌、厌氧菌、真菌和分枝杆菌。</w:t>
            </w:r>
          </w:p>
          <w:p w14:paraId="046F966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7.检测时间：每隔十分钟仪器自动对每份标本检测一次并记录，同时形成曲线，对阴阳性结果自动检测，并能给出声音、图形等相关报警信号提示。</w:t>
            </w:r>
          </w:p>
          <w:p w14:paraId="416B7F6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8.阳性报警时间：90%以上的阳性标本可在24小时内报警，最短报阳时间3小时。</w:t>
            </w:r>
          </w:p>
          <w:p w14:paraId="4A05837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9.培养瓶种类：包括标准需氧瓶、标准厌氧瓶、树脂需氧瓶、树脂厌氧瓶、标准儿童瓶、树脂儿童瓶、分枝杆菌培养瓶。</w:t>
            </w:r>
          </w:p>
          <w:p w14:paraId="16B258B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10.培养瓶材质：碳纤维塑胶材料，真空定量采血，防摔破，防污染。</w:t>
            </w:r>
          </w:p>
          <w:p w14:paraId="7A2378E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11.厌氧瓶：树脂厌氧瓶厌氧性能优异，树脂厌氧瓶肉汤含量≥40ml。</w:t>
            </w:r>
          </w:p>
          <w:p w14:paraId="6F8A085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12.具备培养条件设置功能：预设的培养时间与温度可随时修改设置。</w:t>
            </w:r>
          </w:p>
          <w:p w14:paraId="5246CE5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13.具备仪器自动校正功能：仪器培养检测位有自我检测和校正功能，自我完成质量控制。</w:t>
            </w:r>
          </w:p>
          <w:p w14:paraId="1E402FF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14.中和抗生素原理：采用多种规格树脂吸附残留抗生素。</w:t>
            </w:r>
          </w:p>
          <w:p w14:paraId="6C5D60A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15.营养成份：具有多种营养成分，其中包含V因子和X因子等生长因子，营养更加丰富，利于苛养菌检出。</w:t>
            </w:r>
          </w:p>
          <w:p w14:paraId="2CC3534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16.使用条形码：可撕贴的双条形码置瓶、取瓶、数据查询，条形码信息区分不同类型培养瓶。</w:t>
            </w:r>
          </w:p>
          <w:p w14:paraId="494486E3">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ins w:id="18" w:author="JDZBzheng" w:date="2026-06-30T11:08:09Z">
              <w:r>
                <w:rPr>
                  <w:rFonts w:hint="eastAsia" w:ascii="宋体" w:hAnsi="宋体" w:cs="宋体"/>
                  <w:color w:val="auto"/>
                  <w:sz w:val="21"/>
                  <w:szCs w:val="21"/>
                  <w:highlight w:val="none"/>
                  <w:lang w:eastAsia="zh-CN"/>
                </w:rPr>
                <w:t>17.</w:t>
              </w:r>
            </w:ins>
            <w:r>
              <w:rPr>
                <w:rFonts w:hint="eastAsia" w:ascii="宋体" w:hAnsi="宋体" w:eastAsia="宋体" w:cs="宋体"/>
                <w:color w:val="auto"/>
                <w:sz w:val="21"/>
                <w:szCs w:val="21"/>
                <w:highlight w:val="none"/>
              </w:rPr>
              <w:t>操作界面：仪器控制电脑为触摸屏一体机，操作系统为中文windws系统，可存储超过10万条血瓶生长信息。</w:t>
            </w:r>
          </w:p>
          <w:p w14:paraId="6BF3671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18.具备数据安全性：在通讯短暂失联情况，可以自动进行数据找回，保证数据安全完整。</w:t>
            </w:r>
          </w:p>
          <w:p w14:paraId="31CECEC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19.具备操作便捷性：可直接进行血培养瓶随机条码扫描上机，无需多余操作；通过颜色标注不同的孵育孔位。</w:t>
            </w:r>
          </w:p>
          <w:p w14:paraId="34D3489C">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20.温控性能：温度准确度偏差应不超过±1.0℃，温度波动应不超过2.0℃。</w:t>
            </w:r>
          </w:p>
          <w:p w14:paraId="43EC6B6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21.具备自动统计功能：能统计整体阳性率、科室阳性率、阳性培养时间等。</w:t>
            </w:r>
          </w:p>
          <w:p w14:paraId="38C23287">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具备信息系统连接功能：可与微生物实验室管理系统连接，可实现院内远程访问从采样、接种到培养、鉴定，药敏等环节，对微生物血培养、质谱、药敏等数据信息进行统一管理，实现了微生物各流程检测数据的无缝连接。</w:t>
            </w:r>
          </w:p>
          <w:p w14:paraId="1CB129B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●23.支持多台血培养设备间的数据集中管理。</w:t>
            </w:r>
          </w:p>
          <w:p w14:paraId="5FEC992E">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24.信息安全：电脑自动屏保，保护信息安全。</w:t>
            </w:r>
          </w:p>
          <w:p w14:paraId="454781EF">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25.具备培养提示功能：培养过程中特定时长后提醒功能，具体时长可根据需要自行设置。</w:t>
            </w:r>
          </w:p>
          <w:p w14:paraId="29C42AAA">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26.售后服务：接到需求后4小时响应，可实现24小时内免费上门服务；操作软件终身免费升级。</w:t>
            </w:r>
          </w:p>
          <w:p w14:paraId="54A6B016">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（二）适配要求</w:t>
            </w:r>
          </w:p>
          <w:p w14:paraId="717BC448">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1.系统对接功能：可以与LIS/HIS系统实现无缝对接，可实现病人样品信息录入、实验数据存储及统计分析、报告审核、打印分发等功能，有效提高信息化程度。</w:t>
            </w:r>
          </w:p>
          <w:p w14:paraId="608ED425">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2.设备使用年限：≥8年。</w:t>
            </w:r>
          </w:p>
          <w:p w14:paraId="3284B871">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（三）扩展配置与配套设施</w:t>
            </w:r>
          </w:p>
          <w:p w14:paraId="53C0ED92">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1.同时扩展拓展至≥240瓶位。</w:t>
            </w:r>
          </w:p>
          <w:p w14:paraId="65710B30">
            <w:pPr>
              <w:keepNext w:val="0"/>
              <w:keepLines w:val="0"/>
              <w:suppressLineNumbers w:val="0"/>
              <w:wordWrap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2.配套离心机 1 台，UPS电源1台；Windows10以上操作系统，3.0GHz CPU处理器，8GB内存，1TB硬盘，DVD刻录光驱，液晶显示屏，条码扫描器1套，激光打印机1台。</w:t>
            </w:r>
          </w:p>
          <w:p w14:paraId="461BB132">
            <w:pPr>
              <w:keepNext w:val="0"/>
              <w:keepLines w:val="0"/>
              <w:suppressLineNumbers w:val="0"/>
              <w:wordWrap w:val="0"/>
              <w:spacing w:before="0" w:beforeAutospacing="0" w:after="0" w:afterAutospacing="0" w:line="440" w:lineRule="exact"/>
              <w:ind w:left="0" w:leftChars="0" w:right="0" w:rightChars="0"/>
              <w:rPr>
                <w:rFonts w:hint="eastAsia"/>
                <w:color w:val="auto"/>
                <w:highlight w:val="none"/>
                <w:lang w:val="en-US" w:eastAsia="zh-CN"/>
              </w:rPr>
            </w:pPr>
            <w:r>
              <w:rPr>
                <w:rFonts w:hint="eastAsia" w:ascii="宋体" w:hAnsi="宋体" w:eastAsia="宋体" w:cs="宋体"/>
                <w:color w:val="auto"/>
                <w:sz w:val="21"/>
                <w:szCs w:val="21"/>
                <w:highlight w:val="none"/>
              </w:rPr>
              <w:t>3.配电设施：220V±22V  50Hz±1Hz。</w:t>
            </w:r>
          </w:p>
        </w:tc>
      </w:tr>
      <w:tr w14:paraId="3C415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087" w:type="dxa"/>
            <w:gridSpan w:val="7"/>
            <w:noWrap w:val="0"/>
            <w:vAlign w:val="center"/>
          </w:tcPr>
          <w:p w14:paraId="687C6401">
            <w:pPr>
              <w:pStyle w:val="54"/>
              <w:spacing w:after="0" w:line="360" w:lineRule="auto"/>
              <w:ind w:firstLine="0"/>
              <w:rPr>
                <w:rFonts w:hint="eastAsia"/>
                <w:color w:val="auto"/>
                <w:szCs w:val="21"/>
                <w:highlight w:val="none"/>
              </w:rPr>
            </w:pPr>
            <w:r>
              <w:rPr>
                <w:rFonts w:hint="eastAsia"/>
                <w:color w:val="auto"/>
                <w:szCs w:val="21"/>
                <w:highlight w:val="none"/>
              </w:rPr>
              <w:t>注：</w:t>
            </w:r>
          </w:p>
          <w:p w14:paraId="0843CBC1">
            <w:pPr>
              <w:pStyle w:val="54"/>
              <w:spacing w:after="0" w:line="360" w:lineRule="auto"/>
              <w:ind w:firstLine="210"/>
              <w:rPr>
                <w:rFonts w:hint="eastAsia"/>
                <w:b/>
                <w:bCs/>
                <w:color w:val="auto"/>
                <w:szCs w:val="21"/>
                <w:highlight w:val="none"/>
              </w:rPr>
            </w:pPr>
            <w:r>
              <w:rPr>
                <w:rFonts w:hint="eastAsia"/>
                <w:color w:val="auto"/>
                <w:szCs w:val="21"/>
                <w:highlight w:val="none"/>
              </w:rPr>
              <w:t>1、所属行业标明“/”的采购标的，无需在中小企业声明函中填写。</w:t>
            </w:r>
          </w:p>
        </w:tc>
      </w:tr>
    </w:tbl>
    <w:p w14:paraId="6D4E6F46">
      <w:pPr>
        <w:spacing w:line="360" w:lineRule="auto"/>
        <w:rPr>
          <w:rFonts w:hint="eastAsia" w:ascii="黑体" w:hAnsi="黑体" w:eastAsia="黑体" w:cs="Arial"/>
          <w:b/>
          <w:color w:val="auto"/>
          <w:sz w:val="28"/>
          <w:szCs w:val="28"/>
          <w:highlight w:val="none"/>
        </w:rPr>
      </w:pPr>
    </w:p>
    <w:p w14:paraId="21E4EDE3">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三、商务要求</w:t>
      </w:r>
    </w:p>
    <w:tbl>
      <w:tblPr>
        <w:tblStyle w:val="57"/>
        <w:tblW w:w="10294" w:type="dxa"/>
        <w:tblInd w:w="-3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4"/>
        <w:gridCol w:w="7480"/>
      </w:tblGrid>
      <w:tr w14:paraId="24FD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14" w:type="dxa"/>
            <w:noWrap w:val="0"/>
            <w:vAlign w:val="center"/>
          </w:tcPr>
          <w:p w14:paraId="4B34C5A1">
            <w:pPr>
              <w:keepNext w:val="0"/>
              <w:keepLines w:val="0"/>
              <w:numPr>
                <w:ilvl w:val="0"/>
                <w:numId w:val="0"/>
              </w:numPr>
              <w:suppressLineNumbers w:val="0"/>
              <w:spacing w:before="0" w:beforeAutospacing="0" w:after="0" w:afterAutospacing="0"/>
              <w:ind w:left="0" w:leftChars="0" w:right="0" w:rightChars="0" w:firstLine="0" w:firstLineChars="0"/>
              <w:jc w:val="center"/>
              <w:rPr>
                <w:rFonts w:hint="default" w:ascii="黑体" w:hAnsi="黑体" w:eastAsia="黑体" w:cs="Arial"/>
                <w:b/>
                <w:color w:val="auto"/>
                <w:sz w:val="28"/>
                <w:szCs w:val="28"/>
                <w:highlight w:val="none"/>
                <w:vertAlign w:val="baseline"/>
                <w:lang w:val="en-US"/>
              </w:rPr>
            </w:pPr>
            <w:r>
              <w:rPr>
                <w:rFonts w:hint="eastAsia" w:ascii="宋体" w:hAnsi="宋体" w:eastAsia="宋体" w:cs="宋体"/>
                <w:sz w:val="21"/>
                <w:szCs w:val="21"/>
                <w:highlight w:val="none"/>
                <w:vertAlign w:val="baseline"/>
                <w:lang w:val="en-US" w:eastAsia="zh-CN"/>
              </w:rPr>
              <w:t>▲</w:t>
            </w: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val="en-US" w:eastAsia="zh-CN"/>
              </w:rPr>
              <w:t>报价要求</w:t>
            </w:r>
          </w:p>
        </w:tc>
        <w:tc>
          <w:tcPr>
            <w:tcW w:w="7480" w:type="dxa"/>
            <w:noWrap w:val="0"/>
            <w:vAlign w:val="top"/>
          </w:tcPr>
          <w:p w14:paraId="50F282B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right="0"/>
              <w:textAlignment w:val="auto"/>
              <w:rPr>
                <w:rFonts w:ascii="黑体" w:hAnsi="黑体" w:eastAsia="黑体" w:cs="Arial"/>
                <w:b/>
                <w:color w:val="auto"/>
                <w:sz w:val="28"/>
                <w:szCs w:val="28"/>
                <w:highlight w:val="none"/>
                <w:vertAlign w:val="baseline"/>
              </w:rPr>
            </w:pPr>
            <w:r>
              <w:rPr>
                <w:rFonts w:hint="eastAsia" w:ascii="宋体" w:hAnsi="宋体" w:eastAsia="宋体" w:cs="宋体"/>
                <w:sz w:val="21"/>
                <w:szCs w:val="21"/>
                <w:highlight w:val="none"/>
              </w:rPr>
              <w:t>本次报价须为人民币报价，包括：（1）货物的价格；（2）货物的标准附件、备品备件、专用工具的价格；（3）运输、调试、培训、技术支持、售后服务等费用；（4）安装费用；（5）系统对接费；（6）必要的保险费用和各项税费。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tc>
      </w:tr>
      <w:tr w14:paraId="7B82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2814" w:type="dxa"/>
            <w:noWrap w:val="0"/>
            <w:vAlign w:val="center"/>
          </w:tcPr>
          <w:p w14:paraId="65B5941D">
            <w:pPr>
              <w:keepNext w:val="0"/>
              <w:keepLines w:val="0"/>
              <w:suppressLineNumbers w:val="0"/>
              <w:spacing w:before="0" w:beforeAutospacing="0" w:after="0" w:afterAutospacing="0" w:line="360" w:lineRule="auto"/>
              <w:ind w:left="0" w:leftChars="0" w:right="0" w:rightChars="0"/>
              <w:jc w:val="center"/>
              <w:rPr>
                <w:rFonts w:ascii="黑体" w:hAnsi="黑体" w:eastAsia="黑体" w:cs="Arial"/>
                <w:b/>
                <w:color w:val="auto"/>
                <w:sz w:val="28"/>
                <w:szCs w:val="28"/>
                <w:highlight w:val="none"/>
                <w:vertAlign w:val="baseline"/>
              </w:rPr>
            </w:pPr>
            <w:r>
              <w:rPr>
                <w:rFonts w:hint="eastAsia" w:ascii="宋体" w:hAnsi="宋体" w:cs="宋体"/>
                <w:b w:val="0"/>
                <w:bCs/>
                <w:sz w:val="21"/>
                <w:szCs w:val="21"/>
                <w:highlight w:val="none"/>
                <w:lang w:val="en-US" w:eastAsia="zh-CN"/>
              </w:rPr>
              <w:t>2.</w:t>
            </w:r>
            <w:r>
              <w:rPr>
                <w:rFonts w:hint="eastAsia" w:ascii="宋体" w:hAnsi="宋体" w:eastAsia="宋体" w:cs="宋体"/>
                <w:b w:val="0"/>
                <w:bCs/>
                <w:sz w:val="21"/>
                <w:szCs w:val="21"/>
                <w:highlight w:val="none"/>
              </w:rPr>
              <w:t>合同履行期限及地点</w:t>
            </w:r>
          </w:p>
        </w:tc>
        <w:tc>
          <w:tcPr>
            <w:tcW w:w="7480" w:type="dxa"/>
            <w:noWrap w:val="0"/>
            <w:vAlign w:val="center"/>
          </w:tcPr>
          <w:p w14:paraId="605E8873">
            <w:pPr>
              <w:keepNext w:val="0"/>
              <w:keepLines w:val="0"/>
              <w:suppressLineNumbers w:val="0"/>
              <w:tabs>
                <w:tab w:val="left" w:pos="840"/>
                <w:tab w:val="right" w:leader="dot" w:pos="8296"/>
              </w:tabs>
              <w:spacing w:before="0" w:beforeAutospacing="0" w:after="0" w:afterAutospacing="0" w:line="360" w:lineRule="auto"/>
              <w:ind w:left="0" w:right="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1、合同履行期限：</w:t>
            </w:r>
            <w:r>
              <w:rPr>
                <w:rFonts w:hint="eastAsia" w:ascii="宋体" w:hAnsi="宋体" w:cs="宋体"/>
                <w:sz w:val="21"/>
                <w:szCs w:val="21"/>
                <w:highlight w:val="none"/>
                <w:lang w:val="en-US" w:eastAsia="zh-CN"/>
              </w:rPr>
              <w:t xml:space="preserve">自签订合同之日起30日内全部安装调试合格并交付使用。 </w:t>
            </w:r>
          </w:p>
          <w:p w14:paraId="798456B3">
            <w:pPr>
              <w:keepNext w:val="0"/>
              <w:keepLines w:val="0"/>
              <w:suppressLineNumbers w:val="0"/>
              <w:tabs>
                <w:tab w:val="left" w:pos="840"/>
                <w:tab w:val="right" w:leader="dot" w:pos="8296"/>
              </w:tabs>
              <w:spacing w:before="0" w:beforeAutospacing="0" w:after="0" w:afterAutospacing="0" w:line="360" w:lineRule="auto"/>
              <w:ind w:left="0" w:leftChars="0" w:right="0" w:rightChars="0"/>
              <w:jc w:val="left"/>
              <w:rPr>
                <w:rFonts w:ascii="黑体" w:hAnsi="黑体" w:eastAsia="黑体" w:cs="Arial"/>
                <w:b/>
                <w:color w:val="auto"/>
                <w:sz w:val="28"/>
                <w:szCs w:val="28"/>
                <w:highlight w:val="none"/>
                <w:vertAlign w:val="baseline"/>
              </w:rPr>
            </w:pPr>
            <w:r>
              <w:rPr>
                <w:rFonts w:hint="eastAsia" w:ascii="宋体" w:hAnsi="宋体" w:eastAsia="宋体" w:cs="宋体"/>
                <w:sz w:val="21"/>
                <w:szCs w:val="21"/>
                <w:highlight w:val="none"/>
              </w:rPr>
              <w:t>2、合同履行地点：北海市采购人指定地点。</w:t>
            </w:r>
          </w:p>
        </w:tc>
      </w:tr>
      <w:tr w14:paraId="0FFC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69C7473E">
            <w:pPr>
              <w:keepNext w:val="0"/>
              <w:keepLines w:val="0"/>
              <w:suppressLineNumbers w:val="0"/>
              <w:spacing w:before="0" w:beforeAutospacing="0" w:after="0" w:afterAutospacing="0" w:line="360" w:lineRule="auto"/>
              <w:ind w:left="0" w:leftChars="0" w:right="0" w:rightChars="0"/>
              <w:jc w:val="center"/>
              <w:rPr>
                <w:rFonts w:ascii="黑体" w:hAnsi="黑体" w:eastAsia="黑体" w:cs="Arial"/>
                <w:b/>
                <w:color w:val="auto"/>
                <w:sz w:val="28"/>
                <w:szCs w:val="28"/>
                <w:highlight w:val="none"/>
                <w:vertAlign w:val="baseline"/>
              </w:rPr>
            </w:pPr>
            <w:r>
              <w:rPr>
                <w:rFonts w:hint="eastAsia" w:ascii="宋体" w:hAnsi="宋体" w:cs="宋体"/>
                <w:b w:val="0"/>
                <w:bCs/>
                <w:sz w:val="21"/>
                <w:szCs w:val="21"/>
                <w:highlight w:val="none"/>
                <w:lang w:val="en-US" w:eastAsia="zh-CN"/>
              </w:rPr>
              <w:t>3.</w:t>
            </w:r>
            <w:r>
              <w:rPr>
                <w:rFonts w:hint="eastAsia" w:ascii="宋体" w:hAnsi="宋体" w:eastAsia="宋体" w:cs="宋体"/>
                <w:b w:val="0"/>
                <w:bCs/>
                <w:sz w:val="21"/>
                <w:szCs w:val="21"/>
                <w:highlight w:val="none"/>
              </w:rPr>
              <w:t>合同签订期</w:t>
            </w:r>
          </w:p>
        </w:tc>
        <w:tc>
          <w:tcPr>
            <w:tcW w:w="7480" w:type="dxa"/>
            <w:noWrap w:val="0"/>
            <w:vAlign w:val="center"/>
          </w:tcPr>
          <w:p w14:paraId="529EB6A8">
            <w:pPr>
              <w:keepNext w:val="0"/>
              <w:keepLines w:val="0"/>
              <w:suppressLineNumbers w:val="0"/>
              <w:spacing w:before="0" w:beforeAutospacing="0" w:after="0" w:afterAutospacing="0" w:line="360" w:lineRule="auto"/>
              <w:ind w:left="0" w:leftChars="0" w:right="0" w:rightChars="0"/>
              <w:rPr>
                <w:rFonts w:ascii="黑体" w:hAnsi="黑体" w:eastAsia="黑体" w:cs="Arial"/>
                <w:b/>
                <w:color w:val="auto"/>
                <w:sz w:val="28"/>
                <w:szCs w:val="28"/>
                <w:highlight w:val="none"/>
                <w:vertAlign w:val="baseline"/>
              </w:rPr>
            </w:pPr>
            <w:r>
              <w:rPr>
                <w:rFonts w:hint="eastAsia" w:ascii="宋体" w:hAnsi="宋体" w:eastAsia="宋体" w:cs="宋体"/>
                <w:sz w:val="21"/>
                <w:szCs w:val="21"/>
                <w:highlight w:val="none"/>
                <w:lang w:val="en-US" w:eastAsia="zh-CN"/>
              </w:rPr>
              <w:t>自中标通知书发出之日起25日内。</w:t>
            </w:r>
          </w:p>
        </w:tc>
      </w:tr>
      <w:tr w14:paraId="3295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4C98688D">
            <w:pPr>
              <w:keepNext w:val="0"/>
              <w:keepLines w:val="0"/>
              <w:suppressLineNumbers w:val="0"/>
              <w:spacing w:before="0" w:beforeAutospacing="0" w:after="0" w:afterAutospacing="0" w:line="360" w:lineRule="auto"/>
              <w:ind w:left="0" w:leftChars="0" w:right="0" w:rightChars="0"/>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4.</w:t>
            </w:r>
            <w:r>
              <w:rPr>
                <w:rFonts w:hint="eastAsia" w:ascii="宋体" w:hAnsi="宋体" w:eastAsia="宋体" w:cs="宋体"/>
                <w:b w:val="0"/>
                <w:bCs/>
                <w:sz w:val="21"/>
                <w:szCs w:val="21"/>
                <w:highlight w:val="none"/>
              </w:rPr>
              <w:t>付款</w:t>
            </w:r>
            <w:r>
              <w:rPr>
                <w:rFonts w:hint="eastAsia" w:ascii="宋体" w:hAnsi="宋体" w:eastAsia="宋体" w:cs="宋体"/>
                <w:b w:val="0"/>
                <w:bCs/>
                <w:sz w:val="21"/>
                <w:szCs w:val="21"/>
                <w:highlight w:val="none"/>
                <w:lang w:val="en-US" w:eastAsia="zh-CN"/>
              </w:rPr>
              <w:t>条件</w:t>
            </w:r>
          </w:p>
        </w:tc>
        <w:tc>
          <w:tcPr>
            <w:tcW w:w="7480" w:type="dxa"/>
            <w:noWrap w:val="0"/>
            <w:vAlign w:val="center"/>
          </w:tcPr>
          <w:p w14:paraId="4A4610A4">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1.付款方式:</w:t>
            </w:r>
          </w:p>
          <w:p w14:paraId="27A2D180">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(1)第一期:合同生效以及具备实施条件后10个工作日内采购人向中标人支付合同款30%作为预付款:</w:t>
            </w:r>
          </w:p>
          <w:p w14:paraId="5D32EC41">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(2)第二期:全部货物到达指定地点、安装调试并验收合格后，凭双方签署验收合格报告，采购人支付至合同总金额的80%（如中标人为中小企业的则为100%)。</w:t>
            </w:r>
          </w:p>
          <w:p w14:paraId="40A654FC">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（3）第三期：3年内支付合同总金额10%。</w:t>
            </w:r>
          </w:p>
          <w:p w14:paraId="31A3EDFE">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（4）第四期：第4年支付合同总金额5%。</w:t>
            </w:r>
          </w:p>
          <w:p w14:paraId="6823D2A3">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（5）第五期：第5年支付剩余5%尾款。</w:t>
            </w:r>
          </w:p>
          <w:p w14:paraId="530E0259">
            <w:pPr>
              <w:keepNext w:val="0"/>
              <w:keepLines w:val="0"/>
              <w:suppressLineNumbers w:val="0"/>
              <w:spacing w:before="0" w:beforeAutospacing="0" w:after="0" w:afterAutospacing="0" w:line="360" w:lineRule="auto"/>
              <w:ind w:left="0" w:leftChars="0" w:right="0" w:righ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2.转账前中标人需向采购人提供合法的等额发票。</w:t>
            </w:r>
          </w:p>
        </w:tc>
      </w:tr>
      <w:tr w14:paraId="5D4B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319222B7">
            <w:pPr>
              <w:keepNext w:val="0"/>
              <w:keepLines w:val="0"/>
              <w:suppressLineNumbers w:val="0"/>
              <w:spacing w:before="0" w:beforeAutospacing="0" w:after="0" w:afterAutospacing="0" w:line="360" w:lineRule="auto"/>
              <w:ind w:left="0" w:leftChars="0" w:right="0" w:rightChars="0"/>
              <w:jc w:val="center"/>
              <w:rPr>
                <w:rFonts w:ascii="黑体" w:hAnsi="黑体" w:eastAsia="黑体" w:cs="Arial"/>
                <w:b/>
                <w:color w:val="auto"/>
                <w:sz w:val="28"/>
                <w:szCs w:val="28"/>
                <w:highlight w:val="none"/>
                <w:vertAlign w:val="baseline"/>
              </w:rPr>
            </w:pPr>
            <w:r>
              <w:rPr>
                <w:rFonts w:hint="eastAsia" w:ascii="宋体" w:hAnsi="宋体" w:cs="宋体"/>
                <w:b w:val="0"/>
                <w:bCs/>
                <w:sz w:val="21"/>
                <w:szCs w:val="21"/>
                <w:highlight w:val="none"/>
                <w:lang w:val="en-US" w:eastAsia="zh-CN"/>
              </w:rPr>
              <w:t>5.</w:t>
            </w:r>
            <w:r>
              <w:rPr>
                <w:rFonts w:hint="eastAsia" w:ascii="宋体" w:hAnsi="宋体" w:eastAsia="宋体" w:cs="宋体"/>
                <w:b w:val="0"/>
                <w:bCs/>
                <w:sz w:val="21"/>
                <w:szCs w:val="21"/>
                <w:highlight w:val="none"/>
                <w:lang w:val="en-US" w:eastAsia="zh-CN"/>
              </w:rPr>
              <w:t>验收标准</w:t>
            </w:r>
          </w:p>
        </w:tc>
        <w:tc>
          <w:tcPr>
            <w:tcW w:w="7480" w:type="dxa"/>
            <w:noWrap w:val="0"/>
            <w:vAlign w:val="center"/>
          </w:tcPr>
          <w:p w14:paraId="3B09E075">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验收工作由采购人和中标人负责安装的技术人员严格按照国家质量验收规范合格标准及招标文件要求、合同及中标人承诺的技术要求和质量标准逐条进行验收，验收过程中所产生的一切费用均由中标人承担，报价时应考虑相关费用。</w:t>
            </w:r>
          </w:p>
          <w:p w14:paraId="6FF01682">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2.中标人向采购人提供的货物必须是全新的原装产品；中标人所提供的所有设备必须是签订合同之日前1年内生产的机型。</w:t>
            </w:r>
          </w:p>
          <w:p w14:paraId="341627B2">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货物验收由采购单位对照招标文件功能、全部技术指标逐项核验，验收标准须同时满足国家相关法规、合同约定、原厂技术资料及招标文件全部参数要求。若货物技术参数不满足招标文件需求，或中标人存在虚假承诺，采购单位有权作退货处理，并追究中标人违约责任，全部相关费用、损失由中标人承担；参数不符致使无法完成验收的，采购人可单方面解除合同，同时保留向中标人进一步追责的权利。</w:t>
            </w:r>
          </w:p>
          <w:p w14:paraId="019DFDD5">
            <w:pPr>
              <w:keepNext w:val="0"/>
              <w:keepLines w:val="0"/>
              <w:suppressLineNumbers w:val="0"/>
              <w:spacing w:before="0" w:beforeAutospacing="0" w:after="0" w:afterAutospacing="0" w:line="360" w:lineRule="auto"/>
              <w:ind w:left="0" w:leftChars="0" w:right="0" w:rightChars="0"/>
              <w:rPr>
                <w:rFonts w:ascii="黑体" w:hAnsi="黑体" w:eastAsia="黑体" w:cs="Arial"/>
                <w:b/>
                <w:color w:val="auto"/>
                <w:sz w:val="28"/>
                <w:szCs w:val="28"/>
                <w:highlight w:val="none"/>
                <w:vertAlign w:val="baseline"/>
              </w:rPr>
            </w:pPr>
            <w:r>
              <w:rPr>
                <w:rFonts w:hint="eastAsia" w:ascii="宋体" w:hAnsi="宋体" w:eastAsia="宋体" w:cs="宋体"/>
                <w:sz w:val="21"/>
                <w:szCs w:val="21"/>
                <w:highlight w:val="none"/>
                <w:lang w:val="en-US" w:eastAsia="zh-CN"/>
              </w:rPr>
              <w:t>4.国家相关法律、法规、标准和规范等。</w:t>
            </w:r>
          </w:p>
        </w:tc>
      </w:tr>
      <w:tr w14:paraId="0C48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814" w:type="dxa"/>
            <w:noWrap w:val="0"/>
            <w:vAlign w:val="center"/>
          </w:tcPr>
          <w:p w14:paraId="7437B56D">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sz w:val="21"/>
                <w:szCs w:val="21"/>
                <w:highlight w:val="none"/>
              </w:rPr>
            </w:pPr>
            <w:r>
              <w:rPr>
                <w:rFonts w:hint="eastAsia" w:ascii="宋体" w:hAnsi="宋体" w:cs="宋体"/>
                <w:b w:val="0"/>
                <w:bCs/>
                <w:sz w:val="21"/>
                <w:szCs w:val="21"/>
                <w:highlight w:val="none"/>
                <w:lang w:val="en-US" w:eastAsia="zh-CN"/>
              </w:rPr>
              <w:t>6.</w:t>
            </w:r>
            <w:r>
              <w:rPr>
                <w:rFonts w:hint="eastAsia" w:ascii="宋体" w:hAnsi="宋体" w:eastAsia="宋体" w:cs="宋体"/>
                <w:b w:val="0"/>
                <w:bCs/>
                <w:sz w:val="21"/>
                <w:szCs w:val="21"/>
                <w:highlight w:val="none"/>
              </w:rPr>
              <w:t>设备售后要求</w:t>
            </w:r>
          </w:p>
          <w:p w14:paraId="7E0EB4B5">
            <w:pPr>
              <w:keepNext w:val="0"/>
              <w:keepLines w:val="0"/>
              <w:suppressLineNumbers w:val="0"/>
              <w:spacing w:before="0" w:beforeAutospacing="0" w:after="0" w:afterAutospacing="0" w:line="360" w:lineRule="auto"/>
              <w:ind w:left="0" w:leftChars="0" w:right="0" w:rightChars="0"/>
              <w:jc w:val="center"/>
              <w:rPr>
                <w:rFonts w:ascii="黑体" w:hAnsi="黑体" w:eastAsia="黑体" w:cs="Arial"/>
                <w:b/>
                <w:color w:val="auto"/>
                <w:sz w:val="28"/>
                <w:szCs w:val="28"/>
                <w:highlight w:val="none"/>
                <w:vertAlign w:val="baseline"/>
              </w:rPr>
            </w:pPr>
          </w:p>
        </w:tc>
        <w:tc>
          <w:tcPr>
            <w:tcW w:w="7480" w:type="dxa"/>
            <w:noWrap w:val="0"/>
            <w:vAlign w:val="center"/>
          </w:tcPr>
          <w:p w14:paraId="4059C43C">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1、免费质保期：按国家有关产品三包”规定执行“三包”，所有产品整机原厂不少于5年上门免费保修；保修期内因故障原因，保修期时间顺延。免费保修期自验收合格之日起计算。</w:t>
            </w:r>
          </w:p>
          <w:p w14:paraId="6E162EEE">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服务响应时间：7×24小时提供服务。电话报修要求2小时内响应，如果合同设备停机且需要现场服务，工程师应在24小时内到达维修现场。若停机超过48小时则提供临时替代方案或同档次产品给采购人备用，后者需征得采购人同意。</w:t>
            </w:r>
          </w:p>
          <w:p w14:paraId="1E658CC6">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3.定期免费上门维护检查设备运行情况，每年至少2次。</w:t>
            </w:r>
          </w:p>
          <w:p w14:paraId="454F7C16">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4、备品备件要求：维修设备时更换问题部件，并负责备件的运输，具体包括：</w:t>
            </w:r>
          </w:p>
          <w:p w14:paraId="21866E61">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（1）提供保修所需的备件供应要及时、充足。</w:t>
            </w:r>
          </w:p>
          <w:p w14:paraId="0E71A69A">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（2）备件必须是原厂提供的未拆封原装备件。</w:t>
            </w:r>
          </w:p>
          <w:p w14:paraId="374F87FD">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5.免费送货上门、免费安装调试合格。</w:t>
            </w:r>
          </w:p>
          <w:p w14:paraId="0E58A4EE">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6、培训条款：</w:t>
            </w:r>
          </w:p>
          <w:p w14:paraId="43BD9BB3">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（1）由生产厂家为用户提供使用技术培训，使用培训为验收要件之一，没有经过培训，视为没能完成验收。</w:t>
            </w:r>
          </w:p>
          <w:p w14:paraId="56EEAB6D">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（2）提供不少于2次现场集中培训，每次不少于4小时，培训人数≥10人，培训内容包括设备操作、日常保养、简易故障判断，并提供书面教材及操作视频。</w:t>
            </w:r>
          </w:p>
          <w:p w14:paraId="4F6E285D">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leftChars="0" w:right="0" w:rightChars="0"/>
              <w:jc w:val="left"/>
              <w:textAlignment w:val="auto"/>
              <w:rPr>
                <w:rFonts w:ascii="黑体" w:hAnsi="黑体" w:eastAsia="黑体" w:cs="Arial"/>
                <w:b/>
                <w:color w:val="auto"/>
                <w:sz w:val="28"/>
                <w:szCs w:val="28"/>
                <w:highlight w:val="none"/>
                <w:vertAlign w:val="baseline"/>
              </w:rPr>
            </w:pPr>
            <w:r>
              <w:rPr>
                <w:rFonts w:hint="eastAsia" w:ascii="宋体" w:hAnsi="宋体" w:eastAsia="宋体" w:cs="宋体"/>
                <w:sz w:val="21"/>
                <w:szCs w:val="21"/>
                <w:highlight w:val="none"/>
              </w:rPr>
              <w:t>7.要求在售后服务承诺书中提供售后服务联系人及电话。</w:t>
            </w:r>
          </w:p>
        </w:tc>
      </w:tr>
      <w:tr w14:paraId="6590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4DC60150">
            <w:pPr>
              <w:keepNext w:val="0"/>
              <w:keepLines w:val="0"/>
              <w:suppressLineNumbers w:val="0"/>
              <w:spacing w:before="0" w:beforeAutospacing="0" w:after="0" w:afterAutospacing="0" w:line="360" w:lineRule="auto"/>
              <w:ind w:left="0" w:leftChars="0" w:right="0" w:rightChars="0"/>
              <w:jc w:val="center"/>
              <w:rPr>
                <w:rFonts w:ascii="黑体" w:hAnsi="黑体" w:eastAsia="黑体" w:cs="Arial"/>
                <w:b/>
                <w:color w:val="auto"/>
                <w:sz w:val="28"/>
                <w:szCs w:val="28"/>
                <w:highlight w:val="none"/>
                <w:vertAlign w:val="baseline"/>
              </w:rPr>
            </w:pPr>
            <w:r>
              <w:rPr>
                <w:rFonts w:hint="eastAsia" w:ascii="宋体" w:hAnsi="宋体" w:cs="宋体"/>
                <w:b w:val="0"/>
                <w:bCs/>
                <w:sz w:val="21"/>
                <w:szCs w:val="21"/>
                <w:highlight w:val="none"/>
                <w:lang w:val="en-US" w:eastAsia="zh-CN"/>
              </w:rPr>
              <w:t>7.</w:t>
            </w:r>
            <w:r>
              <w:rPr>
                <w:rFonts w:hint="eastAsia" w:ascii="宋体" w:hAnsi="宋体" w:eastAsia="宋体" w:cs="宋体"/>
                <w:b w:val="0"/>
                <w:bCs/>
                <w:sz w:val="21"/>
                <w:szCs w:val="21"/>
                <w:highlight w:val="none"/>
                <w:lang w:eastAsia="zh-CN"/>
              </w:rPr>
              <w:t>包装和运输要求</w:t>
            </w:r>
          </w:p>
        </w:tc>
        <w:tc>
          <w:tcPr>
            <w:tcW w:w="7480" w:type="dxa"/>
            <w:noWrap w:val="0"/>
            <w:vAlign w:val="center"/>
          </w:tcPr>
          <w:p w14:paraId="02BE1790">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1.原厂原包装，包装完好、完整无破损、未开封。</w:t>
            </w:r>
          </w:p>
          <w:p w14:paraId="7935F6B0">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2.包装及运输方式应综合考虑运输距离、防潮、防震、防锈和防破损装卸等要求。</w:t>
            </w:r>
          </w:p>
          <w:p w14:paraId="0F2E02EC">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3.国家对包装及运输有相关强制性标准或要求的，中标人应当执行。</w:t>
            </w:r>
          </w:p>
          <w:p w14:paraId="743F0847">
            <w:pPr>
              <w:keepNext w:val="0"/>
              <w:keepLines w:val="0"/>
              <w:pageBreakBefore w:val="0"/>
              <w:suppressLineNumbers w:val="0"/>
              <w:kinsoku/>
              <w:wordWrap/>
              <w:overflowPunct/>
              <w:topLinePunct w:val="0"/>
              <w:bidi w:val="0"/>
              <w:adjustRightInd/>
              <w:snapToGrid/>
              <w:spacing w:before="0" w:beforeAutospacing="0" w:after="0" w:afterAutospacing="0" w:line="360" w:lineRule="auto"/>
              <w:ind w:left="0" w:leftChars="0" w:right="0" w:rightChars="0"/>
              <w:jc w:val="left"/>
              <w:textAlignment w:val="auto"/>
              <w:rPr>
                <w:rFonts w:ascii="黑体" w:hAnsi="黑体" w:eastAsia="黑体" w:cs="Arial"/>
                <w:b/>
                <w:color w:val="auto"/>
                <w:sz w:val="28"/>
                <w:szCs w:val="28"/>
                <w:highlight w:val="none"/>
                <w:vertAlign w:val="baseline"/>
              </w:rPr>
            </w:pPr>
            <w:r>
              <w:rPr>
                <w:rFonts w:hint="eastAsia" w:ascii="宋体" w:hAnsi="宋体" w:eastAsia="宋体" w:cs="宋体"/>
                <w:sz w:val="21"/>
                <w:szCs w:val="21"/>
                <w:highlight w:val="none"/>
                <w:lang w:val="en-US" w:eastAsia="zh-CN"/>
              </w:rPr>
              <w:t>4.产品（含包装）运抵采购人指定交付地点前发生损坏的，相关损失由中标人自行承担。</w:t>
            </w:r>
          </w:p>
        </w:tc>
      </w:tr>
    </w:tbl>
    <w:p w14:paraId="5CAA5EE4">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四、其他要求</w:t>
      </w:r>
    </w:p>
    <w:tbl>
      <w:tblPr>
        <w:tblStyle w:val="57"/>
        <w:tblW w:w="9725" w:type="dxa"/>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8413"/>
      </w:tblGrid>
      <w:tr w14:paraId="5184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noWrap w:val="0"/>
            <w:vAlign w:val="center"/>
          </w:tcPr>
          <w:p w14:paraId="5D1648EC">
            <w:pPr>
              <w:keepNext w:val="0"/>
              <w:keepLines w:val="0"/>
              <w:numPr>
                <w:ilvl w:val="0"/>
                <w:numId w:val="0"/>
              </w:numPr>
              <w:suppressLineNumbers w:val="0"/>
              <w:spacing w:before="0" w:beforeAutospacing="0" w:after="0" w:afterAutospacing="0"/>
              <w:ind w:left="0" w:right="0"/>
              <w:jc w:val="center"/>
              <w:rPr>
                <w:rFonts w:hint="default" w:eastAsia="宋体"/>
                <w:szCs w:val="20"/>
                <w:highlight w:val="none"/>
                <w:vertAlign w:val="baseline"/>
                <w:lang w:val="en-US" w:eastAsia="zh-CN"/>
              </w:rPr>
            </w:pPr>
            <w:r>
              <w:rPr>
                <w:rFonts w:hint="eastAsia" w:ascii="宋体" w:hAnsi="宋体" w:eastAsia="宋体" w:cs="宋体"/>
                <w:b w:val="0"/>
                <w:bCs w:val="0"/>
                <w:color w:val="auto"/>
                <w:sz w:val="21"/>
                <w:szCs w:val="21"/>
                <w:highlight w:val="none"/>
                <w:lang w:eastAsia="zh-CN"/>
              </w:rPr>
              <w:t>▲</w:t>
            </w: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医疗器械产品注册证</w:t>
            </w:r>
          </w:p>
        </w:tc>
        <w:tc>
          <w:tcPr>
            <w:tcW w:w="8413" w:type="dxa"/>
            <w:noWrap w:val="0"/>
            <w:vAlign w:val="top"/>
          </w:tcPr>
          <w:p w14:paraId="33E2F2A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right="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要求投标人在投标文件中必须提供以上所投产品相应、有效、完整的《医疗器械产品注册证》或产品所属类别的医疗器械产品备案凭证复印件或扫描件（加盖投标人公章），否则投标无效。</w:t>
            </w:r>
          </w:p>
        </w:tc>
      </w:tr>
      <w:tr w14:paraId="4A14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noWrap w:val="0"/>
            <w:vAlign w:val="center"/>
          </w:tcPr>
          <w:p w14:paraId="110BE459">
            <w:pPr>
              <w:keepNext w:val="0"/>
              <w:keepLines w:val="0"/>
              <w:numPr>
                <w:ilvl w:val="0"/>
                <w:numId w:val="0"/>
              </w:numPr>
              <w:suppressLineNumbers w:val="0"/>
              <w:spacing w:before="0" w:beforeAutospacing="0" w:after="0" w:afterAutospacing="0"/>
              <w:ind w:left="0" w:right="0"/>
              <w:jc w:val="center"/>
              <w:rPr>
                <w:rFonts w:hint="default" w:ascii="宋体" w:hAnsi="宋体" w:eastAsia="宋体" w:cs="宋体"/>
                <w:b w:val="0"/>
                <w:bCs w:val="0"/>
                <w:color w:val="auto"/>
                <w:sz w:val="21"/>
                <w:szCs w:val="21"/>
                <w:highlight w:val="none"/>
                <w:lang w:val="en-US" w:eastAsia="zh-CN"/>
              </w:rPr>
            </w:pP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val="en-US" w:eastAsia="zh-CN"/>
              </w:rPr>
              <w:t>核心产品</w:t>
            </w:r>
          </w:p>
        </w:tc>
        <w:tc>
          <w:tcPr>
            <w:tcW w:w="8413" w:type="dxa"/>
            <w:noWrap w:val="0"/>
            <w:vAlign w:val="top"/>
          </w:tcPr>
          <w:p w14:paraId="7089FA5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000000"/>
                <w:sz w:val="21"/>
                <w:szCs w:val="21"/>
                <w:highlight w:val="none"/>
              </w:rPr>
              <w:t>本项目为货物采购项目，核心产品为：</w:t>
            </w:r>
            <w:r>
              <w:rPr>
                <w:rFonts w:hint="eastAsia" w:ascii="宋体" w:hAnsi="宋体" w:eastAsia="宋体" w:cs="宋体"/>
                <w:color w:val="000000"/>
                <w:sz w:val="21"/>
                <w:szCs w:val="21"/>
                <w:highlight w:val="none"/>
                <w:u w:val="none"/>
              </w:rPr>
              <w:t>全自动生化免疫流水线（核心产品品牌相同的，视为提供同品牌产品）注：提供相同品牌产品且通过资格审查、符合性审查的不同投标人参加同一合同项下投标的，按一家投标人计算，评审后得分最高的同品牌投标人获得中标人推荐资格；评审得分相同的，由采购人委托评标委员会按照“评标办法及评分标准”中规定的中标候选人推荐原则确定一个投标人获得中标人推荐资格，其他同品牌投标人不作为中标候选人</w:t>
            </w:r>
            <w:r>
              <w:rPr>
                <w:rFonts w:hint="eastAsia" w:ascii="宋体" w:hAnsi="宋体" w:eastAsia="宋体" w:cs="宋体"/>
                <w:color w:val="000000"/>
                <w:sz w:val="21"/>
                <w:szCs w:val="21"/>
                <w:highlight w:val="none"/>
                <w:u w:val="none"/>
                <w:lang w:eastAsia="zh-CN"/>
              </w:rPr>
              <w:t>。</w:t>
            </w:r>
          </w:p>
        </w:tc>
      </w:tr>
      <w:tr w14:paraId="155C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2" w:type="dxa"/>
            <w:noWrap w:val="0"/>
            <w:vAlign w:val="center"/>
          </w:tcPr>
          <w:p w14:paraId="4F231930">
            <w:pPr>
              <w:keepNext w:val="0"/>
              <w:keepLines w:val="0"/>
              <w:numPr>
                <w:ilvl w:val="0"/>
                <w:numId w:val="0"/>
              </w:numPr>
              <w:suppressLineNumbers w:val="0"/>
              <w:spacing w:before="0" w:beforeAutospacing="0" w:after="0" w:afterAutospacing="0"/>
              <w:ind w:left="0" w:right="0"/>
              <w:jc w:val="center"/>
              <w:rPr>
                <w:rFonts w:hint="default" w:eastAsia="宋体"/>
                <w:szCs w:val="20"/>
                <w:highlight w:val="none"/>
                <w:vertAlign w:val="baseline"/>
                <w:lang w:val="en-US" w:eastAsia="zh-CN"/>
              </w:rPr>
            </w:pP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进口产品</w:t>
            </w:r>
            <w:r>
              <w:rPr>
                <w:rFonts w:hint="eastAsia" w:ascii="宋体" w:hAnsi="宋体" w:eastAsia="宋体" w:cs="宋体"/>
                <w:b/>
                <w:bCs/>
                <w:color w:val="auto"/>
                <w:sz w:val="21"/>
                <w:szCs w:val="21"/>
                <w:highlight w:val="none"/>
                <w:lang w:val="en-US" w:eastAsia="zh-CN"/>
              </w:rPr>
              <w:t>说明</w:t>
            </w:r>
          </w:p>
        </w:tc>
        <w:tc>
          <w:tcPr>
            <w:tcW w:w="8413" w:type="dxa"/>
            <w:noWrap w:val="0"/>
            <w:vAlign w:val="top"/>
          </w:tcPr>
          <w:p w14:paraId="46F8B2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val="en-US" w:eastAsia="zh-CN"/>
              </w:rPr>
              <w:t>标项</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产品已按规定办妥进口产品采购审核手续，投标产品可选用进口产品；但如选用进口产品时投标人必须负责办理进口产品所有相关手续并承担所有费用。优先采购向我国企业转让技术、与我国企业签订消化吸收再创新方案的投标人的进口产品。除此以外，</w:t>
            </w:r>
            <w:r>
              <w:rPr>
                <w:rFonts w:hint="eastAsia" w:ascii="宋体" w:hAnsi="宋体" w:eastAsia="宋体" w:cs="宋体"/>
                <w:b/>
                <w:bCs/>
                <w:color w:val="auto"/>
                <w:sz w:val="21"/>
                <w:szCs w:val="21"/>
                <w:highlight w:val="none"/>
                <w:lang w:val="en-US" w:eastAsia="zh-CN"/>
              </w:rPr>
              <w:t>其他货物不接受进口产品参与投标，否则作无效标处理。</w:t>
            </w:r>
          </w:p>
          <w:p w14:paraId="59AEFF0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auto"/>
              <w:ind w:left="0" w:right="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rPr>
              <w:sym w:font="Wingdings 2" w:char="0052"/>
            </w:r>
            <w:r>
              <w:rPr>
                <w:rFonts w:hint="eastAsia" w:ascii="宋体" w:hAnsi="宋体" w:eastAsia="宋体" w:cs="宋体"/>
                <w:color w:val="auto"/>
                <w:sz w:val="21"/>
                <w:szCs w:val="21"/>
                <w:highlight w:val="none"/>
                <w:lang w:val="en-US" w:eastAsia="zh-CN"/>
              </w:rPr>
              <w:t>本标项货物不接受进口产品（即通过中国海关报关验放进入中国境内且产自关境外的产品）参与投标，如有进口产品参与投标的作无效标处理。</w:t>
            </w:r>
          </w:p>
        </w:tc>
      </w:tr>
    </w:tbl>
    <w:p w14:paraId="2EC17FA8">
      <w:pPr>
        <w:spacing w:line="240" w:lineRule="auto"/>
        <w:rPr>
          <w:rFonts w:hint="eastAsia"/>
          <w:color w:val="auto"/>
          <w:highlight w:val="none"/>
        </w:rPr>
      </w:pPr>
      <w:r>
        <w:rPr>
          <w:rFonts w:hint="eastAsia"/>
          <w:b/>
          <w:bCs/>
          <w:color w:val="auto"/>
          <w:highlight w:val="none"/>
        </w:rPr>
        <w:br w:type="page" w:clear="all"/>
      </w:r>
    </w:p>
    <w:p w14:paraId="3CD55CFF">
      <w:pPr>
        <w:rPr>
          <w:rFonts w:hint="eastAsia"/>
          <w:color w:val="auto"/>
          <w:highlight w:val="none"/>
        </w:rPr>
      </w:pPr>
    </w:p>
    <w:p w14:paraId="0BB3C40C">
      <w:pPr>
        <w:pStyle w:val="27"/>
        <w:numPr>
          <w:ilvl w:val="0"/>
          <w:numId w:val="0"/>
        </w:numPr>
        <w:spacing w:before="120" w:after="120" w:line="320" w:lineRule="exact"/>
        <w:jc w:val="center"/>
        <w:outlineLvl w:val="0"/>
        <w:rPr>
          <w:rFonts w:hint="eastAsia" w:ascii="Times New Roman" w:hAnsi="Times New Roman" w:cs="Times New Roman"/>
          <w:b/>
          <w:bCs/>
          <w:color w:val="auto"/>
          <w:sz w:val="28"/>
          <w:szCs w:val="28"/>
          <w:highlight w:val="none"/>
          <w:lang w:eastAsia="zh-CN"/>
        </w:rPr>
      </w:pPr>
      <w:bookmarkStart w:id="22" w:name="_Toc3050"/>
      <w:r>
        <w:rPr>
          <w:rFonts w:hint="eastAsia" w:ascii="Times New Roman" w:hAnsi="Times New Roman" w:cs="Times New Roman"/>
          <w:b/>
          <w:bCs/>
          <w:color w:val="auto"/>
          <w:sz w:val="28"/>
          <w:szCs w:val="28"/>
          <w:highlight w:val="none"/>
          <w:lang w:eastAsia="zh-CN"/>
        </w:rPr>
        <w:t>【标项二：</w:t>
      </w:r>
      <w:r>
        <w:rPr>
          <w:rFonts w:hint="eastAsia" w:ascii="Times New Roman" w:hAnsi="Times New Roman" w:cs="Times New Roman"/>
          <w:b/>
          <w:bCs/>
          <w:color w:val="auto"/>
          <w:sz w:val="28"/>
          <w:szCs w:val="28"/>
          <w:highlight w:val="none"/>
          <w:lang w:val="en-US" w:eastAsia="zh-CN"/>
        </w:rPr>
        <w:t>麻醉系统一套</w:t>
      </w:r>
      <w:r>
        <w:rPr>
          <w:rFonts w:hint="eastAsia" w:ascii="Times New Roman" w:hAnsi="Times New Roman" w:cs="Times New Roman"/>
          <w:b/>
          <w:bCs/>
          <w:color w:val="auto"/>
          <w:sz w:val="28"/>
          <w:szCs w:val="28"/>
          <w:highlight w:val="none"/>
          <w:lang w:eastAsia="zh-CN"/>
        </w:rPr>
        <w:t>】</w:t>
      </w:r>
      <w:bookmarkEnd w:id="22"/>
    </w:p>
    <w:p w14:paraId="15507F05">
      <w:pPr>
        <w:pStyle w:val="27"/>
        <w:numPr>
          <w:ilvl w:val="0"/>
          <w:numId w:val="0"/>
        </w:numPr>
        <w:spacing w:before="120" w:after="120" w:line="320" w:lineRule="exact"/>
        <w:jc w:val="center"/>
        <w:outlineLvl w:val="9"/>
        <w:rPr>
          <w:rFonts w:hint="eastAsia" w:ascii="Times New Roman" w:hAnsi="Times New Roman" w:cs="Times New Roman"/>
          <w:b/>
          <w:bCs/>
          <w:color w:val="auto"/>
          <w:sz w:val="28"/>
          <w:szCs w:val="28"/>
          <w:highlight w:val="none"/>
          <w:lang w:eastAsia="zh-CN"/>
        </w:rPr>
      </w:pPr>
    </w:p>
    <w:p w14:paraId="269C3DA4">
      <w:pPr>
        <w:spacing w:line="360" w:lineRule="auto"/>
        <w:rPr>
          <w:rFonts w:ascii="黑体" w:hAnsi="黑体" w:eastAsia="黑体" w:cs="Arial"/>
          <w:b/>
          <w:color w:val="auto"/>
          <w:sz w:val="28"/>
          <w:szCs w:val="28"/>
          <w:highlight w:val="none"/>
        </w:rPr>
      </w:pPr>
      <w:r>
        <w:rPr>
          <w:rFonts w:ascii="黑体" w:hAnsi="黑体" w:eastAsia="黑体" w:cs="Arial"/>
          <w:b/>
          <w:color w:val="auto"/>
          <w:sz w:val="28"/>
          <w:szCs w:val="28"/>
          <w:highlight w:val="none"/>
        </w:rPr>
        <w:t>一、</w:t>
      </w:r>
      <w:r>
        <w:rPr>
          <w:rFonts w:hint="eastAsia" w:ascii="黑体" w:hAnsi="黑体" w:eastAsia="黑体" w:cs="Arial"/>
          <w:b/>
          <w:color w:val="auto"/>
          <w:sz w:val="28"/>
          <w:szCs w:val="28"/>
          <w:highlight w:val="none"/>
        </w:rPr>
        <w:t>总体</w:t>
      </w:r>
      <w:r>
        <w:rPr>
          <w:rFonts w:ascii="黑体" w:hAnsi="黑体" w:eastAsia="黑体" w:cs="Arial"/>
          <w:b/>
          <w:color w:val="auto"/>
          <w:sz w:val="28"/>
          <w:szCs w:val="28"/>
          <w:highlight w:val="none"/>
        </w:rPr>
        <w:t>要求</w:t>
      </w:r>
    </w:p>
    <w:p w14:paraId="75EBA0D1">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7F58D028">
      <w:pPr>
        <w:spacing w:line="360" w:lineRule="auto"/>
        <w:rPr>
          <w:color w:val="auto"/>
          <w:szCs w:val="21"/>
          <w:highlight w:val="none"/>
        </w:rPr>
      </w:pPr>
      <w:r>
        <w:rPr>
          <w:rFonts w:hint="eastAsia"/>
          <w:color w:val="auto"/>
          <w:szCs w:val="21"/>
          <w:highlight w:val="none"/>
        </w:rPr>
        <w:t>详见招标文件“评审方法及标准</w:t>
      </w:r>
      <w:r>
        <w:rPr>
          <w:color w:val="auto"/>
          <w:szCs w:val="21"/>
          <w:highlight w:val="none"/>
        </w:rPr>
        <w:t>/政府采购政策应用说明”。</w:t>
      </w:r>
    </w:p>
    <w:p w14:paraId="639511F6">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采购人与中标供应商</w:t>
      </w:r>
      <w:r>
        <w:rPr>
          <w:color w:val="auto"/>
          <w:szCs w:val="21"/>
          <w:highlight w:val="none"/>
        </w:rPr>
        <w:t>在采购合同中约定。</w:t>
      </w:r>
    </w:p>
    <w:p w14:paraId="04665E45">
      <w:pPr>
        <w:spacing w:line="360" w:lineRule="auto"/>
        <w:rPr>
          <w:color w:val="auto"/>
          <w:szCs w:val="21"/>
          <w:highlight w:val="none"/>
        </w:rPr>
      </w:pPr>
      <w:r>
        <w:rPr>
          <w:rFonts w:hint="eastAsia"/>
          <w:color w:val="auto"/>
          <w:szCs w:val="21"/>
          <w:highlight w:val="none"/>
        </w:rPr>
        <w:t>3.标注“▲”的条款或要求系指实质性条款或实质性要求，必须满足，如存在负偏离将导致</w:t>
      </w:r>
      <w:r>
        <w:rPr>
          <w:rFonts w:hint="eastAsia"/>
          <w:color w:val="auto"/>
          <w:szCs w:val="21"/>
          <w:highlight w:val="none"/>
          <w:lang w:eastAsia="zh-CN"/>
        </w:rPr>
        <w:t>投标无效</w:t>
      </w:r>
      <w:r>
        <w:rPr>
          <w:rFonts w:hint="eastAsia"/>
          <w:color w:val="auto"/>
          <w:szCs w:val="21"/>
          <w:highlight w:val="none"/>
        </w:rPr>
        <w:t>。</w:t>
      </w:r>
      <w:ins w:id="19" w:author="JDZBzheng" w:date="2026-07-01T08:45:49Z">
        <w:r>
          <w:rPr>
            <w:rFonts w:hint="eastAsia"/>
            <w:color w:val="auto"/>
            <w:szCs w:val="21"/>
            <w:highlight w:val="none"/>
          </w:rPr>
          <w:t>无标识则表示一般指标项，如响应为负偏离，不会导致响应被否决。</w:t>
        </w:r>
      </w:ins>
      <w:r>
        <w:rPr>
          <w:rFonts w:hint="eastAsia"/>
          <w:color w:val="auto"/>
          <w:szCs w:val="21"/>
          <w:highlight w:val="none"/>
        </w:rPr>
        <w:t>标注</w:t>
      </w:r>
      <w:r>
        <w:rPr>
          <w:rFonts w:hint="eastAsia" w:ascii="方正楷体_GB2312" w:hAnsi="方正楷体_GB2312" w:eastAsia="方正楷体_GB2312" w:cs="方正楷体_GB2312"/>
          <w:color w:val="auto"/>
          <w:szCs w:val="21"/>
          <w:highlight w:val="none"/>
          <w:lang w:eastAsia="zh-CN"/>
        </w:rPr>
        <w:t>“</w:t>
      </w:r>
      <w:r>
        <w:rPr>
          <w:rFonts w:hint="eastAsia" w:ascii="方正楷体_GB2312" w:hAnsi="方正楷体_GB2312" w:eastAsia="方正楷体_GB2312" w:cs="方正楷体_GB2312"/>
          <w:i w:val="0"/>
          <w:iCs w:val="0"/>
          <w:color w:val="auto"/>
          <w:kern w:val="0"/>
          <w:sz w:val="21"/>
          <w:szCs w:val="21"/>
          <w:highlight w:val="none"/>
          <w:u w:val="none"/>
          <w:lang w:val="en-US" w:eastAsia="zh-CN" w:bidi="ar"/>
        </w:rPr>
        <w:t>●</w:t>
      </w:r>
      <w:r>
        <w:rPr>
          <w:rFonts w:hint="eastAsia" w:ascii="方正楷体_GB2312" w:hAnsi="方正楷体_GB2312" w:eastAsia="方正楷体_GB2312" w:cs="方正楷体_GB2312"/>
          <w:color w:val="auto"/>
          <w:szCs w:val="21"/>
          <w:highlight w:val="none"/>
          <w:lang w:eastAsia="zh-CN"/>
        </w:rPr>
        <w:t>”</w:t>
      </w:r>
      <w:r>
        <w:rPr>
          <w:rFonts w:hint="eastAsia"/>
          <w:color w:val="auto"/>
          <w:szCs w:val="21"/>
          <w:highlight w:val="none"/>
        </w:rPr>
        <w:t>代表重要指标</w:t>
      </w:r>
      <w:r>
        <w:rPr>
          <w:rFonts w:hint="eastAsia"/>
          <w:color w:val="auto"/>
          <w:szCs w:val="21"/>
          <w:highlight w:val="none"/>
          <w:lang w:val="en-US" w:eastAsia="zh-CN"/>
        </w:rPr>
        <w:t>作为加分项，具体详见评标方法。</w:t>
      </w:r>
    </w:p>
    <w:p w14:paraId="57B2730B">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二、技术要求</w:t>
      </w:r>
    </w:p>
    <w:p w14:paraId="3AACC3D1">
      <w:pPr>
        <w:spacing w:line="360" w:lineRule="auto"/>
        <w:rPr>
          <w:color w:val="auto"/>
          <w:szCs w:val="21"/>
          <w:highlight w:val="none"/>
        </w:rPr>
      </w:pPr>
      <w:r>
        <w:rPr>
          <w:rFonts w:hint="eastAsia"/>
          <w:color w:val="auto"/>
          <w:szCs w:val="21"/>
          <w:highlight w:val="none"/>
        </w:rPr>
        <w:t>1.需实现的功能、目标及应用场景</w:t>
      </w:r>
    </w:p>
    <w:p w14:paraId="05ADCE40">
      <w:pPr>
        <w:spacing w:line="360" w:lineRule="auto"/>
        <w:rPr>
          <w:color w:val="auto"/>
          <w:szCs w:val="21"/>
          <w:highlight w:val="none"/>
        </w:rPr>
      </w:pPr>
      <w:r>
        <w:rPr>
          <w:rFonts w:hint="eastAsia"/>
          <w:color w:val="auto"/>
          <w:szCs w:val="21"/>
          <w:highlight w:val="none"/>
        </w:rPr>
        <w:t>满足招标文件要求，验收达到合格标准。</w:t>
      </w:r>
    </w:p>
    <w:p w14:paraId="1F0FDE84">
      <w:pPr>
        <w:spacing w:line="360" w:lineRule="auto"/>
        <w:rPr>
          <w:color w:val="auto"/>
          <w:szCs w:val="21"/>
          <w:highlight w:val="none"/>
        </w:rPr>
      </w:pPr>
      <w:r>
        <w:rPr>
          <w:color w:val="auto"/>
          <w:szCs w:val="21"/>
          <w:highlight w:val="none"/>
        </w:rPr>
        <w:t>2</w:t>
      </w:r>
      <w:r>
        <w:rPr>
          <w:rFonts w:hint="eastAsia"/>
          <w:color w:val="auto"/>
          <w:szCs w:val="21"/>
          <w:highlight w:val="none"/>
        </w:rPr>
        <w:t>.是否接受进口产品：</w:t>
      </w:r>
    </w:p>
    <w:p w14:paraId="5B5AB4AC">
      <w:pPr>
        <w:spacing w:line="360" w:lineRule="auto"/>
        <w:rPr>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u w:val="none"/>
          <w:lang w:val="en-US" w:eastAsia="zh-CN"/>
        </w:rPr>
        <w:t>不</w:t>
      </w:r>
      <w:r>
        <w:rPr>
          <w:rFonts w:hint="eastAsia" w:ascii="宋体" w:hAnsi="宋体" w:eastAsia="宋体" w:cs="宋体"/>
          <w:color w:val="auto"/>
          <w:szCs w:val="21"/>
          <w:highlight w:val="none"/>
        </w:rPr>
        <w:t>接受进口产品</w:t>
      </w:r>
      <w:r>
        <w:rPr>
          <w:rFonts w:hint="eastAsia" w:ascii="宋体" w:hAnsi="宋体" w:eastAsia="宋体" w:cs="宋体"/>
          <w:color w:val="000000"/>
          <w:szCs w:val="21"/>
          <w:highlight w:val="none"/>
        </w:rPr>
        <w:t>。</w:t>
      </w:r>
    </w:p>
    <w:p w14:paraId="73798326">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需执行的国家相关标准、行业标准、地方标准或者其他标准、规范</w:t>
      </w:r>
    </w:p>
    <w:p w14:paraId="468276B9">
      <w:pPr>
        <w:keepNext w:val="0"/>
        <w:keepLines w:val="0"/>
        <w:widowControl/>
        <w:suppressLineNumbers w:val="0"/>
        <w:jc w:val="left"/>
        <w:rPr>
          <w:iCs/>
          <w:color w:val="auto"/>
          <w:szCs w:val="21"/>
          <w:highlight w:val="none"/>
        </w:rPr>
      </w:pPr>
      <w:r>
        <w:rPr>
          <w:rFonts w:hint="eastAsia"/>
          <w:color w:val="auto"/>
          <w:szCs w:val="21"/>
          <w:highlight w:val="none"/>
        </w:rPr>
        <w:t>本项目应执行的国家相关标准、行业标准、地方标准或者其他标准、规范</w:t>
      </w:r>
      <w:r>
        <w:rPr>
          <w:rFonts w:hint="eastAsia"/>
          <w:color w:val="auto"/>
          <w:szCs w:val="21"/>
          <w:highlight w:val="none"/>
          <w:lang w:eastAsia="zh-CN"/>
        </w:rPr>
        <w:t>：</w:t>
      </w:r>
      <w:r>
        <w:rPr>
          <w:rFonts w:hint="eastAsia" w:ascii="宋体" w:hAnsi="宋体" w:eastAsia="宋体" w:cs="宋体"/>
          <w:i w:val="0"/>
          <w:iCs w:val="0"/>
          <w:color w:val="auto"/>
          <w:sz w:val="21"/>
          <w:szCs w:val="21"/>
          <w:highlight w:val="none"/>
          <w:u w:val="single"/>
          <w:lang w:val="en-US" w:eastAsia="zh-CN" w:bidi="ar"/>
        </w:rPr>
        <w:t>详见技术指标要求</w:t>
      </w:r>
      <w:r>
        <w:rPr>
          <w:rFonts w:hint="eastAsia"/>
          <w:color w:val="auto"/>
          <w:szCs w:val="21"/>
          <w:highlight w:val="none"/>
        </w:rPr>
        <w:t>。</w:t>
      </w:r>
    </w:p>
    <w:p w14:paraId="70EEE030">
      <w:pPr>
        <w:spacing w:line="360" w:lineRule="auto"/>
        <w:rPr>
          <w:color w:val="auto"/>
          <w:szCs w:val="21"/>
          <w:highlight w:val="none"/>
        </w:rPr>
      </w:pPr>
      <w:r>
        <w:rPr>
          <w:color w:val="auto"/>
          <w:szCs w:val="21"/>
          <w:highlight w:val="none"/>
        </w:rPr>
        <w:t>4</w:t>
      </w:r>
      <w:r>
        <w:rPr>
          <w:rFonts w:hint="eastAsia"/>
          <w:color w:val="auto"/>
          <w:szCs w:val="21"/>
          <w:highlight w:val="none"/>
        </w:rPr>
        <w:t>.一般说明</w:t>
      </w:r>
    </w:p>
    <w:p w14:paraId="5913707C">
      <w:pPr>
        <w:spacing w:line="360" w:lineRule="auto"/>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本章</w:t>
      </w:r>
      <w:r>
        <w:rPr>
          <w:color w:val="auto"/>
          <w:szCs w:val="21"/>
          <w:highlight w:val="none"/>
        </w:rPr>
        <w:t>中如提及品牌型号，仅起参考作用。供应商可选用其他品牌型号替代，但这些替代的品牌型号要实质上参照或相当于或优于参考品牌型号及其技术参数性能（配置）要求。</w:t>
      </w:r>
    </w:p>
    <w:p w14:paraId="17ED58BD">
      <w:pPr>
        <w:spacing w:line="360" w:lineRule="auto"/>
        <w:rPr>
          <w:rFonts w:hint="eastAsia"/>
          <w:color w:val="auto"/>
          <w:szCs w:val="21"/>
          <w:highlight w:val="none"/>
        </w:rPr>
      </w:pPr>
      <w:r>
        <w:rPr>
          <w:rFonts w:hint="eastAsia"/>
          <w:color w:val="auto"/>
          <w:szCs w:val="21"/>
          <w:highlight w:val="none"/>
        </w:rPr>
        <w:t>（</w:t>
      </w:r>
      <w:r>
        <w:rPr>
          <w:color w:val="auto"/>
          <w:szCs w:val="21"/>
          <w:highlight w:val="none"/>
        </w:rPr>
        <w:t>2）如要求提供检测报告</w:t>
      </w:r>
      <w:r>
        <w:rPr>
          <w:rFonts w:hint="eastAsia"/>
          <w:color w:val="auto"/>
          <w:szCs w:val="21"/>
          <w:highlight w:val="none"/>
        </w:rPr>
        <w:t>或其他证明材料</w:t>
      </w:r>
      <w:r>
        <w:rPr>
          <w:color w:val="auto"/>
          <w:szCs w:val="21"/>
          <w:highlight w:val="none"/>
        </w:rPr>
        <w:t>的，检测报告或</w:t>
      </w:r>
      <w:r>
        <w:rPr>
          <w:rFonts w:hint="eastAsia"/>
          <w:color w:val="auto"/>
          <w:szCs w:val="21"/>
          <w:highlight w:val="none"/>
        </w:rPr>
        <w:t>其他证明材料</w:t>
      </w:r>
      <w:r>
        <w:rPr>
          <w:color w:val="auto"/>
          <w:szCs w:val="21"/>
          <w:highlight w:val="none"/>
        </w:rPr>
        <w:t>内容中若涉及外文说明，必须同时提供对应中文翻译说明，评审依据以中文翻译内容为准，外文说明仅供参考；产品</w:t>
      </w:r>
      <w:r>
        <w:rPr>
          <w:rFonts w:hint="eastAsia"/>
          <w:color w:val="auto"/>
          <w:szCs w:val="21"/>
          <w:highlight w:val="none"/>
        </w:rPr>
        <w:t>证明材料</w:t>
      </w:r>
      <w:r>
        <w:rPr>
          <w:color w:val="auto"/>
          <w:szCs w:val="21"/>
          <w:highlight w:val="none"/>
        </w:rPr>
        <w:t>应为报告正面、背面和附件标注的全部具体内容；产品</w:t>
      </w:r>
      <w:r>
        <w:rPr>
          <w:rFonts w:hint="eastAsia"/>
          <w:color w:val="auto"/>
          <w:szCs w:val="21"/>
          <w:highlight w:val="none"/>
        </w:rPr>
        <w:t>证明材料</w:t>
      </w:r>
      <w:r>
        <w:rPr>
          <w:color w:val="auto"/>
          <w:szCs w:val="21"/>
          <w:highlight w:val="none"/>
        </w:rPr>
        <w:t>的</w:t>
      </w:r>
      <w:r>
        <w:rPr>
          <w:rFonts w:hint="eastAsia"/>
          <w:color w:val="auto"/>
          <w:szCs w:val="21"/>
          <w:highlight w:val="none"/>
        </w:rPr>
        <w:t>内容</w:t>
      </w:r>
      <w:r>
        <w:rPr>
          <w:color w:val="auto"/>
          <w:szCs w:val="21"/>
          <w:highlight w:val="none"/>
        </w:rPr>
        <w:t>应该能够被阅读、识别和判断。</w:t>
      </w:r>
      <w:r>
        <w:rPr>
          <w:rFonts w:hint="eastAsia"/>
          <w:color w:val="auto"/>
          <w:szCs w:val="21"/>
          <w:highlight w:val="none"/>
        </w:rPr>
        <w:t xml:space="preserve"> </w:t>
      </w:r>
    </w:p>
    <w:p w14:paraId="2CCD3D66">
      <w:pPr>
        <w:spacing w:line="360" w:lineRule="auto"/>
        <w:rPr>
          <w:rFonts w:hint="eastAsia"/>
          <w:color w:val="auto"/>
          <w:szCs w:val="21"/>
          <w:highlight w:val="none"/>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lang w:eastAsia="zh-CN"/>
        </w:rPr>
        <w:t>）供应商应根据自身实际情况如实响应招标文件，不得仅将招标文件中“技术参数要求”或“商务要求”内容简单复制粘贴作为投标响应，否则将按无效响应处理。对于重要技术条款或技术参数应当在投标文件中提供技术支持资料（如有），技术支持资料以投标文件中规定的形式为准，否则将视为无效技术支持资料。</w:t>
      </w:r>
    </w:p>
    <w:p w14:paraId="5F3609D4">
      <w:pPr>
        <w:spacing w:line="360" w:lineRule="auto"/>
        <w:rPr>
          <w:color w:val="auto"/>
          <w:szCs w:val="21"/>
          <w:highlight w:val="none"/>
        </w:rPr>
      </w:pPr>
      <w:r>
        <w:rPr>
          <w:color w:val="auto"/>
          <w:szCs w:val="21"/>
          <w:highlight w:val="none"/>
        </w:rPr>
        <w:t>5</w:t>
      </w:r>
      <w:r>
        <w:rPr>
          <w:rFonts w:hint="eastAsia"/>
          <w:color w:val="auto"/>
          <w:szCs w:val="21"/>
          <w:highlight w:val="none"/>
        </w:rPr>
        <w:t>.核心产品</w:t>
      </w:r>
    </w:p>
    <w:p w14:paraId="65F0308D">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none"/>
          <w:lang w:eastAsia="zh-CN"/>
        </w:rPr>
      </w:pPr>
      <w:r>
        <w:rPr>
          <w:rFonts w:hint="eastAsia" w:asciiTheme="majorEastAsia" w:hAnsiTheme="majorEastAsia" w:eastAsiaTheme="majorEastAsia" w:cstheme="majorEastAsia"/>
          <w:color w:val="auto"/>
          <w:sz w:val="21"/>
          <w:szCs w:val="21"/>
          <w:highlight w:val="none"/>
        </w:rPr>
        <w:t>本项目为货物采购项目，核心产品为：</w:t>
      </w:r>
      <w:r>
        <w:rPr>
          <w:rFonts w:hint="eastAsia" w:asciiTheme="majorEastAsia" w:hAnsiTheme="majorEastAsia" w:eastAsiaTheme="majorEastAsia" w:cstheme="majorEastAsia"/>
          <w:color w:val="auto"/>
          <w:sz w:val="21"/>
          <w:szCs w:val="21"/>
          <w:highlight w:val="none"/>
          <w:u w:val="single"/>
        </w:rPr>
        <w:t xml:space="preserve"> </w:t>
      </w:r>
      <w:r>
        <w:rPr>
          <w:rFonts w:hint="eastAsia" w:asciiTheme="majorEastAsia" w:hAnsiTheme="majorEastAsia" w:eastAsiaTheme="majorEastAsia" w:cstheme="majorEastAsia"/>
          <w:color w:val="auto"/>
          <w:sz w:val="21"/>
          <w:szCs w:val="21"/>
          <w:highlight w:val="none"/>
          <w:u w:val="single"/>
          <w:lang w:val="en-US" w:eastAsia="zh-CN"/>
        </w:rPr>
        <w:t>第1分项“麻醉机1”</w:t>
      </w:r>
      <w:r>
        <w:rPr>
          <w:rFonts w:hint="eastAsia" w:asciiTheme="majorEastAsia" w:hAnsiTheme="majorEastAsia" w:eastAsiaTheme="majorEastAsia" w:cstheme="majorEastAsia"/>
          <w:b/>
          <w:bCs/>
          <w:color w:val="auto"/>
          <w:sz w:val="21"/>
          <w:szCs w:val="21"/>
          <w:highlight w:val="none"/>
          <w:u w:val="single"/>
        </w:rPr>
        <w:t xml:space="preserve"> </w:t>
      </w:r>
      <w:r>
        <w:rPr>
          <w:rFonts w:hint="eastAsia" w:asciiTheme="majorEastAsia" w:hAnsiTheme="majorEastAsia" w:eastAsiaTheme="majorEastAsia" w:cstheme="majorEastAsia"/>
          <w:color w:val="auto"/>
          <w:sz w:val="21"/>
          <w:szCs w:val="21"/>
          <w:highlight w:val="none"/>
          <w:u w:val="none"/>
          <w:lang w:eastAsia="zh-CN"/>
        </w:rPr>
        <w:t>。</w:t>
      </w:r>
    </w:p>
    <w:p w14:paraId="403EA167">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none"/>
          <w:lang w:eastAsia="zh-CN"/>
        </w:rPr>
      </w:pPr>
      <w:r>
        <w:rPr>
          <w:rFonts w:hint="eastAsia" w:asciiTheme="majorEastAsia" w:hAnsiTheme="majorEastAsia" w:eastAsiaTheme="majorEastAsia" w:cstheme="majorEastAsia"/>
          <w:color w:val="auto"/>
          <w:sz w:val="21"/>
          <w:szCs w:val="21"/>
          <w:highlight w:val="none"/>
          <w:lang w:val="en-US" w:eastAsia="zh-CN" w:bidi="ar"/>
        </w:rPr>
        <w:t>提供相同品牌产品且通过资格审查、符合性审查的不同投标人参加同一合同项下投标的，按一家投标人计算，评审后得分最高的同品牌投标人获得中标人推荐资格；评审得分相同的，由采购人或者采购人委托的评标委员会按照招标文件规定的方式确定一个投标人获得中标人推荐资格，招标文件未规定的采取随机抽取方式确定，其他同品牌投标人不作为中标候选人。</w:t>
      </w:r>
    </w:p>
    <w:p w14:paraId="0317D14A">
      <w:pPr>
        <w:spacing w:line="360" w:lineRule="auto"/>
        <w:rPr>
          <w:color w:val="auto"/>
          <w:szCs w:val="21"/>
          <w:highlight w:val="none"/>
        </w:rPr>
      </w:pPr>
      <w:r>
        <w:rPr>
          <w:rFonts w:hint="eastAsia"/>
          <w:color w:val="auto"/>
          <w:szCs w:val="21"/>
          <w:highlight w:val="none"/>
        </w:rPr>
        <w:t>6.节能产品</w:t>
      </w:r>
    </w:p>
    <w:p w14:paraId="6BDB9975">
      <w:pPr>
        <w:spacing w:line="360" w:lineRule="auto"/>
        <w:rPr>
          <w:rFonts w:hint="eastAsia"/>
          <w:color w:val="auto"/>
          <w:highlight w:val="none"/>
          <w:u w:val="single"/>
        </w:rPr>
      </w:pPr>
      <w:r>
        <w:rPr>
          <w:rFonts w:hint="eastAsia"/>
          <w:color w:val="auto"/>
          <w:szCs w:val="21"/>
          <w:highlight w:val="none"/>
        </w:rPr>
        <w:t>本项目强制采购节能产品为：</w:t>
      </w:r>
      <w:r>
        <w:rPr>
          <w:rFonts w:hint="eastAsia"/>
          <w:color w:val="auto"/>
          <w:szCs w:val="21"/>
          <w:highlight w:val="none"/>
          <w:u w:val="single"/>
          <w:lang w:val="en-US" w:eastAsia="zh-CN"/>
        </w:rPr>
        <w:t>/</w:t>
      </w:r>
      <w:r>
        <w:rPr>
          <w:rFonts w:hint="eastAsia"/>
          <w:color w:val="auto"/>
          <w:highlight w:val="none"/>
          <w:u w:val="single"/>
        </w:rPr>
        <w:t xml:space="preserve"> </w:t>
      </w:r>
    </w:p>
    <w:p w14:paraId="4534319E">
      <w:pPr>
        <w:numPr>
          <w:ilvl w:val="0"/>
          <w:numId w:val="0"/>
        </w:numPr>
        <w:spacing w:line="360" w:lineRule="auto"/>
        <w:rPr>
          <w:rFonts w:hint="eastAsia"/>
          <w:color w:val="auto"/>
          <w:highlight w:val="none"/>
          <w:u w:val="none"/>
          <w:lang w:val="en-US" w:eastAsia="zh-CN"/>
        </w:rPr>
      </w:pPr>
      <w:r>
        <w:rPr>
          <w:rFonts w:hint="eastAsia"/>
          <w:color w:val="auto"/>
          <w:sz w:val="21"/>
          <w:szCs w:val="24"/>
          <w:highlight w:val="none"/>
          <w:lang w:val="en-US" w:eastAsia="zh-CN" w:bidi="ar-SA"/>
        </w:rPr>
        <w:t>7.</w:t>
      </w:r>
      <w:r>
        <w:rPr>
          <w:rFonts w:hint="eastAsia"/>
          <w:color w:val="auto"/>
          <w:highlight w:val="none"/>
          <w:u w:val="none"/>
          <w:lang w:val="en-US" w:eastAsia="zh-CN"/>
        </w:rPr>
        <w:t>网络安全专用产品</w:t>
      </w:r>
    </w:p>
    <w:p w14:paraId="629304B4">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none"/>
          <w:lang w:eastAsia="zh-CN"/>
        </w:rPr>
      </w:pPr>
      <w:r>
        <w:rPr>
          <w:rFonts w:hint="eastAsia"/>
          <w:color w:val="auto"/>
          <w:szCs w:val="21"/>
          <w:highlight w:val="none"/>
        </w:rPr>
        <w:t>本项目</w:t>
      </w:r>
      <w:r>
        <w:rPr>
          <w:rFonts w:hint="eastAsia"/>
          <w:color w:val="auto"/>
          <w:szCs w:val="21"/>
          <w:highlight w:val="none"/>
          <w:lang w:val="en-US" w:eastAsia="zh-CN"/>
        </w:rPr>
        <w:t>网络安全专用产品</w:t>
      </w:r>
      <w:r>
        <w:rPr>
          <w:rFonts w:hint="eastAsia"/>
          <w:color w:val="auto"/>
          <w:szCs w:val="21"/>
          <w:highlight w:val="none"/>
        </w:rPr>
        <w:t>为：</w:t>
      </w:r>
      <w:r>
        <w:rPr>
          <w:rFonts w:hint="eastAsia"/>
          <w:color w:val="auto"/>
          <w:szCs w:val="21"/>
          <w:highlight w:val="none"/>
          <w:u w:val="single"/>
          <w:lang w:val="en-US" w:eastAsia="zh-CN"/>
        </w:rPr>
        <w:t>/</w:t>
      </w:r>
      <w:r>
        <w:rPr>
          <w:rFonts w:hint="eastAsia"/>
          <w:color w:val="auto"/>
          <w:highlight w:val="none"/>
          <w:u w:val="single"/>
        </w:rPr>
        <w:t xml:space="preserve"> </w:t>
      </w:r>
    </w:p>
    <w:p w14:paraId="0CAA8B2E">
      <w:pPr>
        <w:numPr>
          <w:ilvl w:val="0"/>
          <w:numId w:val="0"/>
        </w:numPr>
        <w:spacing w:line="360" w:lineRule="auto"/>
        <w:rPr>
          <w:color w:val="auto"/>
          <w:szCs w:val="21"/>
          <w:highlight w:val="none"/>
        </w:rPr>
      </w:pPr>
      <w:r>
        <w:rPr>
          <w:rFonts w:hint="eastAsia" w:cs="Times New Roman"/>
          <w:color w:val="auto"/>
          <w:sz w:val="21"/>
          <w:szCs w:val="21"/>
          <w:highlight w:val="none"/>
          <w:lang w:val="en-US" w:eastAsia="zh-CN" w:bidi="ar-SA"/>
        </w:rPr>
        <w:t>8</w:t>
      </w:r>
      <w:r>
        <w:rPr>
          <w:rFonts w:ascii="Times New Roman" w:hAnsi="Times New Roman" w:eastAsia="宋体" w:cs="Times New Roman"/>
          <w:color w:val="auto"/>
          <w:sz w:val="21"/>
          <w:szCs w:val="21"/>
          <w:highlight w:val="none"/>
          <w:lang w:val="en-US" w:eastAsia="zh-CN" w:bidi="ar-SA"/>
        </w:rPr>
        <w:t>.</w:t>
      </w:r>
      <w:r>
        <w:rPr>
          <w:rFonts w:hint="eastAsia"/>
          <w:color w:val="auto"/>
          <w:szCs w:val="21"/>
          <w:highlight w:val="none"/>
        </w:rPr>
        <w:t>标的名称、数量、需满足的质量、技术规格、物理特性、性能、材料、结构、外观、安全，或者服务内容和标准一览表</w:t>
      </w:r>
    </w:p>
    <w:tbl>
      <w:tblPr>
        <w:tblStyle w:val="56"/>
        <w:tblW w:w="110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1190"/>
        <w:gridCol w:w="504"/>
        <w:gridCol w:w="507"/>
        <w:gridCol w:w="1265"/>
        <w:gridCol w:w="670"/>
        <w:gridCol w:w="6465"/>
      </w:tblGrid>
      <w:tr w14:paraId="1C434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69843A1B">
            <w:pPr>
              <w:keepNext w:val="0"/>
              <w:keepLines w:val="0"/>
              <w:suppressLineNumbers w:val="0"/>
              <w:wordWrap w:val="0"/>
              <w:spacing w:before="0" w:beforeAutospacing="0" w:after="0" w:afterAutospacing="0" w:line="440" w:lineRule="exact"/>
              <w:ind w:left="0" w:leftChars="0" w:right="0" w:rightChars="0"/>
              <w:jc w:val="center"/>
              <w:rPr>
                <w:rFonts w:ascii="Arial" w:hAnsi="Arial" w:cs="Arial"/>
                <w:bCs/>
                <w:color w:val="auto"/>
                <w:szCs w:val="21"/>
                <w:highlight w:val="none"/>
              </w:rPr>
            </w:pPr>
            <w:r>
              <w:rPr>
                <w:rFonts w:hint="eastAsia" w:ascii="宋体" w:hAnsi="宋体" w:eastAsia="宋体" w:cs="宋体"/>
                <w:color w:val="auto"/>
                <w:sz w:val="21"/>
                <w:szCs w:val="21"/>
                <w:highlight w:val="none"/>
              </w:rPr>
              <w:t>序号</w:t>
            </w:r>
          </w:p>
        </w:tc>
        <w:tc>
          <w:tcPr>
            <w:tcW w:w="1190" w:type="dxa"/>
            <w:noWrap w:val="0"/>
            <w:vAlign w:val="center"/>
          </w:tcPr>
          <w:p w14:paraId="7C70B2A7">
            <w:pPr>
              <w:keepNext w:val="0"/>
              <w:keepLines w:val="0"/>
              <w:suppressLineNumbers w:val="0"/>
              <w:wordWrap w:val="0"/>
              <w:spacing w:before="0" w:beforeAutospacing="0" w:after="0" w:afterAutospacing="0" w:line="440" w:lineRule="exact"/>
              <w:ind w:left="0" w:leftChars="0" w:right="0" w:rightChars="0"/>
              <w:jc w:val="center"/>
              <w:rPr>
                <w:rFonts w:ascii="Arial" w:hAnsi="Arial" w:cs="Arial"/>
                <w:bCs/>
                <w:color w:val="auto"/>
                <w:szCs w:val="21"/>
                <w:highlight w:val="none"/>
              </w:rPr>
            </w:pPr>
            <w:r>
              <w:rPr>
                <w:rFonts w:hint="eastAsia" w:ascii="宋体" w:hAnsi="宋体" w:eastAsia="宋体" w:cs="宋体"/>
                <w:color w:val="auto"/>
                <w:sz w:val="21"/>
                <w:szCs w:val="21"/>
                <w:highlight w:val="none"/>
              </w:rPr>
              <w:t>采购货物的名称</w:t>
            </w:r>
          </w:p>
        </w:tc>
        <w:tc>
          <w:tcPr>
            <w:tcW w:w="504" w:type="dxa"/>
            <w:tcBorders>
              <w:right w:val="single" w:color="auto" w:sz="4" w:space="0"/>
            </w:tcBorders>
            <w:noWrap w:val="0"/>
            <w:vAlign w:val="center"/>
          </w:tcPr>
          <w:p w14:paraId="2911E65E">
            <w:pPr>
              <w:keepNext w:val="0"/>
              <w:keepLines w:val="0"/>
              <w:suppressLineNumbers w:val="0"/>
              <w:wordWrap w:val="0"/>
              <w:spacing w:before="0" w:beforeAutospacing="0" w:after="0" w:afterAutospacing="0" w:line="440" w:lineRule="exact"/>
              <w:ind w:left="0" w:leftChars="0" w:right="0" w:rightChars="0"/>
              <w:jc w:val="center"/>
              <w:rPr>
                <w:rFonts w:ascii="Arial" w:hAnsi="Arial" w:cs="Arial"/>
                <w:bCs/>
                <w:color w:val="auto"/>
                <w:szCs w:val="21"/>
                <w:highlight w:val="none"/>
              </w:rPr>
            </w:pPr>
            <w:r>
              <w:rPr>
                <w:rFonts w:hint="eastAsia" w:ascii="宋体" w:hAnsi="宋体" w:eastAsia="宋体" w:cs="宋体"/>
                <w:color w:val="auto"/>
                <w:sz w:val="21"/>
                <w:szCs w:val="21"/>
                <w:highlight w:val="none"/>
              </w:rPr>
              <w:t>数量</w:t>
            </w:r>
          </w:p>
        </w:tc>
        <w:tc>
          <w:tcPr>
            <w:tcW w:w="507" w:type="dxa"/>
            <w:noWrap w:val="0"/>
            <w:vAlign w:val="center"/>
          </w:tcPr>
          <w:p w14:paraId="3FB3FCCF">
            <w:pPr>
              <w:keepNext w:val="0"/>
              <w:keepLines w:val="0"/>
              <w:suppressLineNumbers w:val="0"/>
              <w:wordWrap w:val="0"/>
              <w:spacing w:before="0" w:beforeAutospacing="0" w:after="0" w:afterAutospacing="0" w:line="440" w:lineRule="exact"/>
              <w:ind w:left="0" w:leftChars="0" w:right="0" w:rightChars="0"/>
              <w:jc w:val="center"/>
              <w:rPr>
                <w:rFonts w:ascii="Arial" w:hAnsi="Arial" w:cs="Arial"/>
                <w:bCs/>
                <w:color w:val="auto"/>
                <w:szCs w:val="21"/>
                <w:highlight w:val="none"/>
              </w:rPr>
            </w:pPr>
            <w:r>
              <w:rPr>
                <w:rFonts w:hint="eastAsia" w:ascii="宋体" w:hAnsi="宋体" w:eastAsia="宋体" w:cs="宋体"/>
                <w:color w:val="auto"/>
                <w:sz w:val="21"/>
                <w:szCs w:val="21"/>
                <w:highlight w:val="none"/>
              </w:rPr>
              <w:t>单位</w:t>
            </w:r>
          </w:p>
        </w:tc>
        <w:tc>
          <w:tcPr>
            <w:tcW w:w="1265" w:type="dxa"/>
            <w:shd w:val="clear" w:color="auto" w:fill="auto"/>
            <w:noWrap w:val="0"/>
            <w:vAlign w:val="center"/>
          </w:tcPr>
          <w:p w14:paraId="35DCBADF">
            <w:pPr>
              <w:widowControl/>
              <w:jc w:val="center"/>
              <w:rPr>
                <w:rFonts w:hint="eastAsia"/>
                <w:color w:val="auto"/>
                <w:szCs w:val="21"/>
                <w:highlight w:val="none"/>
              </w:rPr>
            </w:pPr>
            <w:r>
              <w:rPr>
                <w:rFonts w:hint="eastAsia" w:ascii="宋体" w:hAnsi="宋体" w:cs="宋体"/>
                <w:i w:val="0"/>
                <w:iCs w:val="0"/>
                <w:color w:val="auto"/>
                <w:sz w:val="21"/>
                <w:szCs w:val="21"/>
                <w:highlight w:val="none"/>
                <w:u w:val="none"/>
                <w:lang w:val="en-US" w:eastAsia="zh-CN" w:bidi="ar"/>
              </w:rPr>
              <w:t>最高限价（元）</w:t>
            </w:r>
          </w:p>
        </w:tc>
        <w:tc>
          <w:tcPr>
            <w:tcW w:w="670" w:type="dxa"/>
            <w:shd w:val="clear" w:color="auto" w:fill="auto"/>
            <w:noWrap w:val="0"/>
            <w:vAlign w:val="center"/>
          </w:tcPr>
          <w:p w14:paraId="4BADAC4E">
            <w:pPr>
              <w:widowControl/>
              <w:jc w:val="center"/>
              <w:rPr>
                <w:rFonts w:ascii="Arial" w:hAnsi="Arial" w:eastAsia="宋体" w:cs="Arial"/>
                <w:bCs/>
                <w:color w:val="auto"/>
                <w:sz w:val="21"/>
                <w:szCs w:val="21"/>
                <w:highlight w:val="none"/>
                <w:lang w:val="en-US" w:eastAsia="zh-CN" w:bidi="ar-SA"/>
              </w:rPr>
            </w:pPr>
            <w:r>
              <w:rPr>
                <w:rFonts w:ascii="Arial" w:hAnsi="Arial" w:cs="Arial"/>
                <w:bCs/>
                <w:color w:val="auto"/>
                <w:szCs w:val="21"/>
                <w:highlight w:val="none"/>
              </w:rPr>
              <w:t>所属行业</w:t>
            </w:r>
          </w:p>
        </w:tc>
        <w:tc>
          <w:tcPr>
            <w:tcW w:w="6465" w:type="dxa"/>
            <w:noWrap w:val="0"/>
            <w:vAlign w:val="center"/>
          </w:tcPr>
          <w:p w14:paraId="4B36B7CB">
            <w:pPr>
              <w:widowControl/>
              <w:spacing w:line="240" w:lineRule="exact"/>
              <w:jc w:val="center"/>
              <w:rPr>
                <w:color w:val="auto"/>
                <w:szCs w:val="21"/>
                <w:highlight w:val="none"/>
              </w:rPr>
            </w:pPr>
            <w:r>
              <w:rPr>
                <w:color w:val="auto"/>
                <w:szCs w:val="21"/>
                <w:highlight w:val="none"/>
              </w:rPr>
              <w:t>技术</w:t>
            </w:r>
            <w:r>
              <w:rPr>
                <w:rFonts w:hint="eastAsia"/>
                <w:color w:val="auto"/>
                <w:szCs w:val="21"/>
                <w:highlight w:val="none"/>
              </w:rPr>
              <w:t>指标要求</w:t>
            </w:r>
          </w:p>
        </w:tc>
      </w:tr>
      <w:tr w14:paraId="43E10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62DA3398">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rPr>
              <w:t>1</w:t>
            </w:r>
          </w:p>
        </w:tc>
        <w:tc>
          <w:tcPr>
            <w:tcW w:w="1190" w:type="dxa"/>
            <w:noWrap w:val="0"/>
            <w:vAlign w:val="center"/>
          </w:tcPr>
          <w:p w14:paraId="217EC09C">
            <w:pPr>
              <w:widowControl/>
              <w:jc w:val="center"/>
              <w:rPr>
                <w:rFonts w:hint="eastAsia" w:ascii="Arial" w:hAnsi="Arial" w:eastAsia="宋体" w:cs="Arial"/>
                <w:bCs/>
                <w:color w:val="auto"/>
                <w:szCs w:val="21"/>
                <w:highlight w:val="none"/>
                <w:lang w:eastAsia="zh-CN"/>
              </w:rPr>
            </w:pPr>
            <w:r>
              <w:rPr>
                <w:rFonts w:hint="eastAsia" w:ascii="Arial" w:hAnsi="Arial" w:eastAsia="宋体" w:cs="Arial"/>
                <w:bCs/>
                <w:color w:val="auto"/>
                <w:szCs w:val="21"/>
                <w:highlight w:val="none"/>
                <w:lang w:val="en-US" w:eastAsia="zh-CN"/>
              </w:rPr>
              <w:t>麻醉机1</w:t>
            </w:r>
          </w:p>
        </w:tc>
        <w:tc>
          <w:tcPr>
            <w:tcW w:w="504" w:type="dxa"/>
            <w:tcBorders>
              <w:right w:val="single" w:color="auto" w:sz="4" w:space="0"/>
            </w:tcBorders>
            <w:noWrap w:val="0"/>
            <w:vAlign w:val="center"/>
          </w:tcPr>
          <w:p w14:paraId="1CE0BB27">
            <w:pPr>
              <w:widowControl/>
              <w:jc w:val="center"/>
              <w:rPr>
                <w:rFonts w:hint="eastAsia" w:ascii="Arial" w:hAnsi="Arial" w:eastAsia="宋体" w:cs="Arial"/>
                <w:bCs/>
                <w:color w:val="auto"/>
                <w:szCs w:val="21"/>
                <w:highlight w:val="none"/>
                <w:lang w:eastAsia="zh-CN"/>
              </w:rPr>
            </w:pPr>
            <w:r>
              <w:rPr>
                <w:rFonts w:hint="eastAsia" w:ascii="Arial" w:hAnsi="Arial" w:eastAsia="宋体" w:cs="Arial"/>
                <w:bCs/>
                <w:color w:val="auto"/>
                <w:szCs w:val="21"/>
                <w:highlight w:val="none"/>
                <w:lang w:val="en-US" w:eastAsia="zh-CN"/>
              </w:rPr>
              <w:t>3</w:t>
            </w:r>
          </w:p>
        </w:tc>
        <w:tc>
          <w:tcPr>
            <w:tcW w:w="507" w:type="dxa"/>
            <w:noWrap w:val="0"/>
            <w:vAlign w:val="center"/>
          </w:tcPr>
          <w:p w14:paraId="27B4CDC8">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79AF7A51">
            <w:pPr>
              <w:widowControl/>
              <w:jc w:val="center"/>
              <w:rPr>
                <w:rFonts w:hint="default" w:ascii="Arial" w:hAnsi="Arial" w:cs="Arial"/>
                <w:bCs/>
                <w:color w:val="auto"/>
                <w:szCs w:val="21"/>
                <w:highlight w:val="none"/>
                <w:lang w:val="en-US"/>
              </w:rPr>
            </w:pPr>
            <w:r>
              <w:rPr>
                <w:rFonts w:hint="eastAsia" w:ascii="Arial" w:hAnsi="Arial" w:cs="Arial"/>
                <w:bCs/>
                <w:color w:val="auto"/>
                <w:szCs w:val="21"/>
                <w:highlight w:val="none"/>
                <w:lang w:val="en-US" w:eastAsia="zh-CN"/>
              </w:rPr>
              <w:t>210</w:t>
            </w:r>
            <w:ins w:id="20" w:author="JDZBzheng" w:date="2026-06-30T12:20:15Z">
              <w:r>
                <w:rPr>
                  <w:rFonts w:hint="eastAsia" w:ascii="Arial" w:hAnsi="Arial" w:cs="Arial"/>
                  <w:bCs/>
                  <w:color w:val="auto"/>
                  <w:szCs w:val="21"/>
                  <w:highlight w:val="none"/>
                  <w:lang w:val="en-US" w:eastAsia="zh-CN"/>
                </w:rPr>
                <w:t>0</w:t>
              </w:r>
            </w:ins>
            <w:ins w:id="21" w:author="JDZBzheng" w:date="2026-06-30T12:20:16Z">
              <w:r>
                <w:rPr>
                  <w:rFonts w:hint="eastAsia" w:ascii="Arial" w:hAnsi="Arial" w:cs="Arial"/>
                  <w:bCs/>
                  <w:color w:val="auto"/>
                  <w:szCs w:val="21"/>
                  <w:highlight w:val="none"/>
                  <w:lang w:val="en-US" w:eastAsia="zh-CN"/>
                </w:rPr>
                <w:t>00</w:t>
              </w:r>
            </w:ins>
            <w:ins w:id="22" w:author="JDZBzheng" w:date="2026-06-30T12:20:20Z">
              <w:r>
                <w:rPr>
                  <w:rFonts w:hint="eastAsia" w:ascii="Arial" w:hAnsi="Arial" w:cs="Arial"/>
                  <w:bCs/>
                  <w:color w:val="auto"/>
                  <w:szCs w:val="21"/>
                  <w:highlight w:val="none"/>
                  <w:lang w:val="en-US" w:eastAsia="zh-CN"/>
                </w:rPr>
                <w:t>0</w:t>
              </w:r>
            </w:ins>
            <w:ins w:id="23" w:author="JDZBzheng" w:date="2026-06-30T12:20:21Z">
              <w:r>
                <w:rPr>
                  <w:rFonts w:hint="eastAsia" w:ascii="Arial" w:hAnsi="Arial" w:cs="Arial"/>
                  <w:bCs/>
                  <w:color w:val="auto"/>
                  <w:szCs w:val="21"/>
                  <w:highlight w:val="none"/>
                  <w:lang w:val="en-US" w:eastAsia="zh-CN"/>
                </w:rPr>
                <w:t>.00</w:t>
              </w:r>
            </w:ins>
          </w:p>
        </w:tc>
        <w:tc>
          <w:tcPr>
            <w:tcW w:w="670" w:type="dxa"/>
            <w:shd w:val="clear" w:color="auto" w:fill="auto"/>
            <w:noWrap w:val="0"/>
            <w:vAlign w:val="center"/>
          </w:tcPr>
          <w:p w14:paraId="7FF13415">
            <w:pPr>
              <w:widowControl/>
              <w:jc w:val="center"/>
              <w:rPr>
                <w:rFonts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rPr>
              <w:t>工业</w:t>
            </w:r>
          </w:p>
        </w:tc>
        <w:tc>
          <w:tcPr>
            <w:tcW w:w="6465" w:type="dxa"/>
            <w:noWrap w:val="0"/>
            <w:vAlign w:val="center"/>
          </w:tcPr>
          <w:p w14:paraId="1608FBBC">
            <w:pPr>
              <w:adjustRightInd w:val="0"/>
              <w:ind w:firstLine="0" w:firstLineChars="0"/>
              <w:rPr>
                <w:rFonts w:hint="eastAsia" w:ascii="宋体" w:hAnsi="宋体" w:eastAsia="宋体" w:cs="宋体"/>
                <w:color w:val="auto"/>
                <w:sz w:val="21"/>
                <w:szCs w:val="21"/>
                <w:highlight w:val="none"/>
              </w:rPr>
            </w:pPr>
            <w:bookmarkStart w:id="23" w:name="OLE_LINK1"/>
            <w:bookmarkStart w:id="24" w:name="OLE_LINK2"/>
            <w:r>
              <w:rPr>
                <w:rFonts w:hint="eastAsia" w:ascii="宋体" w:hAnsi="宋体" w:eastAsia="宋体" w:cs="宋体"/>
                <w:color w:val="auto"/>
                <w:sz w:val="21"/>
                <w:szCs w:val="21"/>
                <w:highlight w:val="none"/>
              </w:rPr>
              <w:t>1.配置需求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全能麻醉系统</w:t>
            </w:r>
          </w:p>
          <w:p w14:paraId="660D6EFF">
            <w:pPr>
              <w:adjustRightInd w:val="0"/>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2.技术要求</w:t>
            </w:r>
            <w:r>
              <w:rPr>
                <w:rFonts w:hint="eastAsia" w:ascii="宋体" w:hAnsi="宋体" w:eastAsia="宋体" w:cs="宋体"/>
                <w:color w:val="auto"/>
                <w:sz w:val="21"/>
                <w:szCs w:val="21"/>
                <w:highlight w:val="none"/>
                <w:lang w:eastAsia="zh-CN"/>
              </w:rPr>
              <w:t>：</w:t>
            </w:r>
          </w:p>
          <w:p w14:paraId="1493FF00">
            <w:pPr>
              <w:adjustRightInd w:val="0"/>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2.1一般要求</w:t>
            </w:r>
          </w:p>
          <w:p w14:paraId="09955155">
            <w:pPr>
              <w:adjustRightInd w:val="0"/>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2.1.1工作环境，温度：10℃-40℃，湿度：15-95%</w:t>
            </w:r>
          </w:p>
          <w:p w14:paraId="797A38C0">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2.1.2标配≥4个辅助电源接口。</w:t>
            </w:r>
          </w:p>
          <w:p w14:paraId="457CC725">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2.1.3接口：≥1个LAN接口支持网络和软件升级,≥1个RS-232 接口，≥1个视频信号接口，≥2个USB接口；可选配基于无线网卡的网路接口。</w:t>
            </w:r>
          </w:p>
          <w:p w14:paraId="467F97E4">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2.1.4机架：中央刹车系统，大脚轮配有防缆线缠绕功能，带工作台侧栏杆推车，折叠辅助工作台。</w:t>
            </w:r>
          </w:p>
          <w:p w14:paraId="6A812683">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2.1.5显示屏可360度旋转，俯仰角度可调节。</w:t>
            </w:r>
          </w:p>
          <w:p w14:paraId="53CE50C5">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2.1.6适合内窥镜手术模式：具备工作台照明光，且亮度可调，能够在黑暗环境中提供麻醉机工作台面照明。</w:t>
            </w:r>
          </w:p>
          <w:p w14:paraId="41F7BFC3">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2.1.7用于对成人、儿童和新生儿的吸入麻醉及呼吸管理。</w:t>
            </w:r>
          </w:p>
          <w:p w14:paraId="1C7110F8">
            <w:pPr>
              <w:adjustRightInd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2.2气源</w:t>
            </w:r>
          </w:p>
          <w:p w14:paraId="002400DF">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2.2.1标配氧气、空气两气源，可选氧气、空气和笑气三气源。</w:t>
            </w:r>
          </w:p>
          <w:p w14:paraId="0BDA390A">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2.2.2快速充氧范围：25-75L/min</w:t>
            </w:r>
          </w:p>
          <w:p w14:paraId="313300F7">
            <w:pPr>
              <w:numPr>
                <w:ilvl w:val="0"/>
                <w:numId w:val="0"/>
              </w:numPr>
              <w:adjustRightInd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2.3流量计</w:t>
            </w:r>
          </w:p>
          <w:p w14:paraId="36D2E201">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2.3.1全电子流量计(可直接设置氧浓度和总流量) （总流量控制模式下总流量范围：0.2-20 L/min。O₂浓度范围：21% - 100% (空气为平衡气)，26% - 100% (笑气为平衡气)。</w:t>
            </w:r>
          </w:p>
          <w:p w14:paraId="4220A4B1">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2.3.2具备备用流量计。</w:t>
            </w:r>
          </w:p>
          <w:p w14:paraId="59D60A2E">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2.3.3具备直观的适宜低流量麻醉的新鲜气体流量指示工具。</w:t>
            </w:r>
          </w:p>
          <w:p w14:paraId="4D98AFE9">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2.3.4具备新鲜气体流量暂停功能，方便吸痰等操作</w:t>
            </w:r>
          </w:p>
          <w:p w14:paraId="046A34E9">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▲2.3.5具备辅助吸氧流量计，配置高流量给氧功能或单机，流量范围：2-60 L/min</w:t>
            </w:r>
            <w:r>
              <w:rPr>
                <w:rFonts w:hint="eastAsia" w:ascii="宋体" w:hAnsi="宋体" w:eastAsia="宋体" w:cs="宋体"/>
                <w:b/>
                <w:color w:val="auto"/>
                <w:sz w:val="21"/>
                <w:szCs w:val="21"/>
                <w:highlight w:val="none"/>
                <w:lang w:val="en-US" w:eastAsia="zh-CN"/>
              </w:rPr>
              <w:t>或</w:t>
            </w:r>
            <w:r>
              <w:rPr>
                <w:rFonts w:hint="eastAsia" w:ascii="宋体" w:hAnsi="宋体" w:eastAsia="宋体" w:cs="宋体"/>
                <w:b/>
                <w:color w:val="auto"/>
                <w:sz w:val="21"/>
                <w:szCs w:val="21"/>
                <w:highlight w:val="none"/>
              </w:rPr>
              <w:t>选配高流量模块，氧浓度设置范围：21~100%。</w:t>
            </w:r>
          </w:p>
          <w:p w14:paraId="184C0F2D">
            <w:pPr>
              <w:adjustRightInd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2.4挥发罐</w:t>
            </w:r>
          </w:p>
          <w:p w14:paraId="22E19A38">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2.4.1标配双麻醉罐位</w:t>
            </w:r>
          </w:p>
          <w:p w14:paraId="21F28C8D">
            <w:pPr>
              <w:adjustRightInd w:val="0"/>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2.4.2标配七氟醚挥发罐，挥发罐和主机同品牌，具备压力、流速和温度补偿</w:t>
            </w:r>
            <w:r>
              <w:rPr>
                <w:rFonts w:hint="eastAsia" w:ascii="宋体" w:hAnsi="宋体" w:eastAsia="宋体" w:cs="宋体"/>
                <w:color w:val="auto"/>
                <w:sz w:val="21"/>
                <w:szCs w:val="21"/>
                <w:highlight w:val="none"/>
                <w:lang w:eastAsia="zh-CN"/>
              </w:rPr>
              <w:t>。</w:t>
            </w:r>
          </w:p>
          <w:p w14:paraId="5956F658">
            <w:pPr>
              <w:adjustRightInd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2.5呼吸回路</w:t>
            </w:r>
          </w:p>
          <w:p w14:paraId="4311C87C">
            <w:pPr>
              <w:adjustRightInd w:val="0"/>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2.5.1一体化集成回路，具有可观测的吸气呼气单向阀，机械气道压力表以及手动/机控切换开关。</w:t>
            </w:r>
          </w:p>
          <w:p w14:paraId="63373005">
            <w:pPr>
              <w:adjustRightInd w:val="0"/>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2.5.2回路部件可以耐受</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134℃高温高压消毒以避免院内交叉感染(包括流量传感器)。</w:t>
            </w:r>
          </w:p>
          <w:p w14:paraId="1B085A13">
            <w:pPr>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2.5.3内置双流量传感器，分别在吸入端，呼出端，流量传感器用户无需工具可自行校准。</w:t>
            </w:r>
          </w:p>
          <w:p w14:paraId="4B6B3BB0">
            <w:pPr>
              <w:adjustRightInd w:val="0"/>
              <w:spacing w:line="360" w:lineRule="auto"/>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2.5.4具有回路整体加温功能，保证回路不受积水影响，保证流量传感器</w:t>
            </w:r>
            <w:ins w:id="24" w:author="JDZBzheng" w:date="2026-06-30T11:10:14Z">
              <w:r>
                <w:rPr>
                  <w:rFonts w:hint="eastAsia" w:ascii="宋体" w:hAnsi="宋体" w:eastAsia="宋体" w:cs="宋体"/>
                  <w:color w:val="auto"/>
                  <w:sz w:val="21"/>
                  <w:szCs w:val="21"/>
                  <w:highlight w:val="none"/>
                  <w:lang w:eastAsia="zh-CN"/>
                </w:rPr>
                <w:t>精准</w:t>
              </w:r>
            </w:ins>
            <w:r>
              <w:rPr>
                <w:rFonts w:hint="eastAsia" w:ascii="宋体" w:hAnsi="宋体" w:eastAsia="宋体" w:cs="宋体"/>
                <w:color w:val="auto"/>
                <w:sz w:val="21"/>
                <w:szCs w:val="21"/>
                <w:highlight w:val="none"/>
              </w:rPr>
              <w:t>向病人提供温暖气体，避免对呼吸道的刺激</w:t>
            </w:r>
            <w:ins w:id="25" w:author="WPS_1671279749" w:date="2026-06-30T14:19:13Z">
              <w:r>
                <w:rPr>
                  <w:rFonts w:hint="eastAsia" w:ascii="宋体" w:hAnsi="宋体" w:eastAsia="宋体" w:cs="宋体"/>
                  <w:color w:val="auto"/>
                  <w:sz w:val="21"/>
                  <w:szCs w:val="21"/>
                  <w:highlight w:val="none"/>
                  <w:lang w:eastAsia="zh-CN"/>
                </w:rPr>
                <w:t>。</w:t>
              </w:r>
            </w:ins>
          </w:p>
          <w:p w14:paraId="655D4727">
            <w:pPr>
              <w:adjustRightInd w:val="0"/>
              <w:spacing w:line="360" w:lineRule="auto"/>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2.5.5标配CO₂旁路功能，在机械通气过程中，更换钠石灰罐无需关停机械通气，可方便直接更换</w:t>
            </w:r>
            <w:ins w:id="26" w:author="WPS_1671279749" w:date="2026-06-30T14:19:15Z">
              <w:r>
                <w:rPr>
                  <w:rFonts w:hint="eastAsia" w:ascii="宋体" w:hAnsi="宋体" w:eastAsia="宋体" w:cs="宋体"/>
                  <w:color w:val="auto"/>
                  <w:sz w:val="21"/>
                  <w:szCs w:val="21"/>
                  <w:highlight w:val="none"/>
                  <w:lang w:eastAsia="zh-CN"/>
                </w:rPr>
                <w:t>。</w:t>
              </w:r>
            </w:ins>
          </w:p>
          <w:p w14:paraId="1C19BC63">
            <w:pPr>
              <w:numPr>
                <w:ilvl w:val="0"/>
                <w:numId w:val="0"/>
              </w:numPr>
              <w:adjustRightInd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2.6呼吸机 </w:t>
            </w:r>
          </w:p>
          <w:p w14:paraId="667A01F5">
            <w:pPr>
              <w:adjustRightInd w:val="0"/>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2.6.1气动电控呼吸机，全中文操作和显示</w:t>
            </w:r>
          </w:p>
          <w:p w14:paraId="0B4295B2">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2.6.2提供辅助/控制通气，标配通气模式：VCV、PCV、压力控制容量保证通气（PCV-VG）和SIMV（SIMV-VC、SIMV-PC）、PS模式，可选配/升级SIMV-VG、CPAP/PS、APRV、AMV模式</w:t>
            </w:r>
          </w:p>
          <w:p w14:paraId="17ED9A80">
            <w:pPr>
              <w:adjustRightInd w:val="0"/>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2.6.3潮气量设置范围：5ml-1500 ml</w:t>
            </w:r>
          </w:p>
          <w:p w14:paraId="37D6B1D7">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2.6.4吸气压力设置范围：3-80cmH₂O</w:t>
            </w:r>
          </w:p>
          <w:p w14:paraId="0F258FD4">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2.6.5支持压力：0，3cmH₂O～60cmH₂O</w:t>
            </w:r>
          </w:p>
          <w:p w14:paraId="38FF1572">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2.6.6呼吸频率：2-100次/分钟</w:t>
            </w:r>
          </w:p>
          <w:p w14:paraId="7EA4BBD3">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2.6.7吸呼比：4:1到1:10</w:t>
            </w:r>
          </w:p>
          <w:p w14:paraId="24FAED2A">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2.6.8压力限制范围：10-100cmH₂O</w:t>
            </w:r>
          </w:p>
          <w:p w14:paraId="2A4FCCBB">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2.6.9电子PEEP，显示屏设置，范围：OFF，2-50 cmH₂O</w:t>
            </w:r>
          </w:p>
          <w:p w14:paraId="3479333A">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2.6.10具备吸入端，呼出端双流量传感器，实现动态潮气量实时自动补偿功能，补偿新鲜气体变化、气体压缩、回路顺应性变化以及小的回路泄漏造成的吸入潮气量和设置潮气量的误差。具备内置第三基准流量传感器，用户可自行校准吸入和呼出端流量传感器。</w:t>
            </w:r>
          </w:p>
          <w:p w14:paraId="1FECC3AC">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2.6.11具备心肺旁流模式CPB, 且心肺旁流模式可在手动通气模式和机控通气模式下启动。</w:t>
            </w:r>
          </w:p>
          <w:p w14:paraId="385B9347">
            <w:pPr>
              <w:adjustRightInd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▲2.6.12配吸气保持和呼气保持功能，自动计算静态顺应性Cstat，吸气阻力Ri，内源性呼气末正压等参数。</w:t>
            </w:r>
          </w:p>
          <w:p w14:paraId="60E709B4">
            <w:pPr>
              <w:adjustRightInd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●2.6.13</w:t>
            </w:r>
            <w:r>
              <w:rPr>
                <w:rFonts w:hint="eastAsia" w:ascii="宋体" w:hAnsi="宋体" w:eastAsia="宋体" w:cs="宋体"/>
                <w:b/>
                <w:color w:val="auto"/>
                <w:sz w:val="21"/>
                <w:szCs w:val="21"/>
                <w:highlight w:val="none"/>
                <w:lang w:val="en-US" w:eastAsia="zh-CN"/>
              </w:rPr>
              <w:t>支持</w:t>
            </w:r>
            <w:r>
              <w:rPr>
                <w:rFonts w:hint="eastAsia" w:ascii="宋体" w:hAnsi="宋体" w:eastAsia="宋体" w:cs="宋体"/>
                <w:b/>
                <w:color w:val="auto"/>
                <w:sz w:val="21"/>
                <w:szCs w:val="21"/>
                <w:highlight w:val="none"/>
              </w:rPr>
              <w:t>喷射通气功能，支持单频率喷射通气和高频叠加常频喷射通气模式。</w:t>
            </w:r>
          </w:p>
          <w:p w14:paraId="349772C0">
            <w:pPr>
              <w:adjustRightInd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2.7数字和波形监测</w:t>
            </w:r>
          </w:p>
          <w:p w14:paraId="6E059FCD">
            <w:pPr>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2.7.1具备三级声光报警功能，有独立红黄报警灯显示</w:t>
            </w:r>
          </w:p>
          <w:p w14:paraId="5AD4408E">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2.7.2</w:t>
            </w:r>
            <w:r>
              <w:rPr>
                <w:rFonts w:hint="eastAsia" w:ascii="宋体" w:hAnsi="宋体" w:eastAsia="宋体" w:cs="宋体"/>
                <w:color w:val="auto"/>
                <w:sz w:val="21"/>
                <w:szCs w:val="21"/>
                <w:highlight w:val="none"/>
                <w:lang w:val="en-US" w:eastAsia="zh-CN"/>
              </w:rPr>
              <w:t>≥15.6英寸</w:t>
            </w:r>
            <w:r>
              <w:rPr>
                <w:rFonts w:hint="eastAsia" w:ascii="宋体" w:hAnsi="宋体" w:eastAsia="宋体" w:cs="宋体"/>
                <w:color w:val="auto"/>
                <w:sz w:val="21"/>
                <w:szCs w:val="21"/>
                <w:highlight w:val="none"/>
              </w:rPr>
              <w:t>彩色触摸屏，可同屏显示波形和呼吸环图</w:t>
            </w:r>
          </w:p>
          <w:p w14:paraId="69B9403F">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2.7.3电容触摸屏，支持手势操作</w:t>
            </w:r>
          </w:p>
          <w:p w14:paraId="07B58F3E">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2.7.4内置3个或以上槽位插件槽，可直接热插拔插件</w:t>
            </w:r>
          </w:p>
          <w:p w14:paraId="69E67A7A">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2.7.5插件可在同品牌监护仪和麻醉机之间通用</w:t>
            </w:r>
          </w:p>
          <w:p w14:paraId="4E503E60">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●2.7.6可配备插件：AG麻醉气体模块、 BIS（BISx4）、NMT，可单独选配EtCO</w:t>
            </w:r>
            <w:r>
              <w:rPr>
                <w:rFonts w:hint="eastAsia" w:ascii="宋体" w:hAnsi="宋体" w:eastAsia="宋体" w:cs="宋体"/>
                <w:color w:val="auto"/>
                <w:sz w:val="21"/>
                <w:szCs w:val="21"/>
                <w:highlight w:val="none"/>
                <w:vertAlign w:val="subscript"/>
              </w:rPr>
              <w:t>2</w:t>
            </w:r>
            <w:r>
              <w:rPr>
                <w:rFonts w:hint="eastAsia" w:ascii="宋体" w:hAnsi="宋体" w:eastAsia="宋体" w:cs="宋体"/>
                <w:color w:val="auto"/>
                <w:sz w:val="21"/>
                <w:szCs w:val="21"/>
                <w:highlight w:val="none"/>
              </w:rPr>
              <w:t>插件，以适应全凭静脉无需监测麻醉气体的需求。配置NMT监测模块，提供四种刺激模式，满足病人肌松药物监测</w:t>
            </w:r>
          </w:p>
          <w:p w14:paraId="727215B4">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●2.7.7可选监测参数：呼吸频率、潮气量、分钟通气量、吸呼比、气道压（峰压、平台压、平均压、PEEP）、气道阻力、顺应性、弹性、驱动压、机械能；麻醉气体分析（N₂O，EtCO₂，自动识别</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五种麻醉气体吸入呼出浓度监测）、呼吸环（P-V，P-F）监测；可选配氧电池法吸入氧浓度监测、BIS（BISx4）监测、NMT监测</w:t>
            </w:r>
          </w:p>
          <w:p w14:paraId="02E5F0A1">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2.7.8同屏幕4通道波形显示（压力时间波形，流速时间波形，容量时间波形，CO₂或麻醉气体浓度波形）</w:t>
            </w:r>
          </w:p>
          <w:p w14:paraId="74FE87CA">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2.7.9潮气量监测范围：0-3000ml。</w:t>
            </w:r>
          </w:p>
          <w:p w14:paraId="539EF874">
            <w:pPr>
              <w:adjustRightInd w:val="0"/>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2.7.10分钟通气量监测范围：0-100L/min。</w:t>
            </w:r>
          </w:p>
          <w:p w14:paraId="0C344F93">
            <w:pPr>
              <w:adjustRightInd w:val="0"/>
              <w:spacing w:line="360" w:lineRule="auto"/>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2.7.11可视化报警，技术报警提示中对于导致报警的原因</w:t>
            </w:r>
            <w:ins w:id="27" w:author="JDZBzheng" w:date="2026-06-30T11:10:25Z">
              <w:r>
                <w:rPr>
                  <w:rFonts w:hint="eastAsia" w:ascii="宋体" w:hAnsi="宋体" w:eastAsia="宋体" w:cs="宋体"/>
                  <w:color w:val="auto"/>
                  <w:sz w:val="21"/>
                  <w:szCs w:val="21"/>
                  <w:highlight w:val="none"/>
                  <w:lang w:eastAsia="zh-CN"/>
                </w:rPr>
                <w:t>给予</w:t>
              </w:r>
            </w:ins>
            <w:r>
              <w:rPr>
                <w:rFonts w:hint="eastAsia" w:ascii="宋体" w:hAnsi="宋体" w:eastAsia="宋体" w:cs="宋体"/>
                <w:color w:val="auto"/>
                <w:sz w:val="21"/>
                <w:szCs w:val="21"/>
                <w:highlight w:val="none"/>
              </w:rPr>
              <w:t>文字和图形提示，具备自动</w:t>
            </w:r>
            <w:ins w:id="28" w:author="JDZBzheng" w:date="2026-06-30T11:10:33Z">
              <w:r>
                <w:rPr>
                  <w:rFonts w:hint="eastAsia" w:ascii="宋体" w:hAnsi="宋体" w:eastAsia="宋体" w:cs="宋体"/>
                  <w:color w:val="auto"/>
                  <w:sz w:val="21"/>
                  <w:szCs w:val="21"/>
                  <w:highlight w:val="none"/>
                  <w:lang w:eastAsia="zh-CN"/>
                </w:rPr>
                <w:t>报警</w:t>
              </w:r>
            </w:ins>
            <w:r>
              <w:rPr>
                <w:rFonts w:hint="eastAsia" w:ascii="宋体" w:hAnsi="宋体" w:eastAsia="宋体" w:cs="宋体"/>
                <w:color w:val="auto"/>
                <w:sz w:val="21"/>
                <w:szCs w:val="21"/>
                <w:highlight w:val="none"/>
              </w:rPr>
              <w:t>功能</w:t>
            </w:r>
            <w:r>
              <w:rPr>
                <w:rFonts w:hint="eastAsia" w:ascii="宋体" w:hAnsi="宋体" w:eastAsia="宋体" w:cs="宋体"/>
                <w:color w:val="auto"/>
                <w:sz w:val="21"/>
                <w:szCs w:val="21"/>
                <w:highlight w:val="none"/>
                <w:lang w:eastAsia="zh-CN"/>
              </w:rPr>
              <w:t>。</w:t>
            </w:r>
          </w:p>
          <w:p w14:paraId="60B7B47A">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2.7.12图示化自检，系统自检失败时给于文字和图示提醒可能出错的原因。</w:t>
            </w:r>
            <w:bookmarkEnd w:id="23"/>
            <w:bookmarkEnd w:id="24"/>
          </w:p>
        </w:tc>
      </w:tr>
      <w:tr w14:paraId="28B25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77BDE5D1">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2</w:t>
            </w:r>
          </w:p>
        </w:tc>
        <w:tc>
          <w:tcPr>
            <w:tcW w:w="1190" w:type="dxa"/>
            <w:noWrap w:val="0"/>
            <w:vAlign w:val="center"/>
          </w:tcPr>
          <w:p w14:paraId="2A695FA5">
            <w:pPr>
              <w:widowControl/>
              <w:jc w:val="center"/>
              <w:rPr>
                <w:rFonts w:hint="eastAsia" w:ascii="Arial" w:hAnsi="Arial" w:eastAsia="宋体" w:cs="Arial"/>
                <w:bCs/>
                <w:color w:val="auto"/>
                <w:szCs w:val="21"/>
                <w:highlight w:val="none"/>
                <w:lang w:eastAsia="zh-CN"/>
              </w:rPr>
            </w:pPr>
            <w:r>
              <w:rPr>
                <w:rFonts w:hint="eastAsia" w:ascii="Arial" w:hAnsi="Arial" w:eastAsia="宋体" w:cs="Arial"/>
                <w:bCs/>
                <w:color w:val="auto"/>
                <w:szCs w:val="21"/>
                <w:highlight w:val="none"/>
                <w:lang w:val="en-US" w:eastAsia="zh-CN"/>
              </w:rPr>
              <w:t>麻醉机2</w:t>
            </w:r>
          </w:p>
        </w:tc>
        <w:tc>
          <w:tcPr>
            <w:tcW w:w="504" w:type="dxa"/>
            <w:tcBorders>
              <w:right w:val="single" w:color="auto" w:sz="4" w:space="0"/>
            </w:tcBorders>
            <w:noWrap w:val="0"/>
            <w:vAlign w:val="center"/>
          </w:tcPr>
          <w:p w14:paraId="6F07259A">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2</w:t>
            </w:r>
          </w:p>
        </w:tc>
        <w:tc>
          <w:tcPr>
            <w:tcW w:w="507" w:type="dxa"/>
            <w:noWrap w:val="0"/>
            <w:vAlign w:val="center"/>
          </w:tcPr>
          <w:p w14:paraId="6A91536A">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196E20FE">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116</w:t>
            </w:r>
            <w:ins w:id="29" w:author="JDZBzheng" w:date="2026-06-30T12:20:38Z">
              <w:r>
                <w:rPr>
                  <w:rFonts w:hint="eastAsia" w:ascii="宋体" w:hAnsi="宋体" w:cs="宋体"/>
                  <w:i w:val="0"/>
                  <w:iCs w:val="0"/>
                  <w:color w:val="auto"/>
                  <w:sz w:val="22"/>
                  <w:szCs w:val="22"/>
                  <w:highlight w:val="none"/>
                  <w:u w:val="none"/>
                  <w:lang w:val="en-US" w:eastAsia="zh-CN" w:bidi="ar"/>
                </w:rPr>
                <w:t>00</w:t>
              </w:r>
            </w:ins>
            <w:ins w:id="30" w:author="JDZBzheng" w:date="2026-06-30T12:20:39Z">
              <w:r>
                <w:rPr>
                  <w:rFonts w:hint="eastAsia" w:ascii="宋体" w:hAnsi="宋体" w:cs="宋体"/>
                  <w:i w:val="0"/>
                  <w:iCs w:val="0"/>
                  <w:color w:val="auto"/>
                  <w:sz w:val="22"/>
                  <w:szCs w:val="22"/>
                  <w:highlight w:val="none"/>
                  <w:u w:val="none"/>
                  <w:lang w:val="en-US" w:eastAsia="zh-CN" w:bidi="ar"/>
                </w:rPr>
                <w:t>00.</w:t>
              </w:r>
            </w:ins>
            <w:ins w:id="31" w:author="JDZBzheng" w:date="2026-06-30T12:20:40Z">
              <w:r>
                <w:rPr>
                  <w:rFonts w:hint="eastAsia" w:ascii="宋体" w:hAnsi="宋体" w:cs="宋体"/>
                  <w:i w:val="0"/>
                  <w:iCs w:val="0"/>
                  <w:color w:val="auto"/>
                  <w:sz w:val="22"/>
                  <w:szCs w:val="22"/>
                  <w:highlight w:val="none"/>
                  <w:u w:val="none"/>
                  <w:lang w:val="en-US" w:eastAsia="zh-CN" w:bidi="ar"/>
                </w:rPr>
                <w:t>00</w:t>
              </w:r>
            </w:ins>
          </w:p>
        </w:tc>
        <w:tc>
          <w:tcPr>
            <w:tcW w:w="670" w:type="dxa"/>
            <w:shd w:val="clear" w:color="auto" w:fill="auto"/>
            <w:noWrap w:val="0"/>
            <w:vAlign w:val="center"/>
          </w:tcPr>
          <w:p w14:paraId="012AD127">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14DB708A">
            <w:pPr>
              <w:wordWrap w:val="0"/>
              <w:spacing w:line="440" w:lineRule="exact"/>
              <w:rPr>
                <w:rFonts w:hint="eastAsia" w:ascii="宋体" w:hAnsi="宋体" w:eastAsia="宋体" w:cs="宋体"/>
                <w:b/>
                <w:bCs/>
                <w:color w:val="auto"/>
                <w:sz w:val="21"/>
                <w:szCs w:val="21"/>
                <w:highlight w:val="none"/>
              </w:rPr>
            </w:pPr>
            <w:bookmarkStart w:id="25" w:name="OLE_LINK4"/>
            <w:bookmarkStart w:id="26" w:name="OLE_LINK6"/>
            <w:bookmarkStart w:id="27" w:name="OLE_LINK5"/>
            <w:bookmarkStart w:id="28" w:name="OLE_LINK3"/>
            <w:r>
              <w:rPr>
                <w:rFonts w:hint="eastAsia" w:ascii="宋体" w:hAnsi="宋体" w:eastAsia="宋体" w:cs="宋体"/>
                <w:b/>
                <w:bCs/>
                <w:color w:val="auto"/>
                <w:sz w:val="21"/>
                <w:szCs w:val="21"/>
                <w:highlight w:val="none"/>
              </w:rPr>
              <w:t>（一）主机部分</w:t>
            </w:r>
          </w:p>
          <w:p w14:paraId="42FA7E8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1.工作温度：10-40°C，相对湿度≤93%；</w:t>
            </w:r>
          </w:p>
          <w:p w14:paraId="38E2E41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▲2.≥15英寸彩色触摸屏，屏幕支持多角度俯仰旋转，屏幕旋转角度≥180°。要求在投标文件中提供所投产品的实物图片证明以上内容；</w:t>
            </w:r>
          </w:p>
          <w:p w14:paraId="34CE0A4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3.电气一体化开关，具有开机自检、快速启动功能、待机功能，关机10秒延迟提醒；</w:t>
            </w:r>
          </w:p>
          <w:p w14:paraId="01A3D50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4.后备锂电池，使用时间≥150分钟</w:t>
            </w:r>
          </w:p>
          <w:p w14:paraId="691AF7B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5.具有5个以上辅助网电源插座，分别为：1个交流电源接口，4个辅助输出电源接口；≥1个RJ45接口，≥4个USB接口，≥1个DB9接口，VGA接口，为围术期设备提供电源支持；</w:t>
            </w:r>
          </w:p>
          <w:p w14:paraId="6D07A67D">
            <w:pPr>
              <w:wordWrap w:val="0"/>
              <w:spacing w:line="44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(二）模块方面</w:t>
            </w:r>
          </w:p>
          <w:p w14:paraId="0EEA3B5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1.主机机身具备个≥3模块插槽，可与同品牌的插件式监护仪实现模块共享。监测CO2、AG、BIS、O2、EEG等监测；</w:t>
            </w:r>
          </w:p>
          <w:p w14:paraId="05113E6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2.具有单独注册证的AGSS废气回收系统，自主吸引</w:t>
            </w:r>
            <w:r>
              <w:rPr>
                <w:rFonts w:hint="eastAsia" w:ascii="宋体" w:hAnsi="宋体" w:cs="宋体"/>
                <w:color w:val="auto"/>
                <w:sz w:val="21"/>
                <w:szCs w:val="21"/>
                <w:highlight w:val="none"/>
                <w:lang w:eastAsia="zh-CN"/>
              </w:rPr>
              <w:t>废气</w:t>
            </w:r>
            <w:r>
              <w:rPr>
                <w:rFonts w:hint="eastAsia" w:ascii="宋体" w:hAnsi="宋体" w:eastAsia="宋体" w:cs="宋体"/>
                <w:color w:val="auto"/>
                <w:sz w:val="21"/>
                <w:szCs w:val="21"/>
                <w:highlight w:val="none"/>
              </w:rPr>
              <w:t>排空，同时有效的保证麻醉气体不会被排出浪费。</w:t>
            </w:r>
          </w:p>
          <w:p w14:paraId="7A9CC8D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（三）气源方面</w:t>
            </w:r>
          </w:p>
          <w:p w14:paraId="73BC7E0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1.氧气、空气二气源，可进行非纯氧供气，工作压力为：0.28~0.6Mpa；</w:t>
            </w:r>
          </w:p>
          <w:p w14:paraId="15A48D1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2.具备氧气、空气。调节范围：空气：0-15L/min，氧气：0.2-15L/min，调节精度0.05L，调节分辨率10%，适合低微流量麻醉手术，总流量调节范围：0.2L/min～20L/min；</w:t>
            </w:r>
          </w:p>
          <w:p w14:paraId="067EC93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3.具备氧气、空气管道气源和氧气备用气源电子气源表；</w:t>
            </w:r>
          </w:p>
          <w:p w14:paraId="733E809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▲4.全电子流量计，设置氧浓度、总流量，氧浓度设定范围：21%～100%,氧笑空：25%～100%；</w:t>
            </w:r>
          </w:p>
          <w:p w14:paraId="57C8A74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5.具备机械的氧气保护装置，不受停电影响，氧气与空气混合时，氧浓度设定范围：25%～100%；</w:t>
            </w:r>
          </w:p>
          <w:p w14:paraId="615624B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6.并配备备用旋钮式电子流量计，在主流量计面板故障时，也能正常使用流量计；</w:t>
            </w:r>
          </w:p>
          <w:p w14:paraId="00B1BE2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7.提供机械总流量机调节范围：0-15L/min；</w:t>
            </w:r>
          </w:p>
          <w:p w14:paraId="0E2355E9">
            <w:pPr>
              <w:wordWrap w:val="0"/>
              <w:spacing w:line="44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（四）麻醉呼吸机：</w:t>
            </w:r>
          </w:p>
          <w:p w14:paraId="5AF09D3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1.气动电控呼吸机；</w:t>
            </w:r>
          </w:p>
          <w:p w14:paraId="664BF4D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▲2.麻醉机适用于全年龄段病人，包含成人、小儿、新生儿。</w:t>
            </w:r>
          </w:p>
          <w:p w14:paraId="214522C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3.具有回路泄漏、顺应性、新鲜气体自动补偿功能，保证潮气量所设即所得；</w:t>
            </w:r>
          </w:p>
          <w:p w14:paraId="1F62310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4.气动电控呼吸机，通气模式：手动，VCV、PCV、CPAP/PSV、PRVC、PSVPro、SIMV-VC、SIMV-PC、叹息功能，可选呼气保持、吸气保持、呼气时间常数、SIMV-PRVC、APRV、AMV。</w:t>
            </w:r>
          </w:p>
          <w:p w14:paraId="09C6BB8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5.控制通气模式下：</w:t>
            </w:r>
          </w:p>
          <w:p w14:paraId="7BFCFD0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VCV模式下潮气量设定范围：</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～1500ml；</w:t>
            </w:r>
          </w:p>
          <w:p w14:paraId="7D04B53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PRCV模式下潮气量控制范围：5～1500ml；</w:t>
            </w:r>
          </w:p>
          <w:p w14:paraId="7F2500F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呼吸频率设定范围：2～100次/min；</w:t>
            </w:r>
          </w:p>
          <w:p w14:paraId="376D6B5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5.4吸呼比设定范围：4:1～1:10；</w:t>
            </w:r>
          </w:p>
          <w:p w14:paraId="394F796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5.5吸气压力设定范围：5～90 cmH2O，步长1 cmH2O；</w:t>
            </w:r>
          </w:p>
          <w:p w14:paraId="41190D1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5.6PEEP设定范围：OFF，3～50 cmH2O，步长1 cmH2O；</w:t>
            </w:r>
          </w:p>
          <w:p w14:paraId="3A99B00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5.7压力限制设定范围：10～100cmH2O；</w:t>
            </w:r>
          </w:p>
          <w:p w14:paraId="0E32808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▲5.8吸气暂停设定范围：OFF，5%~60%；</w:t>
            </w:r>
          </w:p>
          <w:p w14:paraId="2F7CCB6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6.同步和支持通气模式下：</w:t>
            </w:r>
          </w:p>
          <w:p w14:paraId="32C0EB8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6.1触发窗设定范围：5%～90%；</w:t>
            </w:r>
          </w:p>
          <w:p w14:paraId="5D2B56C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6.2吸气触发设定范围：触发流速0.2～15L/min，步长0.1L/min;触发压力-20 cmH2O～-1cmH2O，步长-0.5cmH2O；</w:t>
            </w:r>
          </w:p>
          <w:p w14:paraId="5A9F330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6.3压力斜坡：0s～2.0s；</w:t>
            </w:r>
          </w:p>
          <w:p w14:paraId="785676B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6.4吸气时间：0.2～10s,步长0.1s;</w:t>
            </w:r>
          </w:p>
          <w:p w14:paraId="7AC7CA5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6.5支持压力设定范围：OFF,3～60 cmH2O；</w:t>
            </w:r>
          </w:p>
          <w:p w14:paraId="00BCE4A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6.6吸气流速：0～180L/min；</w:t>
            </w:r>
          </w:p>
          <w:p w14:paraId="7452DB9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7.重点参数监测范围：</w:t>
            </w:r>
          </w:p>
          <w:p w14:paraId="0F43BDF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7.1分钟通气量：0～100L/min；</w:t>
            </w:r>
          </w:p>
          <w:p w14:paraId="736FF44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7.2吸气和呼气潮气量：0～3000ml；</w:t>
            </w:r>
          </w:p>
          <w:p w14:paraId="688449E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7.3顺应性：0～300mL/cmH2O；</w:t>
            </w:r>
          </w:p>
          <w:p w14:paraId="7B57261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7.4气阻：0～600 cmH2O /(L/S)cmH2O；</w:t>
            </w:r>
          </w:p>
          <w:p w14:paraId="5444272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7.5气道压力：-20～120 cmH2O；</w:t>
            </w:r>
          </w:p>
          <w:p w14:paraId="6245932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7.6 氧传感器浓度：18%-100%；</w:t>
            </w:r>
          </w:p>
          <w:p w14:paraId="097D061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8.其他监测参数：呼吸频率、峰压、平均压、平台压、呼末正压、吸入和呼出氧浓度、吸呼比；可选配：吸入和呼末CO2浓度、吸入和呼末麻醉气体浓度、麻醉深度监测等；</w:t>
            </w:r>
          </w:p>
          <w:p w14:paraId="3A4EFEF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▲9.呼吸力学监测：压力波形、流速波形、容量波形，能够≥5道波形同屏显示；</w:t>
            </w:r>
          </w:p>
          <w:p w14:paraId="336043A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10.可选配压力-容积环、压力-流速环、流速-容积环，二氧化碳环图、顺应性环图，并提供参考环相关呼吸力学参数，波形环图同屏显示。</w:t>
            </w:r>
          </w:p>
          <w:p w14:paraId="778255A6">
            <w:pPr>
              <w:wordWrap w:val="0"/>
              <w:spacing w:line="44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（五）呼吸回路：</w:t>
            </w:r>
          </w:p>
          <w:p w14:paraId="5CADA8A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1.标配双向流量传感器监测，流量传感器采样管内置在回路中，具备第三基准流量传感器，设备自行校准，具有防水处理装置；</w:t>
            </w:r>
          </w:p>
          <w:p w14:paraId="2A8E9D1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2.呼吸回路的进气端和出气端可&gt;30°旋转，满足不同临床术种；</w:t>
            </w:r>
          </w:p>
          <w:p w14:paraId="14331B4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3.安全上升式风箱，便于观察泄漏，用于各类病人时无需更换风箱；</w:t>
            </w:r>
          </w:p>
          <w:p w14:paraId="1D544FC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4.集成式、一体化模块化回路，无需工具可徒手拆卸，回路与主机无管路连接，回路容积≤2.5L；</w:t>
            </w:r>
          </w:p>
          <w:p w14:paraId="2FE0BAE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5.一体化回路采用PPSU材料制作，回路整体可</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134℃高温高压消毒且传感器上有标识；</w:t>
            </w:r>
          </w:p>
          <w:p w14:paraId="7B5FB75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6.智能化Bypass旁路功能，支持术中更换钠石灰，不影响麻醉机的运行，且无麻醉药泄漏，钠石灰罐具备在位提醒功能，保证麻醉安全；</w:t>
            </w:r>
          </w:p>
          <w:p w14:paraId="2A13581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7.配置≥2个钠石灰罐，安装时能使用单手下拉操作，容量≥2L；</w:t>
            </w:r>
          </w:p>
          <w:p w14:paraId="7B092C4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8.可选择氧气或空气作为机械通气驱动源；</w:t>
            </w:r>
          </w:p>
          <w:p w14:paraId="545B915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9.回路泄漏量不应超过</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ml/min;</w:t>
            </w:r>
          </w:p>
          <w:p w14:paraId="439B6A3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10.具备流量暂停功能，便于给临床吸痰，可选配一键冲洗麻醉气体;</w:t>
            </w:r>
          </w:p>
          <w:p w14:paraId="1B550E3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11.具备肺复张功能，单周期及多周期，避免肺塌陷。</w:t>
            </w:r>
          </w:p>
          <w:p w14:paraId="2451E325">
            <w:pPr>
              <w:wordWrap w:val="0"/>
              <w:spacing w:line="44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（六）蒸发罐:</w:t>
            </w:r>
          </w:p>
          <w:p w14:paraId="1477F0A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1.双罐位，标配一个七氟醚高标准蒸发罐，具有温度、压力、流量补偿功能；</w:t>
            </w:r>
          </w:p>
          <w:p w14:paraId="1FE4F25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2.挥发罐容量大于300ml，具备安全互锁功能，具备转运T模式，转运无需排空麻药；</w:t>
            </w:r>
          </w:p>
          <w:p w14:paraId="428D81D9">
            <w:pPr>
              <w:wordWrap w:val="0"/>
              <w:spacing w:line="44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（七）报警性能：</w:t>
            </w:r>
          </w:p>
          <w:p w14:paraId="16A78AD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窒息、窒息≥2min报警、持续气道压力高、压力受限报警、负压报警、气道压力上下限报警、吸入和呼出潮气量上下限报警、分钟通气量上下限报警、吸入和呼出氧浓度上下限报警、吸入和呼末CO2浓度上下限报警、吸入和呼末N2O浓度上下限报警、吸入和呼末麻醉气体浓度上下限报警、BIS信号质量弱等生理报警功能。</w:t>
            </w:r>
          </w:p>
          <w:p w14:paraId="130DD8FF">
            <w:pPr>
              <w:wordWrap w:val="0"/>
              <w:spacing w:line="44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（八）辅助功能</w:t>
            </w:r>
          </w:p>
          <w:p w14:paraId="45F1FCE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1.中央刹车系统：单踏板控制、开合一体式，解锁和锁定为同一踏板；</w:t>
            </w:r>
          </w:p>
          <w:p w14:paraId="10318DD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2.具备30分钟趋势图、趋势表；</w:t>
            </w:r>
          </w:p>
          <w:p w14:paraId="093705D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3.具备基础代谢率计算功能、BMI计算，便于统计患者能量代谢，具备理想体重潮气量功能，根据患者体重自动给予患者潮气量；</w:t>
            </w:r>
          </w:p>
          <w:p w14:paraId="266966C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4.可升级打印功能，打印趋势表趋势图报告，捕捉未被发现的临床风险；</w:t>
            </w:r>
          </w:p>
          <w:p w14:paraId="6B2DF5A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5.具备流量暂停功能，方便术中吸痰；</w:t>
            </w:r>
          </w:p>
          <w:p w14:paraId="0D87553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6.具备气源使用量监测，便于临床统计气体用量，节能高效；</w:t>
            </w:r>
          </w:p>
          <w:p w14:paraId="12D61A8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7.可升级食道压监测功能；</w:t>
            </w:r>
          </w:p>
          <w:p w14:paraId="71EDEE8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8.可升级高流量给氧功能，降低低氧血症发生的概率；</w:t>
            </w:r>
          </w:p>
          <w:p w14:paraId="354E5D28">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9.可升级高压氧源，支持高频通气，快速打开患者气道，应用于胃肠镜、小儿手术。</w:t>
            </w:r>
            <w:bookmarkEnd w:id="25"/>
            <w:bookmarkEnd w:id="26"/>
            <w:bookmarkEnd w:id="27"/>
            <w:bookmarkEnd w:id="28"/>
          </w:p>
        </w:tc>
      </w:tr>
      <w:tr w14:paraId="3CF38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5E4A9597">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3</w:t>
            </w:r>
          </w:p>
        </w:tc>
        <w:tc>
          <w:tcPr>
            <w:tcW w:w="1190" w:type="dxa"/>
            <w:noWrap w:val="0"/>
            <w:vAlign w:val="center"/>
          </w:tcPr>
          <w:p w14:paraId="1E6F04E3">
            <w:pPr>
              <w:widowControl/>
              <w:jc w:val="center"/>
              <w:rPr>
                <w:rFonts w:hint="eastAsia" w:ascii="Arial" w:hAnsi="Arial" w:eastAsia="宋体" w:cs="Arial"/>
                <w:bCs/>
                <w:color w:val="auto"/>
                <w:szCs w:val="21"/>
                <w:highlight w:val="none"/>
                <w:lang w:eastAsia="zh-CN"/>
              </w:rPr>
            </w:pPr>
            <w:r>
              <w:rPr>
                <w:rFonts w:hint="eastAsia" w:ascii="Arial" w:hAnsi="Arial" w:eastAsia="宋体" w:cs="Arial"/>
                <w:bCs/>
                <w:color w:val="auto"/>
                <w:szCs w:val="21"/>
                <w:highlight w:val="none"/>
                <w:lang w:val="en-US" w:eastAsia="zh-CN"/>
              </w:rPr>
              <w:t>麻醉机3</w:t>
            </w:r>
          </w:p>
        </w:tc>
        <w:tc>
          <w:tcPr>
            <w:tcW w:w="504" w:type="dxa"/>
            <w:tcBorders>
              <w:right w:val="single" w:color="auto" w:sz="4" w:space="0"/>
            </w:tcBorders>
            <w:noWrap w:val="0"/>
            <w:vAlign w:val="center"/>
          </w:tcPr>
          <w:p w14:paraId="76DB22DC">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3</w:t>
            </w:r>
          </w:p>
        </w:tc>
        <w:tc>
          <w:tcPr>
            <w:tcW w:w="507" w:type="dxa"/>
            <w:noWrap w:val="0"/>
            <w:vAlign w:val="center"/>
          </w:tcPr>
          <w:p w14:paraId="315054AF">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3BB737C5">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116</w:t>
            </w:r>
            <w:ins w:id="32" w:author="JDZBzheng" w:date="2026-06-30T12:20:51Z">
              <w:r>
                <w:rPr>
                  <w:rFonts w:hint="eastAsia" w:ascii="宋体" w:hAnsi="宋体" w:cs="宋体"/>
                  <w:i w:val="0"/>
                  <w:iCs w:val="0"/>
                  <w:color w:val="auto"/>
                  <w:sz w:val="22"/>
                  <w:szCs w:val="22"/>
                  <w:highlight w:val="none"/>
                  <w:u w:val="none"/>
                  <w:lang w:val="en-US" w:eastAsia="zh-CN" w:bidi="ar"/>
                </w:rPr>
                <w:t>0000</w:t>
              </w:r>
            </w:ins>
            <w:ins w:id="33" w:author="JDZBzheng" w:date="2026-06-30T12:20:52Z">
              <w:r>
                <w:rPr>
                  <w:rFonts w:hint="eastAsia" w:ascii="宋体" w:hAnsi="宋体" w:cs="宋体"/>
                  <w:i w:val="0"/>
                  <w:iCs w:val="0"/>
                  <w:color w:val="auto"/>
                  <w:sz w:val="22"/>
                  <w:szCs w:val="22"/>
                  <w:highlight w:val="none"/>
                  <w:u w:val="none"/>
                  <w:lang w:val="en-US" w:eastAsia="zh-CN" w:bidi="ar"/>
                </w:rPr>
                <w:t>.00</w:t>
              </w:r>
            </w:ins>
          </w:p>
        </w:tc>
        <w:tc>
          <w:tcPr>
            <w:tcW w:w="670" w:type="dxa"/>
            <w:shd w:val="clear" w:color="auto" w:fill="auto"/>
            <w:noWrap w:val="0"/>
            <w:vAlign w:val="center"/>
          </w:tcPr>
          <w:p w14:paraId="658B1DA3">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5250C4E6">
            <w:pPr>
              <w:wordWrap w:val="0"/>
              <w:spacing w:line="440" w:lineRule="exact"/>
              <w:rPr>
                <w:rFonts w:hint="eastAsia" w:ascii="宋体" w:hAnsi="宋体" w:eastAsia="宋体" w:cs="宋体"/>
                <w:color w:val="auto"/>
                <w:sz w:val="21"/>
                <w:szCs w:val="21"/>
                <w:highlight w:val="none"/>
              </w:rPr>
            </w:pPr>
            <w:bookmarkStart w:id="29" w:name="OLE_LINK7"/>
            <w:bookmarkStart w:id="30" w:name="OLE_LINK10"/>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工作条件</w:t>
            </w:r>
          </w:p>
          <w:p w14:paraId="625D48C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1.1.操作环境，温度：10° 至40°C，湿度：15 至 95%，大气压：500 至 800 mmHg。</w:t>
            </w:r>
          </w:p>
          <w:p w14:paraId="6423137B">
            <w:pPr>
              <w:wordWrap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1.2.电源：</w:t>
            </w:r>
            <w:r>
              <w:rPr>
                <w:rFonts w:hint="eastAsia" w:ascii="宋体" w:hAnsi="宋体" w:eastAsia="宋体" w:cs="宋体"/>
                <w:color w:val="auto"/>
                <w:sz w:val="21"/>
                <w:szCs w:val="21"/>
                <w:highlight w:val="none"/>
                <w:lang w:val="en-US" w:eastAsia="zh-CN"/>
              </w:rPr>
              <w:t>AC 220V</w:t>
            </w:r>
          </w:p>
          <w:p w14:paraId="474A9C8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▲1.3.后备电池连续使用时间≥</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0分钟。</w:t>
            </w:r>
          </w:p>
          <w:p w14:paraId="6A433B4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1.4.机架：带推车，前扶手，三个大抽屉，中央脚刹。</w:t>
            </w:r>
          </w:p>
          <w:p w14:paraId="3B3D265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●1.5.外置可视上升式风箱，便于远距离观察，成人、小儿不用更换风箱。</w:t>
            </w:r>
          </w:p>
          <w:p w14:paraId="44362D9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2.气源</w:t>
            </w:r>
          </w:p>
          <w:p w14:paraId="37755F1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2.1.双气源：氧气、空气。氧气：具备安全保护装置，在供氧压低于252Kpa时报警。</w:t>
            </w:r>
          </w:p>
          <w:p w14:paraId="02831C5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2.2.气源供气通过中心供氧和中心供气实现。</w:t>
            </w:r>
          </w:p>
          <w:p w14:paraId="126FCE7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2.3.快速充氧范围：25-75L/min。</w:t>
            </w:r>
          </w:p>
          <w:p w14:paraId="75CF727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2.4.配附加氧或附加氧空功能，可在不开机的情况下给患者吸氧。</w:t>
            </w:r>
          </w:p>
          <w:p w14:paraId="1536053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3.流量计</w:t>
            </w:r>
          </w:p>
          <w:p w14:paraId="7529DFF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3.1.电子流量计（数控流量阀技术），氧气、空气，流量通过呼吸机屏幕及数码管两种方式电子显示；流量范围0.1-15 l/min。</w:t>
            </w:r>
          </w:p>
          <w:p w14:paraId="0A65ECD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3.2.具备备用机械流量管，流量范围：1-10 L/min，保证在停电时能正常工作。</w:t>
            </w:r>
          </w:p>
          <w:p w14:paraId="09182A1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4.挥发罐</w:t>
            </w:r>
          </w:p>
          <w:p w14:paraId="229B58B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▲4.1.配置≥2个挥发罐的使用位置，带自动互锁装置，配同品牌七氟醚挥发罐一个。</w:t>
            </w:r>
          </w:p>
          <w:p w14:paraId="6909D95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4.2.开机自检，具备挥发罐泄漏自检程序，可实现程序化挥发罐自检，并可自动识别罐位，避免长期使用橡胶圈老化带来的麻药泄露风险。</w:t>
            </w:r>
          </w:p>
          <w:p w14:paraId="0010000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5.呼吸回路</w:t>
            </w:r>
          </w:p>
          <w:p w14:paraId="7742005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5.1.小于3.2L极小的回路容积（包含回路系统、二氧化碳吸收罐、风箱），为快速调节新鲜气体流量以及输出麻药浓度提供了保障，且手动皮囊不参与机械通气。</w:t>
            </w:r>
          </w:p>
          <w:p w14:paraId="235AFE1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5.2.小容积模块化呼吸回路，所有传感器及连接电缆内置在回路内；所有回路模块不用任何工具可以拆卸、安装，所有模块(包含流量传感器)。</w:t>
            </w:r>
          </w:p>
          <w:p w14:paraId="27C47C6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5.3.机控下所有与患者呼出气体接触部分的呼吸回路（含标配流量传感器、风箱折叠皮囊，二氧化碳吸收罐，呼吸活瓣）可耐受</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134℃高温高压消毒避免院内交叉感染，流量传感器、风箱折叠皮囊、二氧化碳吸收罐上均必须具有134℃国际认证标识.</w:t>
            </w:r>
          </w:p>
          <w:p w14:paraId="5699FF1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●5.4.标配可重复使用具备干湿分离功能的双层二氧化碳吸收罐，具备水管理系统，采用冷凝方式管理回路积水。</w:t>
            </w:r>
          </w:p>
          <w:p w14:paraId="258EB19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5.5.标配内置二氧化碳旁路功能，支持术中更换可重复使用的同品牌二氧化碳吸收罐，无需关停机械通气，可方便直接更换，不会产生漏气。</w:t>
            </w:r>
          </w:p>
          <w:p w14:paraId="2B4F275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5.6.使用备用电池时回路仍可部分加热解决回路积水问题。</w:t>
            </w:r>
          </w:p>
          <w:p w14:paraId="045A53D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5.7.回路单向活瓣采用新型内置设计，回路无需单向活瓣观察窗，活瓣垂直放置，避免因水汽影响打开失败。</w:t>
            </w:r>
          </w:p>
          <w:p w14:paraId="06E9586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5.8.智能回路系统，能识别和显示：正在使用回路类型、正在使用呼吸模式以及CO2吸收罐状态。</w:t>
            </w:r>
          </w:p>
          <w:p w14:paraId="0030125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6呼吸机 </w:t>
            </w:r>
          </w:p>
          <w:p w14:paraId="1307BFE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6.1.气动电控或电动电控呼吸机，全中文操作和显示。</w:t>
            </w:r>
          </w:p>
          <w:p w14:paraId="06F904D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▲6.2.适用范围：新生儿、儿童及成人等所有病人通气，并具备专门的新生儿模式选项。</w:t>
            </w:r>
          </w:p>
          <w:p w14:paraId="7D458CE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●6.3.≥15英寸彩色触摸显示屏，可不同角度旋转及调节倾斜度（非第三方外置屏幕），方便医生全方位多角度观察和灵活操作机器，具备双分屏显示功能，当触屏失灵，手动可调。</w:t>
            </w:r>
          </w:p>
          <w:p w14:paraId="011675B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6.4.用户可选择的全自检或部分自检功能，既能保证安全的使用，又能保证紧急抢救时的快速启动，可无限次跳过自检。</w:t>
            </w:r>
          </w:p>
          <w:p w14:paraId="1B8ACD0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6.5.提供辅助/控制/支持通气模式，标配: VCV、手动通气、电子PEEP、PCV、SIMV PCV、SIMV VCV、PSVPro、PCV-VG高级通气模式。</w:t>
            </w:r>
          </w:p>
          <w:p w14:paraId="7D69EAD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6.6.标配SIMV模式：流速触发，触发范围: 0.2–10 L/min；触发窗范围: 关，5%–80% 呼气时间；机械通气呼吸频率为：2-60次/分钟、吸气时间：0.2-5.0秒；压力支持：2-40cmH2O</w:t>
            </w:r>
          </w:p>
          <w:p w14:paraId="5828CEA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6.7.具备窒息保护的PSVpro模式：流速触发；终末吸气流速调节吸、呼转换：吸气暂停：关，5%-60%时间；吸气终止水平：5%-75%；压力范围：0，2-40cmH2O；窒息发生后10—30秒范围内可调启动SIMV-PCV安全模式；当患者触发的呼吸</w:t>
            </w:r>
            <w:ins w:id="34" w:author="JDZBzheng" w:date="2026-06-30T11:16:41Z">
              <w:r>
                <w:rPr>
                  <w:rFonts w:hint="eastAsia" w:ascii="宋体" w:hAnsi="宋体" w:eastAsia="宋体" w:cs="宋体"/>
                  <w:color w:val="auto"/>
                  <w:sz w:val="21"/>
                  <w:szCs w:val="21"/>
                  <w:highlight w:val="none"/>
                  <w:lang w:eastAsia="zh-CN"/>
                </w:rPr>
                <w:t>次数</w:t>
              </w:r>
            </w:ins>
            <w:r>
              <w:rPr>
                <w:rFonts w:hint="eastAsia" w:ascii="宋体" w:hAnsi="宋体" w:eastAsia="宋体" w:cs="宋体"/>
                <w:color w:val="auto"/>
                <w:sz w:val="21"/>
                <w:szCs w:val="21"/>
                <w:highlight w:val="none"/>
              </w:rPr>
              <w:t>达到“退出后备”中设置的参数后，呼吸机将自动恢复 PSVPro 模式。</w:t>
            </w:r>
          </w:p>
          <w:p w14:paraId="7D030F8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6.8.触发退出后备通气模式的自主呼吸次数设置范围：关，1-5次，</w:t>
            </w:r>
          </w:p>
          <w:p w14:paraId="26549BF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6.9.支持通气模式之间切换时，切换后的RR、I:E、PEEP、Pmax保持与当前模式中使用的参数相同。且在容量通气模式下，潮气量不变，通过当前驱动压或者Ppeak （峰压）- PEEP自动设定Pinsp（吸气压力）。在压力通气模式下， Pinsp（吸气压力）不变，可通过Vtinsp（吸气压力设置测得的潮气量）自动设定TV（潮气量）。</w:t>
            </w:r>
          </w:p>
          <w:p w14:paraId="099B6A9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6.10.标配VCV心脏旁路功能，并可在VCV模式下进行机械通气；容量、呼吸暂停、低浓度麻药、二氧化碳、低气道压和呼吸频率报警都暂停。</w:t>
            </w:r>
          </w:p>
          <w:p w14:paraId="166DF4E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6.11.开始心肺旁路之前，小于 170 毫升的潮气量设置仍为设定的潮气量。开始心肺旁路之前，大于 170 毫升的潮气量自动调整为 170 毫升。</w:t>
            </w:r>
          </w:p>
          <w:p w14:paraId="577D5B5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6.12.可选气流暂停功能，适用于机械通气，通过一键式操作即可实现暂停新鲜气流和报警，方便术中吸痰，管位调整等操作，且暂停1分钟之后会自动跳转原工作状态，避免忘记操作的风险。</w:t>
            </w:r>
          </w:p>
          <w:p w14:paraId="053EB63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6.13标配支持驱动压测量，可实时显示驱动压监测数值。</w:t>
            </w:r>
          </w:p>
          <w:p w14:paraId="1F838C8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6.14.标配预测体重计算功能，即通过输入患者身高计算显示理想体重，再基于理想体重计算值完成自动潮气量TV设定，可根据理想体重进行自动调节呼吸频率（RR）。 也可选择不依赖于患者身高独立设定PBW，再基于便于初始通气设置，以节省病例启动时间。在对VCV、PCV VG、SIMV VC和SIMV PCV-VG（VC容量通气模式）下。</w:t>
            </w:r>
          </w:p>
          <w:p w14:paraId="55ABE17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w:t>
            </w:r>
            <w:ins w:id="35" w:author="JDZBzheng" w:date="2026-06-30T18:57:00Z">
              <w:r>
                <w:rPr>
                  <w:rFonts w:hint="eastAsia" w:ascii="宋体" w:hAnsi="宋体" w:eastAsia="宋体" w:cs="宋体"/>
                  <w:color w:val="auto"/>
                  <w:sz w:val="21"/>
                  <w:szCs w:val="21"/>
                  <w:highlight w:val="none"/>
                </w:rPr>
                <w:t>具备单次膨肺和循环膨肺两种解决方案，可自定义循环法台阶数，用户可以预设每个步骤的具体呼吸参数。创建并保存不少于3个肺复张操作程序，支持用户自定义程序标识。膨肺完成可显示对应的顺应性，支持显示肺复张程序实施期间的顺应性监测结果。并支持快捷启动肺复张应用程序。</w:t>
              </w:r>
            </w:ins>
          </w:p>
          <w:p w14:paraId="613C4AA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6.16.潮气量范围:5-1500ml。</w:t>
            </w:r>
          </w:p>
          <w:p w14:paraId="24436E7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6.17.呼吸频率：4-100 次/分钟。</w:t>
            </w:r>
          </w:p>
          <w:p w14:paraId="5EBD27D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6.18.吸呼比：2:1到1:8。</w:t>
            </w:r>
          </w:p>
          <w:p w14:paraId="45CB5AD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6.19.最大吸气流速：120 l/min+新鲜气体流量。</w:t>
            </w:r>
          </w:p>
          <w:p w14:paraId="391DBFB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6.20.压力限制范围：12到 100 cmH2O。</w:t>
            </w:r>
          </w:p>
          <w:p w14:paraId="2CDF4C7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6.21.PEEP范围：关，4 到 30 cmH2O。</w:t>
            </w:r>
          </w:p>
          <w:p w14:paraId="1140B37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6.22.具备≥30分钟迷你趋势追踪，可以动态显示压力、分钟通气量、CO2等参数≥30min内的变化，可与术中麻醉机其他参数同屏显示。。</w:t>
            </w:r>
          </w:p>
          <w:p w14:paraId="734D094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7数字和波形监测</w:t>
            </w:r>
          </w:p>
          <w:p w14:paraId="24CA430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7.1.监测参数：吸入氧、空气流量、可选笑气、潮气量、分钟通气量、气道压（峰压、平台压、平均压、PEEP）；实时压力时间、流速时间呼吸波形描记并同屏显示。</w:t>
            </w:r>
          </w:p>
          <w:p w14:paraId="2A078FD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标配的回路呼吸环监测功能，可监测描记：压力容量环、流量容量环和压力流量环，并可与波形同屏显示；回路顺应性；气体流速。可冻结储存六个呼吸环（不包括基础环），用于不同手术期间肺顺应性监测对比。</w:t>
            </w:r>
          </w:p>
          <w:p w14:paraId="77A33E4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7.3.报警参数：氧浓度、低驱动压、气道压、潮气量、分钟通气量、窒息。.</w:t>
            </w:r>
          </w:p>
          <w:p w14:paraId="5281926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7.4.内置单宽度插件槽（仅用于麻醉气体模块），可支持热插拔麻醉气体模块，无需关机重启，开机状态下即可更换</w:t>
            </w:r>
            <w:r>
              <w:rPr>
                <w:rFonts w:hint="eastAsia" w:ascii="宋体" w:hAnsi="宋体" w:eastAsia="宋体" w:cs="宋体"/>
                <w:color w:val="auto"/>
                <w:sz w:val="21"/>
                <w:szCs w:val="21"/>
                <w:highlight w:val="none"/>
                <w:lang w:eastAsia="zh-CN"/>
              </w:rPr>
              <w:t>。</w:t>
            </w:r>
          </w:p>
          <w:p w14:paraId="115A2EB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●7.5.标配单宽度气体模块采用旁路式气体监测：O2、N2O、CO2及五种麻醉气体吸入和呼出浓度，并描记CO2,N2O波形；MAC值计算及年龄校正； O2测量方式为顺磁氧测量技术，无耗材。</w:t>
            </w:r>
          </w:p>
          <w:p w14:paraId="54F37C6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7.6.潮气量监测可提供两种监测数据来源（患者端和机器端）。</w:t>
            </w:r>
          </w:p>
          <w:p w14:paraId="3DC3BE3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8传感器</w:t>
            </w:r>
          </w:p>
          <w:p w14:paraId="70CAF59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●8.1.具备防冷凝积水加温防护设计。</w:t>
            </w:r>
          </w:p>
          <w:p w14:paraId="0383228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具备吸入和呼出端双高精度流量传感器，并且吸入、呼出端传感器可互换位置。具备流量静态以及动态实时自动补偿功能，补偿新鲜气体变化、气体压缩、回路顺应性变化以及小的回路泄漏造成的吸入潮气量和设置潮气量的误差，保证流量自动实时补偿，流量补偿范围：200 ml/ min-15 l/min；保证SIMV、PSV功能的实施。</w:t>
            </w:r>
          </w:p>
          <w:p w14:paraId="3C645E4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8.3.吸入和呼出端双高精度流量传感器具备自校准功能，各自包含柔性电路板（芯片）具备数据储存功能。</w:t>
            </w:r>
          </w:p>
          <w:p w14:paraId="1A2664D5">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8.4.选配两种规格（成人和小儿）的近端流量传感器，位于患者口鼻端，可以更为精准检测患者吸入和呼出的潮气量，特别适用于新生儿或早产儿等潮气量监测精度较高的麻醉通气。</w:t>
            </w:r>
            <w:bookmarkEnd w:id="29"/>
            <w:bookmarkEnd w:id="30"/>
          </w:p>
        </w:tc>
      </w:tr>
      <w:tr w14:paraId="3A1F3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231FCAC0">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4</w:t>
            </w:r>
          </w:p>
        </w:tc>
        <w:tc>
          <w:tcPr>
            <w:tcW w:w="1190" w:type="dxa"/>
            <w:noWrap w:val="0"/>
            <w:vAlign w:val="center"/>
          </w:tcPr>
          <w:p w14:paraId="071D1EE6">
            <w:pPr>
              <w:widowControl/>
              <w:jc w:val="center"/>
              <w:rPr>
                <w:rFonts w:hint="eastAsia" w:ascii="Arial" w:hAnsi="Arial" w:eastAsia="宋体" w:cs="Arial"/>
                <w:bCs/>
                <w:color w:val="auto"/>
                <w:szCs w:val="21"/>
                <w:highlight w:val="none"/>
                <w:lang w:eastAsia="zh-CN"/>
              </w:rPr>
            </w:pPr>
            <w:r>
              <w:rPr>
                <w:rFonts w:hint="eastAsia" w:ascii="Arial" w:hAnsi="Arial" w:eastAsia="宋体" w:cs="Arial"/>
                <w:bCs/>
                <w:color w:val="auto"/>
                <w:szCs w:val="21"/>
                <w:highlight w:val="none"/>
                <w:lang w:val="en-US" w:eastAsia="zh-CN"/>
              </w:rPr>
              <w:t>监护仪1</w:t>
            </w:r>
          </w:p>
        </w:tc>
        <w:tc>
          <w:tcPr>
            <w:tcW w:w="504" w:type="dxa"/>
            <w:tcBorders>
              <w:right w:val="single" w:color="auto" w:sz="4" w:space="0"/>
            </w:tcBorders>
            <w:noWrap w:val="0"/>
            <w:vAlign w:val="center"/>
          </w:tcPr>
          <w:p w14:paraId="4031C1DD">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3</w:t>
            </w:r>
          </w:p>
        </w:tc>
        <w:tc>
          <w:tcPr>
            <w:tcW w:w="507" w:type="dxa"/>
            <w:noWrap w:val="0"/>
            <w:vAlign w:val="center"/>
          </w:tcPr>
          <w:p w14:paraId="5DC5D49F">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14A488B8">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6</w:t>
            </w:r>
            <w:ins w:id="36" w:author="JDZBzheng" w:date="2026-06-30T12:21:01Z">
              <w:r>
                <w:rPr>
                  <w:rFonts w:hint="eastAsia" w:ascii="宋体" w:hAnsi="宋体" w:cs="宋体"/>
                  <w:i w:val="0"/>
                  <w:iCs w:val="0"/>
                  <w:color w:val="auto"/>
                  <w:sz w:val="22"/>
                  <w:szCs w:val="22"/>
                  <w:highlight w:val="none"/>
                  <w:u w:val="none"/>
                  <w:lang w:val="en-US" w:eastAsia="zh-CN" w:bidi="ar"/>
                </w:rPr>
                <w:t>00</w:t>
              </w:r>
            </w:ins>
            <w:ins w:id="37" w:author="JDZBzheng" w:date="2026-06-30T12:21:02Z">
              <w:r>
                <w:rPr>
                  <w:rFonts w:hint="eastAsia" w:ascii="宋体" w:hAnsi="宋体" w:cs="宋体"/>
                  <w:i w:val="0"/>
                  <w:iCs w:val="0"/>
                  <w:color w:val="auto"/>
                  <w:sz w:val="22"/>
                  <w:szCs w:val="22"/>
                  <w:highlight w:val="none"/>
                  <w:u w:val="none"/>
                  <w:lang w:val="en-US" w:eastAsia="zh-CN" w:bidi="ar"/>
                </w:rPr>
                <w:t>000</w:t>
              </w:r>
            </w:ins>
            <w:ins w:id="38" w:author="JDZBzheng" w:date="2026-06-30T12:21:03Z">
              <w:r>
                <w:rPr>
                  <w:rFonts w:hint="eastAsia" w:ascii="宋体" w:hAnsi="宋体" w:cs="宋体"/>
                  <w:i w:val="0"/>
                  <w:iCs w:val="0"/>
                  <w:color w:val="auto"/>
                  <w:sz w:val="22"/>
                  <w:szCs w:val="22"/>
                  <w:highlight w:val="none"/>
                  <w:u w:val="none"/>
                  <w:lang w:val="en-US" w:eastAsia="zh-CN" w:bidi="ar"/>
                </w:rPr>
                <w:t>.00</w:t>
              </w:r>
            </w:ins>
          </w:p>
        </w:tc>
        <w:tc>
          <w:tcPr>
            <w:tcW w:w="670" w:type="dxa"/>
            <w:shd w:val="clear" w:color="auto" w:fill="auto"/>
            <w:noWrap w:val="0"/>
            <w:vAlign w:val="center"/>
          </w:tcPr>
          <w:p w14:paraId="32D0F3E4">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1606D534">
            <w:pPr>
              <w:wordWrap w:val="0"/>
              <w:spacing w:line="440" w:lineRule="exact"/>
              <w:rPr>
                <w:rFonts w:hint="eastAsia" w:ascii="宋体" w:hAnsi="宋体" w:eastAsia="宋体" w:cs="宋体"/>
                <w:color w:val="auto"/>
                <w:sz w:val="21"/>
                <w:szCs w:val="21"/>
                <w:highlight w:val="none"/>
              </w:rPr>
            </w:pPr>
            <w:bookmarkStart w:id="31" w:name="OLE_LINK11"/>
            <w:bookmarkStart w:id="32" w:name="OLE_LINK20"/>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bookmarkStart w:id="33" w:name="OLE_LINK14"/>
            <w:bookmarkStart w:id="34" w:name="OLE_LINK15"/>
            <w:r>
              <w:rPr>
                <w:rFonts w:hint="eastAsia" w:ascii="宋体" w:hAnsi="宋体" w:eastAsia="宋体" w:cs="宋体"/>
                <w:color w:val="auto"/>
                <w:sz w:val="21"/>
                <w:szCs w:val="21"/>
                <w:highlight w:val="none"/>
              </w:rPr>
              <w:t>≥</w:t>
            </w:r>
            <w:bookmarkEnd w:id="33"/>
            <w:bookmarkEnd w:id="34"/>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lang w:val="en-US" w:eastAsia="zh-CN"/>
              </w:rPr>
              <w:t>英</w:t>
            </w:r>
            <w:r>
              <w:rPr>
                <w:rFonts w:hint="eastAsia" w:ascii="宋体" w:hAnsi="宋体" w:eastAsia="宋体" w:cs="宋体"/>
                <w:color w:val="auto"/>
                <w:sz w:val="21"/>
                <w:szCs w:val="21"/>
                <w:highlight w:val="none"/>
              </w:rPr>
              <w:t>寸彩色电容触摸屏，支持多点触摸操作，高分辨率达≥1920×1080像素，≥10通道显示，显示屏亮度自动调节。</w:t>
            </w:r>
          </w:p>
          <w:p w14:paraId="498A6ED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.基本功能模块支持心电，呼吸，心率，无创血压，血氧饱和度，脉搏，双通道体温和双通道有创血压的同时监测。</w:t>
            </w:r>
          </w:p>
          <w:p w14:paraId="7CE3D45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.转运监护模块屏幕≥5 英寸，内置锂电池续航≥3 小时，无风扇设计。</w:t>
            </w:r>
          </w:p>
          <w:p w14:paraId="3482B34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.支持3/5/6导心电监测,可升级12导心电测量，并在监护仪上完成12导静息分析，支持房颤心律失常分析功能，支持≥2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种实时心律失常分析。</w:t>
            </w:r>
          </w:p>
          <w:p w14:paraId="1C5C51B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.提供ST段分析功能，支持在专门的窗口中分组显示心脏前壁，下壁和侧壁的</w:t>
            </w:r>
          </w:p>
          <w:p w14:paraId="1496E94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ST实时片段和参考片段，监测ST段抬高或者压低，提供ST报警。提供单个，或多个ST值报警，并支持相对的报警限设置。提供导联类型自动识别功能，具备智能导联脱落监测功能，导联脱落的情况下仍能保持监护。</w:t>
            </w:r>
          </w:p>
          <w:p w14:paraId="2CB93EF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.具有QT/QTc测量功能，提供QT，QTc和ΔQTc参数值。提供QT和QTc模板显示。</w:t>
            </w:r>
          </w:p>
          <w:p w14:paraId="63F15D6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.无创血压提供手动、自动间隔、连续、序列四种测量模式</w:t>
            </w:r>
          </w:p>
          <w:p w14:paraId="6DCD50E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.1无创血压成人测量范围：25-290mmHg（收缩压），10-250mmHg（舒张压），15-260mmHg（平均压）。</w:t>
            </w:r>
          </w:p>
          <w:p w14:paraId="7B065A0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.2无创血压小儿测量范围：25-240mmHg（收缩压），10-200mmHg（舒张压），15-215mmHg（平均压）。</w:t>
            </w:r>
          </w:p>
          <w:p w14:paraId="3C21C3C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.3无创血压新生儿测量范围：25-140mmHg（收缩压），10-115mmHg（舒张压），15-125mmHg（平均压）。</w:t>
            </w:r>
          </w:p>
          <w:p w14:paraId="68CAF2A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.支持双通道有创压IBP监测，支持升级≥6通道有创压监测，提供肺动脉锲压（PAWP）的监测和PPV参数监测，支持2道IBP波形叠加显示，满足临床对比查看和节约显示空间的需求。</w:t>
            </w:r>
          </w:p>
          <w:p w14:paraId="0667A30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.配置主流EtCO2监测模块。</w:t>
            </w:r>
          </w:p>
          <w:p w14:paraId="4D8F812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可升级BISx4监测模块或者单机，提供≥4通道EEG，双频指数（BIS），肌电活动（EMG）,抑制比（SR），频谱边缘频率（SEF）等参数的监测，提供功率谱密度（DSA）显示界面，可以直观地显示一段时间内的双侧功率谱分布变化的情况。</w:t>
            </w:r>
          </w:p>
          <w:p w14:paraId="190F187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.可升级NMT监测模块，满足病人肌松药物监测，提供四种刺激模式：TOF模式，ST模式，PTC模式，DBS模式。</w:t>
            </w:r>
          </w:p>
          <w:p w14:paraId="4205E6F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.支持与主流呼吸机品牌的呼吸机相连，实现呼吸机设备的信息在监护仪上显示、存储、记录、打印或者用于参与计算。</w:t>
            </w:r>
          </w:p>
          <w:p w14:paraId="37FDE14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.大字体界面支持≥6个参数的设置和显示，具有图形化报警指示功能，看报警信息更容易，所有参数报警限自动设置，能够设置护理组，一个护理组能够设置6-12个病人。这些病人之间能够互相进行</w:t>
            </w:r>
            <w:r>
              <w:rPr>
                <w:rFonts w:hint="eastAsia" w:ascii="宋体" w:hAnsi="宋体" w:cs="宋体"/>
                <w:color w:val="auto"/>
                <w:sz w:val="21"/>
                <w:szCs w:val="21"/>
                <w:highlight w:val="none"/>
                <w:lang w:eastAsia="zh-CN"/>
              </w:rPr>
              <w:t>临床</w:t>
            </w:r>
            <w:r>
              <w:rPr>
                <w:rFonts w:hint="eastAsia" w:ascii="宋体" w:hAnsi="宋体" w:eastAsia="宋体" w:cs="宋体"/>
                <w:color w:val="auto"/>
                <w:sz w:val="21"/>
                <w:szCs w:val="21"/>
                <w:highlight w:val="none"/>
              </w:rPr>
              <w:t>观察。</w:t>
            </w:r>
          </w:p>
          <w:p w14:paraId="505B87A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.标配具备血液动力学，药物计算，氧合计算，通气计算和肾功能计算功能。</w:t>
            </w:r>
          </w:p>
          <w:p w14:paraId="7EE2940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.40个及以上参数的</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120小时（分辨率1分钟）趋势表、趋势图回顾，</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小时（分辨率5秒）趋势表、趋势图回顾。≥1000条事件回顾。每条报警事件至少能够存储≥32秒三道相关波形，以及报警触发时所有测量参数值。事件回顾时能够提供报警事件列表。能够根据时间、报警优先级、报警类型和参数组对事件进行筛选。具备24小时全息波形的存储与回顾功能，≥60小时（分辨率5分钟）ST模板回顾。</w:t>
            </w:r>
          </w:p>
          <w:p w14:paraId="65D905F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.具有在线帮助功能，能够指导用户掌握如何设置参数。具有高级参数指</w:t>
            </w:r>
          </w:p>
          <w:p w14:paraId="06AB712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导功能，能够指导用户掌握高级参数的使用方法。</w:t>
            </w:r>
          </w:p>
          <w:p w14:paraId="074A31F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.工作模式提供：监护模式、待机模式、体外循环</w:t>
            </w:r>
            <w:ins w:id="39" w:author="JDZBzheng" w:date="2026-06-30T11:17:50Z">
              <w:r>
                <w:rPr>
                  <w:rFonts w:hint="eastAsia" w:ascii="宋体" w:hAnsi="宋体" w:eastAsia="宋体" w:cs="宋体"/>
                  <w:color w:val="auto"/>
                  <w:sz w:val="21"/>
                  <w:szCs w:val="21"/>
                  <w:highlight w:val="none"/>
                  <w:lang w:eastAsia="zh-CN"/>
                </w:rPr>
                <w:t>模式</w:t>
              </w:r>
            </w:ins>
            <w:r>
              <w:rPr>
                <w:rFonts w:hint="eastAsia" w:ascii="宋体" w:hAnsi="宋体" w:eastAsia="宋体" w:cs="宋体"/>
                <w:color w:val="auto"/>
                <w:sz w:val="21"/>
                <w:szCs w:val="21"/>
                <w:highlight w:val="none"/>
              </w:rPr>
              <w:t>、插管模式，</w:t>
            </w:r>
          </w:p>
          <w:p w14:paraId="1F27AF6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夜间模式、隐私模式、演示模式。</w:t>
            </w:r>
          </w:p>
          <w:p w14:paraId="412389F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.具备麻醉平衡专用界面，显示患者疼痛，意识和肌松三个维度的体征情况。</w:t>
            </w:r>
          </w:p>
          <w:p w14:paraId="2CC8C047">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lang w:eastAsia="zh-CN"/>
              </w:rPr>
              <w:t>.设备使用期限</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10年</w:t>
            </w:r>
            <w:bookmarkEnd w:id="31"/>
            <w:bookmarkEnd w:id="32"/>
            <w:r>
              <w:rPr>
                <w:rFonts w:hint="eastAsia" w:ascii="宋体" w:hAnsi="宋体" w:eastAsia="宋体" w:cs="宋体"/>
                <w:color w:val="auto"/>
                <w:sz w:val="21"/>
                <w:szCs w:val="21"/>
                <w:highlight w:val="none"/>
                <w:lang w:eastAsia="zh-CN"/>
              </w:rPr>
              <w:t>。</w:t>
            </w:r>
          </w:p>
        </w:tc>
      </w:tr>
      <w:tr w14:paraId="6E344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72EFA7FA">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5</w:t>
            </w:r>
          </w:p>
        </w:tc>
        <w:tc>
          <w:tcPr>
            <w:tcW w:w="1190" w:type="dxa"/>
            <w:noWrap w:val="0"/>
            <w:vAlign w:val="center"/>
          </w:tcPr>
          <w:p w14:paraId="3466EE78">
            <w:pPr>
              <w:widowControl/>
              <w:jc w:val="center"/>
              <w:rPr>
                <w:rFonts w:hint="eastAsia" w:ascii="Arial" w:hAnsi="Arial" w:eastAsia="宋体" w:cs="Arial"/>
                <w:bCs/>
                <w:color w:val="auto"/>
                <w:szCs w:val="21"/>
                <w:highlight w:val="none"/>
                <w:lang w:eastAsia="zh-CN"/>
              </w:rPr>
            </w:pPr>
            <w:r>
              <w:rPr>
                <w:rFonts w:hint="eastAsia" w:ascii="Arial" w:hAnsi="Arial" w:eastAsia="宋体" w:cs="Arial"/>
                <w:bCs/>
                <w:color w:val="auto"/>
                <w:szCs w:val="21"/>
                <w:highlight w:val="none"/>
                <w:lang w:val="en-US" w:eastAsia="zh-CN"/>
              </w:rPr>
              <w:t>监护仪2</w:t>
            </w:r>
          </w:p>
        </w:tc>
        <w:tc>
          <w:tcPr>
            <w:tcW w:w="504" w:type="dxa"/>
            <w:tcBorders>
              <w:right w:val="single" w:color="auto" w:sz="4" w:space="0"/>
            </w:tcBorders>
            <w:noWrap w:val="0"/>
            <w:vAlign w:val="center"/>
          </w:tcPr>
          <w:p w14:paraId="58CBFE25">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4</w:t>
            </w:r>
          </w:p>
        </w:tc>
        <w:tc>
          <w:tcPr>
            <w:tcW w:w="507" w:type="dxa"/>
            <w:noWrap w:val="0"/>
            <w:vAlign w:val="center"/>
          </w:tcPr>
          <w:p w14:paraId="2C57AC3C">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7E49984B">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64</w:t>
            </w:r>
            <w:ins w:id="40" w:author="JDZBzheng" w:date="2026-06-30T12:21:09Z">
              <w:r>
                <w:rPr>
                  <w:rFonts w:hint="eastAsia" w:ascii="宋体" w:hAnsi="宋体" w:cs="宋体"/>
                  <w:i w:val="0"/>
                  <w:iCs w:val="0"/>
                  <w:color w:val="auto"/>
                  <w:sz w:val="22"/>
                  <w:szCs w:val="22"/>
                  <w:highlight w:val="none"/>
                  <w:u w:val="none"/>
                  <w:lang w:val="en-US" w:eastAsia="zh-CN" w:bidi="ar"/>
                </w:rPr>
                <w:t>000</w:t>
              </w:r>
            </w:ins>
            <w:ins w:id="41" w:author="JDZBzheng" w:date="2026-06-30T12:21:10Z">
              <w:r>
                <w:rPr>
                  <w:rFonts w:hint="eastAsia" w:ascii="宋体" w:hAnsi="宋体" w:cs="宋体"/>
                  <w:i w:val="0"/>
                  <w:iCs w:val="0"/>
                  <w:color w:val="auto"/>
                  <w:sz w:val="22"/>
                  <w:szCs w:val="22"/>
                  <w:highlight w:val="none"/>
                  <w:u w:val="none"/>
                  <w:lang w:val="en-US" w:eastAsia="zh-CN" w:bidi="ar"/>
                </w:rPr>
                <w:t>0</w:t>
              </w:r>
            </w:ins>
            <w:ins w:id="42" w:author="JDZBzheng" w:date="2026-06-30T12:21:11Z">
              <w:r>
                <w:rPr>
                  <w:rFonts w:hint="eastAsia" w:ascii="宋体" w:hAnsi="宋体" w:cs="宋体"/>
                  <w:i w:val="0"/>
                  <w:iCs w:val="0"/>
                  <w:color w:val="auto"/>
                  <w:sz w:val="22"/>
                  <w:szCs w:val="22"/>
                  <w:highlight w:val="none"/>
                  <w:u w:val="none"/>
                  <w:lang w:val="en-US" w:eastAsia="zh-CN" w:bidi="ar"/>
                </w:rPr>
                <w:t>.00</w:t>
              </w:r>
            </w:ins>
          </w:p>
        </w:tc>
        <w:tc>
          <w:tcPr>
            <w:tcW w:w="670" w:type="dxa"/>
            <w:shd w:val="clear" w:color="auto" w:fill="auto"/>
            <w:noWrap w:val="0"/>
            <w:vAlign w:val="center"/>
          </w:tcPr>
          <w:p w14:paraId="0D96F1B8">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37804265">
            <w:pPr>
              <w:spacing w:line="360" w:lineRule="auto"/>
              <w:rPr>
                <w:rFonts w:hint="eastAsia" w:ascii="宋体" w:hAnsi="宋体" w:eastAsia="宋体" w:cs="宋体"/>
                <w:color w:val="auto"/>
                <w:kern w:val="2"/>
                <w:sz w:val="21"/>
                <w:szCs w:val="21"/>
                <w:highlight w:val="none"/>
                <w:lang w:eastAsia="zh-CN"/>
              </w:rPr>
            </w:pPr>
            <w:bookmarkStart w:id="35" w:name="OLE_LINK61"/>
            <w:bookmarkStart w:id="36" w:name="OLE_LINK56"/>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lang w:eastAsia="zh-CN"/>
              </w:rPr>
              <w:t>.≥15</w:t>
            </w:r>
            <w:r>
              <w:rPr>
                <w:rFonts w:hint="eastAsia" w:ascii="宋体" w:hAnsi="宋体" w:eastAsia="宋体" w:cs="宋体"/>
                <w:color w:val="auto"/>
                <w:kern w:val="2"/>
                <w:sz w:val="21"/>
                <w:szCs w:val="21"/>
                <w:highlight w:val="none"/>
                <w:lang w:val="en-US" w:eastAsia="zh-CN"/>
              </w:rPr>
              <w:t>英</w:t>
            </w:r>
            <w:r>
              <w:rPr>
                <w:rFonts w:hint="eastAsia" w:ascii="宋体" w:hAnsi="宋体" w:eastAsia="宋体" w:cs="宋体"/>
                <w:color w:val="auto"/>
                <w:kern w:val="2"/>
                <w:sz w:val="21"/>
                <w:szCs w:val="21"/>
                <w:highlight w:val="none"/>
                <w:lang w:eastAsia="zh-CN"/>
              </w:rPr>
              <w:t>寸彩色电容触摸屏，支持多点触摸操作，高分辨率达≥1920×1080像素，≥10通道显示，显示屏亮度自动调节。</w:t>
            </w:r>
          </w:p>
          <w:p w14:paraId="749E4D5C">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eastAsia="zh-CN"/>
              </w:rPr>
              <w:t>.工作温度0 ~40 ℃，采用无风扇设计，支持配置内置锂电池，供电时间≥2小时，配置≥4个USB接口，支持连接存储介质、鼠标、键盘、条码扫描枪等USB设备，支持扩展独立显示屏。</w:t>
            </w:r>
          </w:p>
          <w:p w14:paraId="024CA28E">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eastAsia="zh-CN"/>
              </w:rPr>
              <w:t>.基本功能模块支持心电，呼吸，心率，无创血压，血氧饱和度，脉搏，双通道体温和双通道有创血压的同时监测。</w:t>
            </w:r>
          </w:p>
          <w:p w14:paraId="76AFFB20">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lang w:eastAsia="zh-CN"/>
              </w:rPr>
              <w:t>.显示屏（屏幕≥5 英寸）、内置电池续航≥4 小时，无风扇结构，转运过程可持续完整监测患者生命体征，实现无缝转运监护。</w:t>
            </w:r>
          </w:p>
          <w:p w14:paraId="6FA2A1A7">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eastAsia="zh-CN"/>
              </w:rPr>
              <w:t>.支持3/5/6导心电监测,可升级12导心电测量，并在监护仪上完成12导静息分析，支持房颤心律失常分析功能，支持≥20种实时心律失常分析。</w:t>
            </w:r>
          </w:p>
          <w:p w14:paraId="4D2D7217">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lang w:eastAsia="zh-CN"/>
              </w:rPr>
              <w:t>.提供ST段分析功能，支持在专门的窗口中分组显示心脏前壁，下壁和侧壁的ST实时片段和参考片段，监测ST段抬高或者压低，提供ST报警。提供单个，或多个ST值报警，并支持相对的报警限设置。提供导联类型自动识别功能，具备智能导联脱落监测功能，导联脱落的情况下仍能保持监护。</w:t>
            </w:r>
          </w:p>
          <w:p w14:paraId="5AA7E2E0">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lang w:eastAsia="zh-CN"/>
              </w:rPr>
              <w:t>.具有QT/QTc测量功能，提供QT，QTc和ΔQTc参数值。提供QT和QTc模板显示。</w:t>
            </w:r>
          </w:p>
          <w:p w14:paraId="0FE58F5F">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lang w:eastAsia="zh-CN"/>
              </w:rPr>
              <w:t>.无创血压提供手动、自动间隔、连续、序列四种测量模式</w:t>
            </w:r>
          </w:p>
          <w:p w14:paraId="40C5EE2D">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lang w:eastAsia="zh-CN"/>
              </w:rPr>
              <w:t>.1无创血压成人测量范围：25-290mmHg（收缩压），10-250mmHg（舒张压），15-260mmHg（平均压）。</w:t>
            </w:r>
          </w:p>
          <w:p w14:paraId="13585505">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lang w:eastAsia="zh-CN"/>
              </w:rPr>
              <w:t>.2无创血压小儿测量范围：25-240mmHg（收缩压），10-200mmHg（舒张压），15-215mmHg（平均压）。</w:t>
            </w:r>
          </w:p>
          <w:p w14:paraId="54394BF2">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lang w:eastAsia="zh-CN"/>
              </w:rPr>
              <w:t>.3无创血压新生儿测量范围：25-140mmHg（收缩压），10-115mmHg（舒张压），15-125mmHg（平均压）。</w:t>
            </w:r>
          </w:p>
          <w:p w14:paraId="4162D900">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lang w:eastAsia="zh-CN"/>
              </w:rPr>
              <w:t>.支持双通道有创压IBP监测，支持升级≥6通道有创压监测，提供肺动脉锲压（PAWP）的监测和PPV参数监测，支持≥2道IBP波形叠加显示，满足临床对比查看和节约显示空间的需求。</w:t>
            </w:r>
          </w:p>
          <w:p w14:paraId="7D68BC21">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lang w:val="en-US" w:eastAsia="zh-CN"/>
              </w:rPr>
              <w:t>0</w:t>
            </w:r>
            <w:r>
              <w:rPr>
                <w:rFonts w:hint="eastAsia" w:ascii="宋体" w:hAnsi="宋体" w:eastAsia="宋体" w:cs="宋体"/>
                <w:color w:val="auto"/>
                <w:kern w:val="2"/>
                <w:sz w:val="21"/>
                <w:szCs w:val="21"/>
                <w:highlight w:val="none"/>
                <w:lang w:eastAsia="zh-CN"/>
              </w:rPr>
              <w:t>.可升级AG麻醉气体浓度监测模块，可监测≥五种麻醉气体浓度。</w:t>
            </w:r>
          </w:p>
          <w:p w14:paraId="65CF0CA8">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lang w:eastAsia="zh-CN"/>
              </w:rPr>
              <w:t>.配置EtCO</w:t>
            </w:r>
            <w:r>
              <w:rPr>
                <w:rFonts w:hint="eastAsia" w:ascii="宋体" w:hAnsi="宋体" w:eastAsia="宋体" w:cs="宋体"/>
                <w:color w:val="auto"/>
                <w:kern w:val="2"/>
                <w:sz w:val="21"/>
                <w:szCs w:val="21"/>
                <w:highlight w:val="none"/>
                <w:vertAlign w:val="subscript"/>
                <w:lang w:eastAsia="zh-CN"/>
              </w:rPr>
              <w:t>2</w:t>
            </w:r>
            <w:r>
              <w:rPr>
                <w:rFonts w:hint="eastAsia" w:ascii="宋体" w:hAnsi="宋体" w:eastAsia="宋体" w:cs="宋体"/>
                <w:color w:val="auto"/>
                <w:kern w:val="2"/>
                <w:sz w:val="21"/>
                <w:szCs w:val="21"/>
                <w:highlight w:val="none"/>
                <w:lang w:eastAsia="zh-CN"/>
              </w:rPr>
              <w:t>监测模块，采用主流监测技术，CO</w:t>
            </w:r>
            <w:r>
              <w:rPr>
                <w:rFonts w:hint="eastAsia" w:ascii="宋体" w:hAnsi="宋体" w:eastAsia="宋体" w:cs="宋体"/>
                <w:color w:val="auto"/>
                <w:kern w:val="2"/>
                <w:sz w:val="21"/>
                <w:szCs w:val="21"/>
                <w:highlight w:val="none"/>
                <w:vertAlign w:val="subscript"/>
                <w:lang w:eastAsia="zh-CN"/>
              </w:rPr>
              <w:t>2</w:t>
            </w:r>
            <w:r>
              <w:rPr>
                <w:rFonts w:hint="eastAsia" w:ascii="宋体" w:hAnsi="宋体" w:eastAsia="宋体" w:cs="宋体"/>
                <w:color w:val="auto"/>
                <w:kern w:val="2"/>
                <w:sz w:val="21"/>
                <w:szCs w:val="21"/>
                <w:highlight w:val="none"/>
                <w:lang w:eastAsia="zh-CN"/>
              </w:rPr>
              <w:t>波形提供填充和线条两种方式显示，满足不同临床使用习惯，CO</w:t>
            </w:r>
            <w:r>
              <w:rPr>
                <w:rFonts w:hint="eastAsia" w:ascii="宋体" w:hAnsi="宋体" w:eastAsia="宋体" w:cs="宋体"/>
                <w:color w:val="auto"/>
                <w:kern w:val="2"/>
                <w:sz w:val="21"/>
                <w:szCs w:val="21"/>
                <w:highlight w:val="none"/>
                <w:vertAlign w:val="subscript"/>
                <w:lang w:eastAsia="zh-CN"/>
              </w:rPr>
              <w:t>2</w:t>
            </w:r>
            <w:r>
              <w:rPr>
                <w:rFonts w:hint="eastAsia" w:ascii="宋体" w:hAnsi="宋体" w:eastAsia="宋体" w:cs="宋体"/>
                <w:color w:val="auto"/>
                <w:kern w:val="2"/>
                <w:sz w:val="21"/>
                <w:szCs w:val="21"/>
                <w:highlight w:val="none"/>
                <w:lang w:eastAsia="zh-CN"/>
              </w:rPr>
              <w:t>波形最小走速为3mm/s,满足同屏查看更多呼吸周期。</w:t>
            </w:r>
          </w:p>
          <w:p w14:paraId="32BD8B21">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eastAsia="zh-CN"/>
              </w:rPr>
              <w:t>.可升级BISx4监测模块或者单机，提供≥4通道EEG，双频指数（BIS），肌电活动（EMG）,抑制比（SR），频谱边缘频率（SEF）等参数的监测，提供功率谱密度（DSA）显示界面，可以直观地显示一段时间内的双侧功率谱分布变化的情况。</w:t>
            </w:r>
          </w:p>
          <w:p w14:paraId="0D94E24D">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eastAsia="zh-CN"/>
              </w:rPr>
              <w:t>.可升级NMT监测模块，满足病人肌松药物监测，提供≥四种刺激模式：TOF模式，ST模式，PTC模式，DBS模式。</w:t>
            </w:r>
          </w:p>
          <w:p w14:paraId="636CD6FA">
            <w:pPr>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lang w:eastAsia="zh-CN"/>
              </w:rPr>
              <w:t>.支持与主流呼吸机品牌的呼吸机相连，实现呼吸机设备的信息在监护仪上显示、存储、记录、打印或者用于参与计算。</w:t>
            </w:r>
          </w:p>
          <w:p w14:paraId="267FA8A9">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eastAsia="zh-CN"/>
              </w:rPr>
              <w:t>.大字体界面支持≥6个参数的设置和显示，具有图形化报警指示功能，看报警信息更容易，所有参数报警限自动设置，能够设置护理组，一个护理组能够设置6-12个病人。这些病人之间能够互相进行</w:t>
            </w:r>
            <w:r>
              <w:rPr>
                <w:rFonts w:hint="eastAsia" w:ascii="宋体" w:hAnsi="宋体" w:cs="宋体"/>
                <w:color w:val="auto"/>
                <w:kern w:val="2"/>
                <w:sz w:val="21"/>
                <w:szCs w:val="21"/>
                <w:highlight w:val="none"/>
                <w:lang w:eastAsia="zh-CN"/>
              </w:rPr>
              <w:t>临床</w:t>
            </w:r>
            <w:r>
              <w:rPr>
                <w:rFonts w:hint="eastAsia" w:ascii="宋体" w:hAnsi="宋体" w:eastAsia="宋体" w:cs="宋体"/>
                <w:color w:val="auto"/>
                <w:kern w:val="2"/>
                <w:sz w:val="21"/>
                <w:szCs w:val="21"/>
                <w:highlight w:val="none"/>
                <w:lang w:eastAsia="zh-CN"/>
              </w:rPr>
              <w:t>观察。</w:t>
            </w:r>
          </w:p>
          <w:p w14:paraId="163C9489">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lang w:eastAsia="zh-CN"/>
              </w:rPr>
              <w:t>.标配具备血液动力学，药物计算，氧合计算，通气计算和肾功能计算功能</w:t>
            </w:r>
          </w:p>
          <w:p w14:paraId="66C413E5">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lang w:eastAsia="zh-CN"/>
              </w:rPr>
              <w:t>. 40个及以上参数的</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eastAsia="zh-CN"/>
              </w:rPr>
              <w:t>120小时（分辨率1分钟）趋势表、趋势图回顾，</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eastAsia="zh-CN"/>
              </w:rPr>
              <w:t>4小时（分辨率5秒）趋势表、趋势图回顾。≥1000条事件回顾。每条报警事件至少能够存储≥32秒三道相关波形，以及报警触发时所有测量参数值。事件回顾时能够提供报警事件列表。能够根据时间、报警优先级、报警类型和参数组对事件进行筛选。具备≥24小时全息波形的存储与回顾功能，≥60小时（分辨率5分钟）ST模板回顾。</w:t>
            </w:r>
          </w:p>
          <w:p w14:paraId="5DE28802">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lang w:eastAsia="zh-CN"/>
              </w:rPr>
              <w:t>.具有在线帮助功能，能够指导用户掌握如何设置参数。具有高级参数指导功能，能够指导用户掌握高级参数的使用方法。</w:t>
            </w:r>
          </w:p>
          <w:p w14:paraId="4A18321B">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19</w:t>
            </w:r>
            <w:r>
              <w:rPr>
                <w:rFonts w:hint="eastAsia" w:ascii="宋体" w:hAnsi="宋体" w:eastAsia="宋体" w:cs="宋体"/>
                <w:color w:val="auto"/>
                <w:kern w:val="2"/>
                <w:sz w:val="21"/>
                <w:szCs w:val="21"/>
                <w:highlight w:val="none"/>
                <w:lang w:eastAsia="zh-CN"/>
              </w:rPr>
              <w:t>.工作模式提供：监护模式、待机模式、体外循环</w:t>
            </w:r>
            <w:ins w:id="43" w:author="JDZBzheng" w:date="2026-06-30T11:18:05Z">
              <w:r>
                <w:rPr>
                  <w:rFonts w:hint="eastAsia" w:ascii="宋体" w:hAnsi="宋体" w:eastAsia="宋体" w:cs="宋体"/>
                  <w:color w:val="auto"/>
                  <w:kern w:val="2"/>
                  <w:sz w:val="21"/>
                  <w:szCs w:val="21"/>
                  <w:highlight w:val="none"/>
                  <w:lang w:eastAsia="zh-CN"/>
                </w:rPr>
                <w:t>模式</w:t>
              </w:r>
            </w:ins>
            <w:r>
              <w:rPr>
                <w:rFonts w:hint="eastAsia" w:ascii="宋体" w:hAnsi="宋体" w:eastAsia="宋体" w:cs="宋体"/>
                <w:color w:val="auto"/>
                <w:kern w:val="2"/>
                <w:sz w:val="21"/>
                <w:szCs w:val="21"/>
                <w:highlight w:val="none"/>
                <w:lang w:eastAsia="zh-CN"/>
              </w:rPr>
              <w:t>、插管模式，夜间模式、隐私模式、演示模式。</w:t>
            </w:r>
          </w:p>
          <w:p w14:paraId="61C577DC">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2</w:t>
            </w:r>
            <w:r>
              <w:rPr>
                <w:rFonts w:hint="eastAsia" w:ascii="宋体" w:hAnsi="宋体" w:eastAsia="宋体" w:cs="宋体"/>
                <w:color w:val="auto"/>
                <w:kern w:val="2"/>
                <w:sz w:val="21"/>
                <w:szCs w:val="21"/>
                <w:highlight w:val="none"/>
                <w:lang w:val="en-US" w:eastAsia="zh-CN"/>
              </w:rPr>
              <w:t>0</w:t>
            </w:r>
            <w:r>
              <w:rPr>
                <w:rFonts w:hint="eastAsia" w:ascii="宋体" w:hAnsi="宋体" w:eastAsia="宋体" w:cs="宋体"/>
                <w:color w:val="auto"/>
                <w:kern w:val="2"/>
                <w:sz w:val="21"/>
                <w:szCs w:val="21"/>
                <w:highlight w:val="none"/>
                <w:lang w:eastAsia="zh-CN"/>
              </w:rPr>
              <w:t>.具备麻醉专用系统软件，满足麻醉科的专业应用。</w:t>
            </w:r>
          </w:p>
          <w:p w14:paraId="69EBB638">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2</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lang w:eastAsia="zh-CN"/>
              </w:rPr>
              <w:t>.具备麻醉平衡专用界面，显示患者疼痛，意识和肌松三个维度的体征情况。</w:t>
            </w:r>
          </w:p>
          <w:p w14:paraId="4A99C1E0">
            <w:pPr>
              <w:spacing w:line="360" w:lineRule="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2</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eastAsia="zh-CN"/>
              </w:rPr>
              <w:t>.具备趋势共存界面、呼吸氧合图界面，大字体显示界面，及标准显示界面等多种显示界面。</w:t>
            </w:r>
          </w:p>
          <w:p w14:paraId="149ADB3F">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eastAsia="zh-CN"/>
              </w:rPr>
              <w:t>2</w:t>
            </w: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eastAsia="zh-CN"/>
              </w:rPr>
              <w:t>.设备使用期限≥10年</w:t>
            </w:r>
            <w:bookmarkEnd w:id="35"/>
            <w:bookmarkEnd w:id="36"/>
            <w:r>
              <w:rPr>
                <w:rFonts w:hint="eastAsia" w:ascii="宋体" w:hAnsi="宋体" w:eastAsia="宋体" w:cs="宋体"/>
                <w:color w:val="auto"/>
                <w:kern w:val="2"/>
                <w:sz w:val="21"/>
                <w:szCs w:val="21"/>
                <w:highlight w:val="none"/>
                <w:lang w:eastAsia="zh-CN"/>
              </w:rPr>
              <w:t>。</w:t>
            </w:r>
          </w:p>
        </w:tc>
      </w:tr>
      <w:tr w14:paraId="0A684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7146AFCA">
            <w:pPr>
              <w:widowControl/>
              <w:spacing w:line="360" w:lineRule="auto"/>
              <w:jc w:val="center"/>
              <w:textAlignment w:val="center"/>
              <w:rPr>
                <w:rFonts w:hint="eastAsia" w:ascii="Arial" w:hAnsi="Arial" w:cs="Arial"/>
                <w:b/>
                <w:color w:val="auto"/>
                <w:szCs w:val="21"/>
                <w:highlight w:val="none"/>
              </w:rPr>
            </w:pPr>
            <w:r>
              <w:rPr>
                <w:rFonts w:hint="eastAsia" w:ascii="方正楷体_GB2312" w:hAnsi="方正楷体_GB2312" w:eastAsia="方正楷体_GB2312" w:cs="方正楷体_GB2312"/>
                <w:color w:val="auto"/>
                <w:sz w:val="21"/>
                <w:szCs w:val="21"/>
                <w:highlight w:val="none"/>
                <w:lang w:val="en-US" w:eastAsia="zh-CN"/>
              </w:rPr>
              <w:t>6</w:t>
            </w:r>
          </w:p>
        </w:tc>
        <w:tc>
          <w:tcPr>
            <w:tcW w:w="1190" w:type="dxa"/>
            <w:noWrap w:val="0"/>
            <w:vAlign w:val="center"/>
          </w:tcPr>
          <w:p w14:paraId="051AA52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Arial" w:hAnsi="Arial" w:eastAsia="宋体" w:cs="Arial"/>
                <w:color w:val="auto"/>
                <w:szCs w:val="21"/>
                <w:highlight w:val="none"/>
                <w:lang w:eastAsia="zh-CN"/>
              </w:rPr>
            </w:pPr>
            <w:r>
              <w:rPr>
                <w:rFonts w:hint="eastAsia" w:ascii="方正楷体_GB2312" w:hAnsi="方正楷体_GB2312" w:eastAsia="方正楷体_GB2312" w:cs="方正楷体_GB2312"/>
                <w:color w:val="auto"/>
                <w:sz w:val="21"/>
                <w:szCs w:val="21"/>
                <w:highlight w:val="none"/>
                <w:lang w:val="en-US" w:eastAsia="zh-CN"/>
              </w:rPr>
              <w:t>便携式多普勒超声系统</w:t>
            </w:r>
          </w:p>
        </w:tc>
        <w:tc>
          <w:tcPr>
            <w:tcW w:w="504" w:type="dxa"/>
            <w:tcBorders>
              <w:right w:val="single" w:color="auto" w:sz="4" w:space="0"/>
            </w:tcBorders>
            <w:noWrap w:val="0"/>
            <w:vAlign w:val="center"/>
          </w:tcPr>
          <w:p w14:paraId="0F1DD7C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Arial" w:hAnsi="Arial" w:cs="Arial"/>
                <w:bCs/>
                <w:color w:val="auto"/>
                <w:szCs w:val="21"/>
                <w:highlight w:val="none"/>
              </w:rPr>
            </w:pPr>
            <w:r>
              <w:rPr>
                <w:rFonts w:hint="eastAsia" w:ascii="方正楷体_GB2312" w:hAnsi="方正楷体_GB2312" w:eastAsia="方正楷体_GB2312" w:cs="方正楷体_GB2312"/>
                <w:color w:val="auto"/>
                <w:sz w:val="21"/>
                <w:szCs w:val="21"/>
                <w:highlight w:val="none"/>
                <w:lang w:val="en-US" w:eastAsia="zh-CN"/>
              </w:rPr>
              <w:t>1</w:t>
            </w:r>
          </w:p>
        </w:tc>
        <w:tc>
          <w:tcPr>
            <w:tcW w:w="507" w:type="dxa"/>
            <w:noWrap w:val="0"/>
            <w:vAlign w:val="center"/>
          </w:tcPr>
          <w:p w14:paraId="505A2CF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Arial" w:hAnsi="Arial" w:cs="Arial"/>
                <w:bCs/>
                <w:color w:val="auto"/>
                <w:szCs w:val="21"/>
                <w:highlight w:val="none"/>
              </w:rPr>
            </w:pPr>
            <w:r>
              <w:rPr>
                <w:rFonts w:hint="eastAsia" w:ascii="方正楷体_GB2312" w:hAnsi="方正楷体_GB2312" w:eastAsia="方正楷体_GB2312" w:cs="方正楷体_GB2312"/>
                <w:color w:val="auto"/>
                <w:sz w:val="21"/>
                <w:szCs w:val="21"/>
                <w:highlight w:val="none"/>
                <w:lang w:val="en-US" w:eastAsia="zh-CN"/>
              </w:rPr>
              <w:t>套</w:t>
            </w:r>
          </w:p>
        </w:tc>
        <w:tc>
          <w:tcPr>
            <w:tcW w:w="1265" w:type="dxa"/>
            <w:shd w:val="clear" w:color="auto" w:fill="auto"/>
            <w:noWrap w:val="0"/>
            <w:vAlign w:val="center"/>
          </w:tcPr>
          <w:p w14:paraId="795263CF">
            <w:pPr>
              <w:widowControl/>
              <w:jc w:val="center"/>
              <w:rPr>
                <w:rFonts w:hint="default" w:ascii="宋体" w:hAnsi="宋体" w:eastAsia="宋体" w:cs="宋体"/>
                <w:i w:val="0"/>
                <w:iCs w:val="0"/>
                <w:color w:val="auto"/>
                <w:sz w:val="22"/>
                <w:szCs w:val="22"/>
                <w:highlight w:val="none"/>
                <w:u w:val="none"/>
                <w:lang w:val="en-US" w:eastAsia="zh-CN" w:bidi="ar"/>
              </w:rPr>
            </w:pPr>
            <w:ins w:id="44" w:author="JDZBzheng" w:date="2026-06-30T12:21:24Z">
              <w:r>
                <w:rPr>
                  <w:rFonts w:hint="eastAsia" w:ascii="宋体" w:hAnsi="宋体" w:cs="宋体"/>
                  <w:i w:val="0"/>
                  <w:iCs w:val="0"/>
                  <w:color w:val="auto"/>
                  <w:sz w:val="22"/>
                  <w:szCs w:val="22"/>
                  <w:highlight w:val="none"/>
                  <w:u w:val="none"/>
                  <w:lang w:val="en-US" w:eastAsia="zh-CN" w:bidi="ar"/>
                </w:rPr>
                <w:t>6000</w:t>
              </w:r>
            </w:ins>
            <w:ins w:id="45" w:author="JDZBzheng" w:date="2026-06-30T12:21:25Z">
              <w:r>
                <w:rPr>
                  <w:rFonts w:hint="eastAsia" w:ascii="宋体" w:hAnsi="宋体" w:cs="宋体"/>
                  <w:i w:val="0"/>
                  <w:iCs w:val="0"/>
                  <w:color w:val="auto"/>
                  <w:sz w:val="22"/>
                  <w:szCs w:val="22"/>
                  <w:highlight w:val="none"/>
                  <w:u w:val="none"/>
                  <w:lang w:val="en-US" w:eastAsia="zh-CN" w:bidi="ar"/>
                </w:rPr>
                <w:t>00.</w:t>
              </w:r>
            </w:ins>
            <w:ins w:id="46" w:author="JDZBzheng" w:date="2026-06-30T12:21:26Z">
              <w:r>
                <w:rPr>
                  <w:rFonts w:hint="eastAsia" w:ascii="宋体" w:hAnsi="宋体" w:cs="宋体"/>
                  <w:i w:val="0"/>
                  <w:iCs w:val="0"/>
                  <w:color w:val="auto"/>
                  <w:sz w:val="22"/>
                  <w:szCs w:val="22"/>
                  <w:highlight w:val="none"/>
                  <w:u w:val="none"/>
                  <w:lang w:val="en-US" w:eastAsia="zh-CN" w:bidi="ar"/>
                </w:rPr>
                <w:t>00</w:t>
              </w:r>
            </w:ins>
          </w:p>
        </w:tc>
        <w:tc>
          <w:tcPr>
            <w:tcW w:w="670" w:type="dxa"/>
            <w:shd w:val="clear" w:color="auto" w:fill="auto"/>
            <w:noWrap w:val="0"/>
            <w:vAlign w:val="center"/>
          </w:tcPr>
          <w:p w14:paraId="25E64AB6">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0365171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用途说明：腹部、小器官、血管、妇科、产科、心脏、急重诊、麻醉、神经、肌骨、疼痛科、肺部、泌尿、儿科、介入及其它</w:t>
            </w:r>
          </w:p>
          <w:p w14:paraId="2E85307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主要技术规格及系统概述：</w:t>
            </w:r>
          </w:p>
          <w:p w14:paraId="6D3A4EC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主机系统性能</w:t>
            </w:r>
          </w:p>
          <w:p w14:paraId="15DA546D">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1.≥15.6英寸高分辨率LCD显示器，可根据环境光变化自动调节亮度，可独立主机调节，角度≥180° </w:t>
            </w:r>
            <w:r>
              <w:rPr>
                <w:rFonts w:hint="eastAsia" w:ascii="宋体" w:hAnsi="宋体" w:eastAsia="宋体" w:cs="宋体"/>
                <w:color w:val="auto"/>
                <w:sz w:val="21"/>
                <w:szCs w:val="21"/>
                <w:highlight w:val="none"/>
                <w:lang w:eastAsia="zh-CN"/>
              </w:rPr>
              <w:t>。</w:t>
            </w:r>
          </w:p>
          <w:p w14:paraId="155D20FC">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▲2.配备≥10英寸可手套操作触摸屏，支持手势操作</w:t>
            </w:r>
            <w:r>
              <w:rPr>
                <w:rFonts w:hint="eastAsia" w:ascii="宋体" w:hAnsi="宋体" w:eastAsia="宋体" w:cs="宋体"/>
                <w:color w:val="auto"/>
                <w:sz w:val="21"/>
                <w:szCs w:val="21"/>
                <w:highlight w:val="none"/>
                <w:lang w:eastAsia="zh-CN"/>
              </w:rPr>
              <w:t>。</w:t>
            </w:r>
          </w:p>
          <w:p w14:paraId="760A1767">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3.操作面板具备物理按键与触摸按键</w:t>
            </w:r>
            <w:r>
              <w:rPr>
                <w:rFonts w:hint="eastAsia" w:ascii="宋体" w:hAnsi="宋体" w:eastAsia="宋体" w:cs="宋体"/>
                <w:color w:val="auto"/>
                <w:sz w:val="21"/>
                <w:szCs w:val="21"/>
                <w:highlight w:val="none"/>
                <w:lang w:eastAsia="zh-CN"/>
              </w:rPr>
              <w:t>。</w:t>
            </w:r>
          </w:p>
          <w:p w14:paraId="152C7696">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4.主机重量≤6.0kg</w:t>
            </w:r>
            <w:r>
              <w:rPr>
                <w:rFonts w:hint="eastAsia" w:ascii="宋体" w:hAnsi="宋体" w:eastAsia="宋体" w:cs="宋体"/>
                <w:color w:val="auto"/>
                <w:sz w:val="21"/>
                <w:szCs w:val="21"/>
                <w:highlight w:val="none"/>
                <w:lang w:eastAsia="zh-CN"/>
              </w:rPr>
              <w:t>。</w:t>
            </w:r>
          </w:p>
          <w:p w14:paraId="3ED8744B">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●5.整机系统最大可同时连接</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4个探头；可依靠主机自带接口实现，也可搭配原厂拓展坞扩展至</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4个探头同步使用，多探头工作时成像性能无衰减</w:t>
            </w:r>
            <w:r>
              <w:rPr>
                <w:rFonts w:hint="eastAsia" w:ascii="宋体" w:hAnsi="宋体" w:eastAsia="宋体" w:cs="宋体"/>
                <w:color w:val="auto"/>
                <w:sz w:val="21"/>
                <w:szCs w:val="21"/>
                <w:highlight w:val="none"/>
                <w:lang w:eastAsia="zh-CN"/>
              </w:rPr>
              <w:t>。</w:t>
            </w:r>
          </w:p>
          <w:p w14:paraId="2B7412E3">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6.主机及台车可配置内置电池</w:t>
            </w:r>
            <w:r>
              <w:rPr>
                <w:rFonts w:hint="eastAsia" w:ascii="宋体" w:hAnsi="宋体" w:eastAsia="宋体" w:cs="宋体"/>
                <w:color w:val="auto"/>
                <w:sz w:val="21"/>
                <w:szCs w:val="21"/>
                <w:highlight w:val="none"/>
                <w:lang w:eastAsia="zh-CN"/>
              </w:rPr>
              <w:t>。</w:t>
            </w:r>
          </w:p>
          <w:p w14:paraId="125188DE">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▲7.支持探头抬起自动唤醒，灵敏度多档可调</w:t>
            </w:r>
            <w:r>
              <w:rPr>
                <w:rFonts w:hint="eastAsia" w:ascii="宋体" w:hAnsi="宋体" w:eastAsia="宋体" w:cs="宋体"/>
                <w:color w:val="auto"/>
                <w:sz w:val="21"/>
                <w:szCs w:val="21"/>
                <w:highlight w:val="none"/>
                <w:lang w:eastAsia="zh-CN"/>
              </w:rPr>
              <w:t>。</w:t>
            </w:r>
          </w:p>
          <w:p w14:paraId="594270AD">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8.数字化全程动态聚焦，数字化可变孔径及动态变迹技术，A/D≥12 bit</w:t>
            </w:r>
            <w:r>
              <w:rPr>
                <w:rFonts w:hint="eastAsia" w:ascii="宋体" w:hAnsi="宋体" w:eastAsia="宋体" w:cs="宋体"/>
                <w:color w:val="auto"/>
                <w:sz w:val="21"/>
                <w:szCs w:val="21"/>
                <w:highlight w:val="none"/>
                <w:lang w:eastAsia="zh-CN"/>
              </w:rPr>
              <w:t>。</w:t>
            </w:r>
          </w:p>
          <w:p w14:paraId="07CD72BF">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9.解剖M型成像，取样线≥3线，可360度任意旋转，支持实时扫描以及离线重构解剖M型图像</w:t>
            </w:r>
            <w:r>
              <w:rPr>
                <w:rFonts w:hint="eastAsia" w:ascii="宋体" w:hAnsi="宋体" w:eastAsia="宋体" w:cs="宋体"/>
                <w:color w:val="auto"/>
                <w:sz w:val="21"/>
                <w:szCs w:val="21"/>
                <w:highlight w:val="none"/>
                <w:lang w:eastAsia="zh-CN"/>
              </w:rPr>
              <w:t>。</w:t>
            </w:r>
          </w:p>
          <w:p w14:paraId="62FAB7A6">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10.高分辨率血流成像，支持线阵、凸阵、相控阵</w:t>
            </w:r>
            <w:r>
              <w:rPr>
                <w:rFonts w:hint="eastAsia" w:ascii="宋体" w:hAnsi="宋体" w:eastAsia="宋体" w:cs="宋体"/>
                <w:color w:val="auto"/>
                <w:sz w:val="21"/>
                <w:szCs w:val="21"/>
                <w:highlight w:val="none"/>
                <w:lang w:eastAsia="zh-CN"/>
              </w:rPr>
              <w:t>。</w:t>
            </w:r>
          </w:p>
          <w:p w14:paraId="3A201ED7">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11.超微细血流成像或微细血流成像或显微血流成像，有效滤除软组织和噪声信号，最大限度保留超低速微细血流的信号</w:t>
            </w:r>
            <w:r>
              <w:rPr>
                <w:rFonts w:hint="eastAsia" w:ascii="宋体" w:hAnsi="宋体" w:eastAsia="宋体" w:cs="宋体"/>
                <w:color w:val="auto"/>
                <w:sz w:val="21"/>
                <w:szCs w:val="21"/>
                <w:highlight w:val="none"/>
                <w:lang w:eastAsia="zh-CN"/>
              </w:rPr>
              <w:t>。</w:t>
            </w:r>
          </w:p>
          <w:p w14:paraId="681C6914">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12.扩展成像，支持线阵、凸阵、相控阵，支持与二维、彩色</w:t>
            </w:r>
            <w:bookmarkStart w:id="37" w:name="OLE_LINK8"/>
            <w:bookmarkStart w:id="38" w:name="OLE_LINK9"/>
            <w:bookmarkStart w:id="39" w:name="OLE_LINK42"/>
            <w:bookmarkStart w:id="40" w:name="OLE_LINK43"/>
            <w:r>
              <w:rPr>
                <w:rFonts w:hint="eastAsia" w:ascii="宋体" w:hAnsi="宋体" w:eastAsia="宋体" w:cs="宋体"/>
                <w:color w:val="auto"/>
                <w:sz w:val="21"/>
                <w:szCs w:val="21"/>
                <w:highlight w:val="none"/>
              </w:rPr>
              <w:t>、能量</w:t>
            </w:r>
            <w:bookmarkEnd w:id="37"/>
            <w:bookmarkEnd w:id="38"/>
            <w:r>
              <w:rPr>
                <w:rFonts w:hint="eastAsia" w:ascii="宋体" w:hAnsi="宋体" w:eastAsia="宋体" w:cs="宋体"/>
                <w:color w:val="auto"/>
                <w:sz w:val="21"/>
                <w:szCs w:val="21"/>
                <w:highlight w:val="none"/>
              </w:rPr>
              <w:t>多普勒</w:t>
            </w:r>
            <w:bookmarkEnd w:id="39"/>
            <w:bookmarkEnd w:id="40"/>
            <w:r>
              <w:rPr>
                <w:rFonts w:hint="eastAsia" w:ascii="宋体" w:hAnsi="宋体" w:eastAsia="宋体" w:cs="宋体"/>
                <w:color w:val="auto"/>
                <w:sz w:val="21"/>
                <w:szCs w:val="21"/>
                <w:highlight w:val="none"/>
              </w:rPr>
              <w:t>等成像模式配合使用</w:t>
            </w:r>
            <w:r>
              <w:rPr>
                <w:rFonts w:hint="eastAsia" w:ascii="宋体" w:hAnsi="宋体" w:eastAsia="宋体" w:cs="宋体"/>
                <w:color w:val="auto"/>
                <w:sz w:val="21"/>
                <w:szCs w:val="21"/>
                <w:highlight w:val="none"/>
                <w:lang w:eastAsia="zh-CN"/>
              </w:rPr>
              <w:t>。</w:t>
            </w:r>
          </w:p>
          <w:p w14:paraId="512B442A">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13.一键自动优化，支持B模式、M模式、彩色模式、PW模式</w:t>
            </w:r>
            <w:r>
              <w:rPr>
                <w:rFonts w:hint="eastAsia" w:ascii="宋体" w:hAnsi="宋体" w:eastAsia="宋体" w:cs="宋体"/>
                <w:color w:val="auto"/>
                <w:sz w:val="21"/>
                <w:szCs w:val="21"/>
                <w:highlight w:val="none"/>
                <w:lang w:eastAsia="zh-CN"/>
              </w:rPr>
              <w:t>。</w:t>
            </w:r>
          </w:p>
          <w:p w14:paraId="7B5F7C95">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14.图像放大功能，支持前端放大、后端放大</w:t>
            </w:r>
            <w:r>
              <w:rPr>
                <w:rFonts w:hint="eastAsia" w:ascii="宋体" w:hAnsi="宋体" w:eastAsia="宋体" w:cs="宋体"/>
                <w:color w:val="auto"/>
                <w:sz w:val="21"/>
                <w:szCs w:val="21"/>
                <w:highlight w:val="none"/>
                <w:lang w:eastAsia="zh-CN"/>
              </w:rPr>
              <w:t>。</w:t>
            </w:r>
          </w:p>
          <w:p w14:paraId="5348CC26">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15.多语言操作界面：支持中英文键盘输入</w:t>
            </w:r>
            <w:r>
              <w:rPr>
                <w:rFonts w:hint="eastAsia" w:ascii="宋体" w:hAnsi="宋体" w:eastAsia="宋体" w:cs="宋体"/>
                <w:color w:val="auto"/>
                <w:sz w:val="21"/>
                <w:szCs w:val="21"/>
                <w:highlight w:val="none"/>
                <w:lang w:eastAsia="zh-CN"/>
              </w:rPr>
              <w:t>。</w:t>
            </w:r>
          </w:p>
          <w:p w14:paraId="640FA0C0">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16.穿刺引导功能，具备单线引导、双线引导以及中位线引导</w:t>
            </w:r>
            <w:bookmarkStart w:id="41" w:name="OLE_LINK45"/>
            <w:bookmarkStart w:id="42" w:name="OLE_LINK12"/>
            <w:bookmarkStart w:id="43" w:name="OLE_LINK13"/>
            <w:r>
              <w:rPr>
                <w:rFonts w:hint="eastAsia" w:ascii="宋体" w:hAnsi="宋体" w:eastAsia="宋体" w:cs="宋体"/>
                <w:color w:val="auto"/>
                <w:sz w:val="21"/>
                <w:szCs w:val="21"/>
                <w:highlight w:val="none"/>
              </w:rPr>
              <w:t>，具备点状引导线，标识进针深度，沿引导线可移动滑块、有深度数值显示</w:t>
            </w:r>
            <w:bookmarkEnd w:id="41"/>
            <w:bookmarkEnd w:id="42"/>
            <w:bookmarkEnd w:id="43"/>
            <w:r>
              <w:rPr>
                <w:rFonts w:hint="eastAsia" w:ascii="宋体" w:hAnsi="宋体" w:eastAsia="宋体" w:cs="宋体"/>
                <w:color w:val="auto"/>
                <w:sz w:val="21"/>
                <w:szCs w:val="21"/>
                <w:highlight w:val="none"/>
                <w:lang w:eastAsia="zh-CN"/>
              </w:rPr>
              <w:t>。</w:t>
            </w:r>
          </w:p>
          <w:p w14:paraId="05E996C6">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17.穿刺增强</w:t>
            </w:r>
            <w:bookmarkStart w:id="44" w:name="OLE_LINK47"/>
            <w:bookmarkStart w:id="45" w:name="OLE_LINK46"/>
            <w:r>
              <w:rPr>
                <w:rFonts w:hint="eastAsia" w:ascii="宋体" w:hAnsi="宋体" w:eastAsia="宋体" w:cs="宋体"/>
                <w:color w:val="auto"/>
                <w:sz w:val="21"/>
                <w:szCs w:val="21"/>
                <w:highlight w:val="none"/>
              </w:rPr>
              <w:t>，具备双幅实时对比显示，增强前后效果，支持增强区域多角度可调</w:t>
            </w:r>
            <w:bookmarkEnd w:id="44"/>
            <w:bookmarkEnd w:id="45"/>
            <w:r>
              <w:rPr>
                <w:rFonts w:hint="eastAsia" w:ascii="宋体" w:hAnsi="宋体" w:eastAsia="宋体" w:cs="宋体"/>
                <w:color w:val="auto"/>
                <w:sz w:val="21"/>
                <w:szCs w:val="21"/>
                <w:highlight w:val="none"/>
                <w:lang w:eastAsia="zh-CN"/>
              </w:rPr>
              <w:t>。</w:t>
            </w:r>
          </w:p>
          <w:p w14:paraId="491EE8AD">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18.实时宽景成像</w:t>
            </w:r>
            <w:bookmarkStart w:id="46" w:name="_Hlk3540265"/>
            <w:r>
              <w:rPr>
                <w:rFonts w:hint="eastAsia" w:ascii="宋体" w:hAnsi="宋体" w:eastAsia="宋体" w:cs="宋体"/>
                <w:color w:val="auto"/>
                <w:sz w:val="21"/>
                <w:szCs w:val="21"/>
                <w:highlight w:val="none"/>
              </w:rPr>
              <w:t>，支持线阵、凸阵、相控阵探头，并具备红、绿、蓝速度提示功能</w:t>
            </w:r>
            <w:bookmarkEnd w:id="46"/>
            <w:r>
              <w:rPr>
                <w:rFonts w:hint="eastAsia" w:ascii="宋体" w:hAnsi="宋体" w:eastAsia="宋体" w:cs="宋体"/>
                <w:color w:val="auto"/>
                <w:sz w:val="21"/>
                <w:szCs w:val="21"/>
                <w:highlight w:val="none"/>
              </w:rPr>
              <w:t>，支持向前擦除以及中途停止、重新采集操作，无需退出当前宽景成像高级功能</w:t>
            </w:r>
            <w:r>
              <w:rPr>
                <w:rFonts w:hint="eastAsia" w:ascii="宋体" w:hAnsi="宋体" w:eastAsia="宋体" w:cs="宋体"/>
                <w:color w:val="auto"/>
                <w:sz w:val="21"/>
                <w:szCs w:val="21"/>
                <w:highlight w:val="none"/>
                <w:lang w:eastAsia="zh-CN"/>
              </w:rPr>
              <w:t>。</w:t>
            </w:r>
          </w:p>
          <w:p w14:paraId="7AC4EEA4">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19.弹性成像</w:t>
            </w:r>
            <w:r>
              <w:rPr>
                <w:rFonts w:hint="eastAsia" w:ascii="宋体" w:hAnsi="宋体" w:eastAsia="宋体" w:cs="宋体"/>
                <w:color w:val="auto"/>
                <w:sz w:val="21"/>
                <w:szCs w:val="21"/>
                <w:highlight w:val="none"/>
                <w:lang w:eastAsia="zh-CN"/>
              </w:rPr>
              <w:t>。</w:t>
            </w:r>
          </w:p>
          <w:p w14:paraId="033061F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20.造影成像及定量分析</w:t>
            </w:r>
          </w:p>
          <w:p w14:paraId="7EC9EA20">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20.1具有实时双幅显示组织图像和造影图像，造影参数与二维参数可独立调节</w:t>
            </w:r>
            <w:r>
              <w:rPr>
                <w:rFonts w:hint="eastAsia" w:ascii="宋体" w:hAnsi="宋体" w:eastAsia="宋体" w:cs="宋体"/>
                <w:color w:val="auto"/>
                <w:sz w:val="21"/>
                <w:szCs w:val="21"/>
                <w:highlight w:val="none"/>
                <w:lang w:eastAsia="zh-CN"/>
              </w:rPr>
              <w:t>。</w:t>
            </w:r>
          </w:p>
          <w:p w14:paraId="13458CCA">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20.2支持向后存储≥10分钟电影</w:t>
            </w:r>
            <w:r>
              <w:rPr>
                <w:rFonts w:hint="eastAsia" w:ascii="宋体" w:hAnsi="宋体" w:eastAsia="宋体" w:cs="宋体"/>
                <w:color w:val="auto"/>
                <w:sz w:val="21"/>
                <w:szCs w:val="21"/>
                <w:highlight w:val="none"/>
                <w:lang w:eastAsia="zh-CN"/>
              </w:rPr>
              <w:t>。</w:t>
            </w:r>
          </w:p>
          <w:p w14:paraId="115461AC">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20.3造影定量分析功能，支持时间强度分析曲线，以表格的形式显示数据，取样点可跟踪感兴趣区运动，≥5个ROI</w:t>
            </w:r>
            <w:r>
              <w:rPr>
                <w:rFonts w:hint="eastAsia" w:ascii="宋体" w:hAnsi="宋体" w:eastAsia="宋体" w:cs="宋体"/>
                <w:color w:val="auto"/>
                <w:sz w:val="21"/>
                <w:szCs w:val="21"/>
                <w:highlight w:val="none"/>
                <w:lang w:eastAsia="zh-CN"/>
              </w:rPr>
              <w:t>。</w:t>
            </w:r>
          </w:p>
          <w:p w14:paraId="62B0CB72">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21.肌骨自动标注</w:t>
            </w:r>
            <w:r>
              <w:rPr>
                <w:rFonts w:hint="eastAsia" w:ascii="宋体" w:hAnsi="宋体" w:eastAsia="宋体" w:cs="宋体"/>
                <w:color w:val="auto"/>
                <w:sz w:val="21"/>
                <w:szCs w:val="21"/>
                <w:highlight w:val="none"/>
                <w:lang w:eastAsia="zh-CN"/>
              </w:rPr>
              <w:t>。</w:t>
            </w:r>
          </w:p>
          <w:p w14:paraId="6ABF5B2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探头规格</w:t>
            </w:r>
          </w:p>
          <w:p w14:paraId="67DFFBAD">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22.超宽频变频探头：基波≥5种，谐波≥5种，可视可调</w:t>
            </w:r>
            <w:r>
              <w:rPr>
                <w:rFonts w:hint="eastAsia" w:ascii="宋体" w:hAnsi="宋体" w:eastAsia="宋体" w:cs="宋体"/>
                <w:color w:val="auto"/>
                <w:sz w:val="21"/>
                <w:szCs w:val="21"/>
                <w:highlight w:val="none"/>
                <w:lang w:eastAsia="zh-CN"/>
              </w:rPr>
              <w:t>。</w:t>
            </w:r>
          </w:p>
          <w:p w14:paraId="7DDCD58A">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23.腹部凸阵探头，探头频率：1.0-7.0MHz</w:t>
            </w:r>
            <w:r>
              <w:rPr>
                <w:rFonts w:hint="eastAsia" w:ascii="宋体" w:hAnsi="宋体" w:eastAsia="宋体" w:cs="宋体"/>
                <w:color w:val="auto"/>
                <w:sz w:val="21"/>
                <w:szCs w:val="21"/>
                <w:highlight w:val="none"/>
                <w:lang w:eastAsia="zh-CN"/>
              </w:rPr>
              <w:t>。</w:t>
            </w:r>
          </w:p>
          <w:p w14:paraId="7E301892">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24.浅表线阵探头，探头频率：4.0-16.0MHz</w:t>
            </w:r>
            <w:r>
              <w:rPr>
                <w:rFonts w:hint="eastAsia" w:ascii="宋体" w:hAnsi="宋体" w:eastAsia="宋体" w:cs="宋体"/>
                <w:color w:val="auto"/>
                <w:sz w:val="21"/>
                <w:szCs w:val="21"/>
                <w:highlight w:val="none"/>
                <w:lang w:eastAsia="zh-CN"/>
              </w:rPr>
              <w:t>。</w:t>
            </w:r>
          </w:p>
          <w:p w14:paraId="371B8DF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二维灰阶参数</w:t>
            </w:r>
          </w:p>
          <w:p w14:paraId="40840FED">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25.最大显示深度≥38cm</w:t>
            </w:r>
            <w:r>
              <w:rPr>
                <w:rFonts w:hint="eastAsia" w:ascii="宋体" w:hAnsi="宋体" w:eastAsia="宋体" w:cs="宋体"/>
                <w:color w:val="auto"/>
                <w:sz w:val="21"/>
                <w:szCs w:val="21"/>
                <w:highlight w:val="none"/>
                <w:lang w:eastAsia="zh-CN"/>
              </w:rPr>
              <w:t>。</w:t>
            </w:r>
          </w:p>
          <w:p w14:paraId="4E5B71BE">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26.发射声束聚焦：聚焦区域多级可调</w:t>
            </w:r>
            <w:r>
              <w:rPr>
                <w:rFonts w:hint="eastAsia" w:ascii="宋体" w:hAnsi="宋体" w:eastAsia="宋体" w:cs="宋体"/>
                <w:color w:val="auto"/>
                <w:sz w:val="21"/>
                <w:szCs w:val="21"/>
                <w:highlight w:val="none"/>
                <w:lang w:eastAsia="zh-CN"/>
              </w:rPr>
              <w:t>。</w:t>
            </w:r>
          </w:p>
          <w:p w14:paraId="7121CEB0">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27.可视可调动态范围≥300 dB</w:t>
            </w:r>
            <w:r>
              <w:rPr>
                <w:rFonts w:hint="eastAsia" w:ascii="宋体" w:hAnsi="宋体" w:eastAsia="宋体" w:cs="宋体"/>
                <w:color w:val="auto"/>
                <w:sz w:val="21"/>
                <w:szCs w:val="21"/>
                <w:highlight w:val="none"/>
                <w:lang w:eastAsia="zh-CN"/>
              </w:rPr>
              <w:t>。</w:t>
            </w:r>
          </w:p>
          <w:p w14:paraId="1093D3B5">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28.TGC分段调节≥8段，LGC侧向增益补偿≥8段</w:t>
            </w:r>
            <w:r>
              <w:rPr>
                <w:rFonts w:hint="eastAsia" w:ascii="宋体" w:hAnsi="宋体" w:eastAsia="宋体" w:cs="宋体"/>
                <w:color w:val="auto"/>
                <w:sz w:val="21"/>
                <w:szCs w:val="21"/>
                <w:highlight w:val="none"/>
                <w:lang w:eastAsia="zh-CN"/>
              </w:rPr>
              <w:t>。</w:t>
            </w:r>
          </w:p>
          <w:p w14:paraId="4D571C13">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29.伪彩≥12种</w:t>
            </w:r>
            <w:r>
              <w:rPr>
                <w:rFonts w:hint="eastAsia" w:ascii="宋体" w:hAnsi="宋体" w:eastAsia="宋体" w:cs="宋体"/>
                <w:color w:val="auto"/>
                <w:sz w:val="21"/>
                <w:szCs w:val="21"/>
                <w:highlight w:val="none"/>
                <w:lang w:eastAsia="zh-CN"/>
              </w:rPr>
              <w:t>。</w:t>
            </w:r>
          </w:p>
          <w:p w14:paraId="7DD81138">
            <w:pPr>
              <w:wordWrap w:val="0"/>
              <w:spacing w:line="440" w:lineRule="exact"/>
              <w:rPr>
                <w:rFonts w:hint="eastAsia" w:ascii="宋体" w:hAnsi="宋体" w:eastAsia="宋体" w:cs="宋体"/>
                <w:color w:val="auto"/>
                <w:sz w:val="21"/>
                <w:szCs w:val="21"/>
                <w:highlight w:val="none"/>
              </w:rPr>
            </w:pPr>
            <w:bookmarkStart w:id="47" w:name="OLE_LINK34"/>
            <w:r>
              <w:rPr>
                <w:rFonts w:hint="eastAsia" w:ascii="宋体" w:hAnsi="宋体" w:eastAsia="宋体" w:cs="宋体"/>
                <w:color w:val="auto"/>
                <w:sz w:val="21"/>
                <w:szCs w:val="21"/>
                <w:highlight w:val="none"/>
              </w:rPr>
              <w:t>彩色多普勒参数</w:t>
            </w:r>
            <w:bookmarkEnd w:id="47"/>
          </w:p>
          <w:p w14:paraId="3C1B4E01">
            <w:pPr>
              <w:wordWrap w:val="0"/>
              <w:spacing w:line="440" w:lineRule="exact"/>
              <w:rPr>
                <w:rFonts w:hint="eastAsia" w:ascii="宋体" w:hAnsi="宋体" w:eastAsia="宋体" w:cs="宋体"/>
                <w:color w:val="auto"/>
                <w:sz w:val="21"/>
                <w:szCs w:val="21"/>
                <w:highlight w:val="none"/>
                <w:lang w:eastAsia="zh-CN"/>
              </w:rPr>
            </w:pPr>
            <w:bookmarkStart w:id="48" w:name="_Hlk17386504"/>
            <w:r>
              <w:rPr>
                <w:rFonts w:hint="eastAsia" w:ascii="宋体" w:hAnsi="宋体" w:eastAsia="宋体" w:cs="宋体"/>
                <w:color w:val="auto"/>
                <w:sz w:val="21"/>
                <w:szCs w:val="21"/>
                <w:highlight w:val="none"/>
              </w:rPr>
              <w:t>30.包括速度、速度方差、能量、方向能量显示等</w:t>
            </w:r>
            <w:r>
              <w:rPr>
                <w:rFonts w:hint="eastAsia" w:ascii="宋体" w:hAnsi="宋体" w:eastAsia="宋体" w:cs="宋体"/>
                <w:color w:val="auto"/>
                <w:sz w:val="21"/>
                <w:szCs w:val="21"/>
                <w:highlight w:val="none"/>
                <w:lang w:eastAsia="zh-CN"/>
              </w:rPr>
              <w:t>。</w:t>
            </w:r>
          </w:p>
          <w:bookmarkEnd w:id="48"/>
          <w:p w14:paraId="53383B9A">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31.多普勒增益可调节，支持B/C双实时，一键隐藏血流</w:t>
            </w:r>
            <w:r>
              <w:rPr>
                <w:rFonts w:hint="eastAsia" w:ascii="宋体" w:hAnsi="宋体" w:eastAsia="宋体" w:cs="宋体"/>
                <w:color w:val="auto"/>
                <w:sz w:val="21"/>
                <w:szCs w:val="21"/>
                <w:highlight w:val="none"/>
                <w:lang w:eastAsia="zh-CN"/>
              </w:rPr>
              <w:t>。</w:t>
            </w:r>
          </w:p>
          <w:p w14:paraId="4EC28CC6">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32.彩色多普勒定量分析软件：彩色血流剖面图、定点测速功能</w:t>
            </w:r>
            <w:r>
              <w:rPr>
                <w:rFonts w:hint="eastAsia" w:ascii="宋体" w:hAnsi="宋体" w:eastAsia="宋体" w:cs="宋体"/>
                <w:color w:val="auto"/>
                <w:sz w:val="21"/>
                <w:szCs w:val="21"/>
                <w:highlight w:val="none"/>
                <w:lang w:eastAsia="zh-CN"/>
              </w:rPr>
              <w:t>。</w:t>
            </w:r>
          </w:p>
          <w:p w14:paraId="6352109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频谱多普勒</w:t>
            </w:r>
            <w:bookmarkStart w:id="49" w:name="OLE_LINK35"/>
            <w:r>
              <w:rPr>
                <w:rFonts w:hint="eastAsia" w:ascii="宋体" w:hAnsi="宋体" w:eastAsia="宋体" w:cs="宋体"/>
                <w:color w:val="auto"/>
                <w:sz w:val="21"/>
                <w:szCs w:val="21"/>
                <w:highlight w:val="none"/>
              </w:rPr>
              <w:t>参数</w:t>
            </w:r>
            <w:bookmarkEnd w:id="49"/>
          </w:p>
          <w:p w14:paraId="7E63297F">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33.方式：脉冲波多普勒（PW）、连续波多普勒（CW）</w:t>
            </w:r>
            <w:bookmarkStart w:id="50" w:name="_Hlk17386517"/>
            <w:r>
              <w:rPr>
                <w:rFonts w:hint="eastAsia" w:ascii="宋体" w:hAnsi="宋体" w:eastAsia="宋体" w:cs="宋体"/>
                <w:color w:val="auto"/>
                <w:sz w:val="21"/>
                <w:szCs w:val="21"/>
                <w:highlight w:val="none"/>
              </w:rPr>
              <w:t>、高脉冲重复频率多普勒（HPRF）</w:t>
            </w:r>
            <w:bookmarkEnd w:id="50"/>
            <w:r>
              <w:rPr>
                <w:rFonts w:hint="eastAsia" w:ascii="宋体" w:hAnsi="宋体" w:eastAsia="宋体" w:cs="宋体"/>
                <w:color w:val="auto"/>
                <w:sz w:val="21"/>
                <w:szCs w:val="21"/>
                <w:highlight w:val="none"/>
                <w:lang w:eastAsia="zh-CN"/>
              </w:rPr>
              <w:t>。</w:t>
            </w:r>
          </w:p>
          <w:p w14:paraId="56BD2A5A">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34.取样宽度及位置范围：宽度0.5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30mm，多级可调</w:t>
            </w:r>
            <w:r>
              <w:rPr>
                <w:rFonts w:hint="eastAsia" w:ascii="宋体" w:hAnsi="宋体" w:eastAsia="宋体" w:cs="宋体"/>
                <w:color w:val="auto"/>
                <w:sz w:val="21"/>
                <w:szCs w:val="21"/>
                <w:highlight w:val="none"/>
                <w:lang w:eastAsia="zh-CN"/>
              </w:rPr>
              <w:t>。。</w:t>
            </w:r>
          </w:p>
          <w:p w14:paraId="75285563">
            <w:pPr>
              <w:wordWrap w:val="0"/>
              <w:spacing w:line="440" w:lineRule="exact"/>
              <w:rPr>
                <w:rFonts w:hint="eastAsia" w:ascii="宋体" w:hAnsi="宋体" w:eastAsia="宋体" w:cs="宋体"/>
                <w:color w:val="auto"/>
                <w:sz w:val="21"/>
                <w:szCs w:val="21"/>
                <w:highlight w:val="none"/>
                <w:lang w:eastAsia="zh-CN"/>
              </w:rPr>
            </w:pPr>
            <w:bookmarkStart w:id="51" w:name="OLE_LINK68"/>
            <w:bookmarkStart w:id="52" w:name="OLE_LINK63"/>
            <w:bookmarkStart w:id="53" w:name="OLE_LINK37"/>
            <w:bookmarkStart w:id="54" w:name="OLE_LINK36"/>
            <w:r>
              <w:rPr>
                <w:rFonts w:hint="eastAsia" w:ascii="宋体" w:hAnsi="宋体" w:eastAsia="宋体" w:cs="宋体"/>
                <w:color w:val="auto"/>
                <w:sz w:val="21"/>
                <w:szCs w:val="21"/>
                <w:highlight w:val="none"/>
              </w:rPr>
              <w:t>35.频谱实时包络功能，在实时诊断下，频谱实时包络并显示血流参数</w:t>
            </w:r>
            <w:bookmarkEnd w:id="51"/>
            <w:bookmarkEnd w:id="52"/>
            <w:bookmarkEnd w:id="53"/>
            <w:bookmarkEnd w:id="54"/>
            <w:r>
              <w:rPr>
                <w:rFonts w:hint="eastAsia" w:ascii="宋体" w:hAnsi="宋体" w:eastAsia="宋体" w:cs="宋体"/>
                <w:color w:val="auto"/>
                <w:sz w:val="21"/>
                <w:szCs w:val="21"/>
                <w:highlight w:val="none"/>
              </w:rPr>
              <w:t>，可自定义设置测量参数项</w:t>
            </w:r>
            <w:r>
              <w:rPr>
                <w:rFonts w:hint="eastAsia" w:ascii="宋体" w:hAnsi="宋体" w:eastAsia="宋体" w:cs="宋体"/>
                <w:color w:val="auto"/>
                <w:sz w:val="21"/>
                <w:szCs w:val="21"/>
                <w:highlight w:val="none"/>
                <w:lang w:eastAsia="zh-CN"/>
              </w:rPr>
              <w:t>。</w:t>
            </w:r>
          </w:p>
          <w:p w14:paraId="28C02E7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系统通用技术规格</w:t>
            </w:r>
          </w:p>
          <w:p w14:paraId="4E233A67">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36.内置锂电池独立供电，电池独立供电工作时间&gt;1.3小时</w:t>
            </w:r>
            <w:r>
              <w:rPr>
                <w:rFonts w:hint="eastAsia" w:ascii="宋体" w:hAnsi="宋体" w:eastAsia="宋体" w:cs="宋体"/>
                <w:color w:val="auto"/>
                <w:sz w:val="21"/>
                <w:szCs w:val="21"/>
                <w:highlight w:val="none"/>
                <w:lang w:eastAsia="zh-CN"/>
              </w:rPr>
              <w:t>。</w:t>
            </w:r>
          </w:p>
          <w:p w14:paraId="0443C20C">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37.主机内置HDMI视频输出接口</w:t>
            </w:r>
            <w:r>
              <w:rPr>
                <w:rFonts w:hint="eastAsia" w:ascii="宋体" w:hAnsi="宋体" w:eastAsia="宋体" w:cs="宋体"/>
                <w:color w:val="auto"/>
                <w:sz w:val="21"/>
                <w:szCs w:val="21"/>
                <w:highlight w:val="none"/>
                <w:lang w:eastAsia="zh-CN"/>
              </w:rPr>
              <w:t>。</w:t>
            </w:r>
          </w:p>
          <w:p w14:paraId="22C8F856">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38.内置≥1T硬盘</w:t>
            </w:r>
            <w:r>
              <w:rPr>
                <w:rFonts w:hint="eastAsia" w:ascii="宋体" w:hAnsi="宋体" w:eastAsia="宋体" w:cs="宋体"/>
                <w:color w:val="auto"/>
                <w:sz w:val="21"/>
                <w:szCs w:val="21"/>
                <w:highlight w:val="none"/>
                <w:lang w:eastAsia="zh-CN"/>
              </w:rPr>
              <w:t>。</w:t>
            </w:r>
          </w:p>
          <w:p w14:paraId="48783D8E">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39.可升降台车</w:t>
            </w:r>
            <w:r>
              <w:rPr>
                <w:rFonts w:hint="eastAsia" w:ascii="宋体" w:hAnsi="宋体" w:eastAsia="宋体" w:cs="宋体"/>
                <w:color w:val="auto"/>
                <w:sz w:val="21"/>
                <w:szCs w:val="21"/>
                <w:highlight w:val="none"/>
                <w:lang w:eastAsia="zh-CN"/>
              </w:rPr>
              <w:t>。</w:t>
            </w:r>
          </w:p>
          <w:p w14:paraId="72D5C36F">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40.扩展4探头接口</w:t>
            </w:r>
            <w:r>
              <w:rPr>
                <w:rFonts w:hint="eastAsia" w:ascii="宋体" w:hAnsi="宋体" w:eastAsia="宋体" w:cs="宋体"/>
                <w:color w:val="auto"/>
                <w:sz w:val="21"/>
                <w:szCs w:val="21"/>
                <w:highlight w:val="none"/>
                <w:lang w:eastAsia="zh-CN"/>
              </w:rPr>
              <w:t>。</w:t>
            </w:r>
          </w:p>
          <w:p w14:paraId="105A87D4">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41.主机内置USB3.0接口≥3个、Type-C接口</w:t>
            </w:r>
            <w:r>
              <w:rPr>
                <w:rFonts w:hint="eastAsia" w:ascii="宋体" w:hAnsi="宋体" w:eastAsia="宋体" w:cs="宋体"/>
                <w:color w:val="auto"/>
                <w:sz w:val="21"/>
                <w:szCs w:val="21"/>
                <w:highlight w:val="none"/>
                <w:lang w:eastAsia="zh-CN"/>
              </w:rPr>
              <w:t>。</w:t>
            </w:r>
          </w:p>
          <w:p w14:paraId="45479EE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测量和分析</w:t>
            </w:r>
          </w:p>
          <w:p w14:paraId="4EA557DB">
            <w:pPr>
              <w:wordWrap w:val="0"/>
              <w:spacing w:line="440" w:lineRule="exact"/>
              <w:rPr>
                <w:rFonts w:hint="eastAsia" w:ascii="宋体" w:hAnsi="宋体" w:eastAsia="宋体" w:cs="宋体"/>
                <w:color w:val="auto"/>
                <w:sz w:val="21"/>
                <w:szCs w:val="21"/>
                <w:highlight w:val="none"/>
                <w:lang w:eastAsia="zh-CN"/>
              </w:rPr>
            </w:pPr>
            <w:bookmarkStart w:id="55" w:name="OLE_LINK70"/>
            <w:bookmarkStart w:id="56" w:name="OLE_LINK69"/>
            <w:bookmarkStart w:id="57" w:name="OLE_LINK28"/>
            <w:r>
              <w:rPr>
                <w:rFonts w:hint="eastAsia" w:ascii="宋体" w:hAnsi="宋体" w:eastAsia="宋体" w:cs="宋体"/>
                <w:color w:val="auto"/>
                <w:sz w:val="21"/>
                <w:szCs w:val="21"/>
                <w:highlight w:val="none"/>
              </w:rPr>
              <w:t>42.基础</w:t>
            </w:r>
            <w:bookmarkEnd w:id="55"/>
            <w:bookmarkEnd w:id="56"/>
            <w:r>
              <w:rPr>
                <w:rFonts w:hint="eastAsia" w:ascii="宋体" w:hAnsi="宋体" w:eastAsia="宋体" w:cs="宋体"/>
                <w:color w:val="auto"/>
                <w:sz w:val="21"/>
                <w:szCs w:val="21"/>
                <w:highlight w:val="none"/>
              </w:rPr>
              <w:t>测量软件包</w:t>
            </w:r>
            <w:bookmarkEnd w:id="57"/>
            <w:r>
              <w:rPr>
                <w:rFonts w:hint="eastAsia" w:ascii="宋体" w:hAnsi="宋体" w:eastAsia="宋体" w:cs="宋体"/>
                <w:color w:val="auto"/>
                <w:sz w:val="21"/>
                <w:szCs w:val="21"/>
                <w:highlight w:val="none"/>
              </w:rPr>
              <w:t>：距离、面积、体积、角度、时间、斜率、心率等</w:t>
            </w:r>
            <w:r>
              <w:rPr>
                <w:rFonts w:hint="eastAsia" w:ascii="宋体" w:hAnsi="宋体" w:eastAsia="宋体" w:cs="宋体"/>
                <w:color w:val="auto"/>
                <w:sz w:val="21"/>
                <w:szCs w:val="21"/>
                <w:highlight w:val="none"/>
                <w:lang w:eastAsia="zh-CN"/>
              </w:rPr>
              <w:t>。</w:t>
            </w:r>
          </w:p>
          <w:p w14:paraId="53D6D459">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43.腹部测量软件包</w:t>
            </w:r>
            <w:r>
              <w:rPr>
                <w:rFonts w:hint="eastAsia" w:ascii="宋体" w:hAnsi="宋体" w:eastAsia="宋体" w:cs="宋体"/>
                <w:color w:val="auto"/>
                <w:sz w:val="21"/>
                <w:szCs w:val="21"/>
                <w:highlight w:val="none"/>
                <w:lang w:eastAsia="zh-CN"/>
              </w:rPr>
              <w:t>。</w:t>
            </w:r>
          </w:p>
          <w:p w14:paraId="4C335E6F">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44.小器官测量软件包</w:t>
            </w:r>
            <w:r>
              <w:rPr>
                <w:rFonts w:hint="eastAsia" w:ascii="宋体" w:hAnsi="宋体" w:eastAsia="宋体" w:cs="宋体"/>
                <w:color w:val="auto"/>
                <w:sz w:val="21"/>
                <w:szCs w:val="21"/>
                <w:highlight w:val="none"/>
                <w:lang w:eastAsia="zh-CN"/>
              </w:rPr>
              <w:t>。</w:t>
            </w:r>
          </w:p>
          <w:p w14:paraId="5E0BBDEE">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45.血管测量软件包</w:t>
            </w:r>
            <w:bookmarkStart w:id="58" w:name="OLE_LINK71"/>
            <w:r>
              <w:rPr>
                <w:rFonts w:hint="eastAsia" w:ascii="宋体" w:hAnsi="宋体" w:eastAsia="宋体" w:cs="宋体"/>
                <w:color w:val="auto"/>
                <w:sz w:val="21"/>
                <w:szCs w:val="21"/>
                <w:highlight w:val="none"/>
              </w:rPr>
              <w:t>：AutoIMT内中膜自动测量，按前、后壁和左右部位划分</w:t>
            </w:r>
            <w:r>
              <w:rPr>
                <w:rFonts w:hint="eastAsia" w:ascii="宋体" w:hAnsi="宋体" w:eastAsia="宋体" w:cs="宋体"/>
                <w:color w:val="auto"/>
                <w:sz w:val="21"/>
                <w:szCs w:val="21"/>
                <w:highlight w:val="none"/>
                <w:lang w:eastAsia="zh-CN"/>
              </w:rPr>
              <w:t>。</w:t>
            </w:r>
          </w:p>
          <w:bookmarkEnd w:id="58"/>
          <w:p w14:paraId="68816A6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配置清单</w:t>
            </w:r>
          </w:p>
          <w:p w14:paraId="15187C2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1.便携式彩色多普勒超声主机1台；</w:t>
            </w:r>
          </w:p>
          <w:p w14:paraId="7F733C4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2.专用超声台车1辆；</w:t>
            </w:r>
          </w:p>
          <w:p w14:paraId="2C02507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3.腹部凸阵探头1个；</w:t>
            </w:r>
          </w:p>
          <w:p w14:paraId="2836B49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4.高频浅表探头1个。</w:t>
            </w:r>
          </w:p>
          <w:p w14:paraId="22034FF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其他要求</w:t>
            </w:r>
          </w:p>
          <w:p w14:paraId="5A04C34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电源：外部交流电源：100-240VAC，50/60Hz</w:t>
            </w:r>
          </w:p>
          <w:p w14:paraId="5DB7B20A">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设备使用期限≥10年。</w:t>
            </w:r>
          </w:p>
        </w:tc>
      </w:tr>
      <w:tr w14:paraId="57105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16E28ED1">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7</w:t>
            </w:r>
          </w:p>
        </w:tc>
        <w:tc>
          <w:tcPr>
            <w:tcW w:w="1190" w:type="dxa"/>
            <w:noWrap w:val="0"/>
            <w:vAlign w:val="center"/>
          </w:tcPr>
          <w:p w14:paraId="70E388B0">
            <w:pPr>
              <w:widowControl/>
              <w:jc w:val="center"/>
              <w:rPr>
                <w:rFonts w:hint="eastAsia" w:ascii="Arial" w:hAnsi="Arial" w:eastAsia="宋体" w:cs="Arial"/>
                <w:bCs/>
                <w:color w:val="auto"/>
                <w:szCs w:val="21"/>
                <w:highlight w:val="none"/>
                <w:lang w:eastAsia="zh-CN"/>
              </w:rPr>
            </w:pPr>
            <w:r>
              <w:rPr>
                <w:rFonts w:hint="eastAsia" w:ascii="Arial" w:hAnsi="Arial" w:eastAsia="宋体" w:cs="Arial"/>
                <w:bCs/>
                <w:color w:val="auto"/>
                <w:szCs w:val="21"/>
                <w:highlight w:val="none"/>
                <w:lang w:val="en-US" w:eastAsia="zh-CN"/>
              </w:rPr>
              <w:t>血气生化分析仪</w:t>
            </w:r>
          </w:p>
        </w:tc>
        <w:tc>
          <w:tcPr>
            <w:tcW w:w="504" w:type="dxa"/>
            <w:tcBorders>
              <w:right w:val="single" w:color="auto" w:sz="4" w:space="0"/>
            </w:tcBorders>
            <w:noWrap w:val="0"/>
            <w:vAlign w:val="center"/>
          </w:tcPr>
          <w:p w14:paraId="035B523A">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2</w:t>
            </w:r>
          </w:p>
        </w:tc>
        <w:tc>
          <w:tcPr>
            <w:tcW w:w="507" w:type="dxa"/>
            <w:noWrap w:val="0"/>
            <w:vAlign w:val="center"/>
          </w:tcPr>
          <w:p w14:paraId="223AF7C8">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498C2606">
            <w:pPr>
              <w:widowControl/>
              <w:jc w:val="center"/>
              <w:rPr>
                <w:rFonts w:hint="default" w:ascii="Arial" w:hAnsi="Arial" w:eastAsia="宋体" w:cs="Arial"/>
                <w:bCs/>
                <w:color w:val="auto"/>
                <w:szCs w:val="21"/>
                <w:highlight w:val="none"/>
                <w:lang w:val="en-US" w:eastAsia="zh-CN"/>
              </w:rPr>
            </w:pPr>
            <w:r>
              <w:rPr>
                <w:rFonts w:hint="eastAsia" w:ascii="Arial" w:hAnsi="Arial" w:cs="Arial"/>
                <w:bCs/>
                <w:color w:val="auto"/>
                <w:szCs w:val="21"/>
                <w:highlight w:val="none"/>
                <w:lang w:val="en-US" w:eastAsia="zh-CN"/>
              </w:rPr>
              <w:t>44</w:t>
            </w:r>
            <w:ins w:id="47" w:author="JDZBzheng" w:date="2026-06-30T12:21:38Z">
              <w:r>
                <w:rPr>
                  <w:rFonts w:hint="eastAsia" w:ascii="Arial" w:hAnsi="Arial" w:cs="Arial"/>
                  <w:bCs/>
                  <w:color w:val="auto"/>
                  <w:szCs w:val="21"/>
                  <w:highlight w:val="none"/>
                  <w:lang w:val="en-US" w:eastAsia="zh-CN"/>
                </w:rPr>
                <w:t>00</w:t>
              </w:r>
            </w:ins>
            <w:ins w:id="48" w:author="JDZBzheng" w:date="2026-06-30T12:21:39Z">
              <w:r>
                <w:rPr>
                  <w:rFonts w:hint="eastAsia" w:ascii="Arial" w:hAnsi="Arial" w:cs="Arial"/>
                  <w:bCs/>
                  <w:color w:val="auto"/>
                  <w:szCs w:val="21"/>
                  <w:highlight w:val="none"/>
                  <w:lang w:val="en-US" w:eastAsia="zh-CN"/>
                </w:rPr>
                <w:t>0</w:t>
              </w:r>
            </w:ins>
            <w:ins w:id="49" w:author="JDZBzheng" w:date="2026-06-30T12:21:40Z">
              <w:r>
                <w:rPr>
                  <w:rFonts w:hint="eastAsia" w:ascii="Arial" w:hAnsi="Arial" w:cs="Arial"/>
                  <w:bCs/>
                  <w:color w:val="auto"/>
                  <w:szCs w:val="21"/>
                  <w:highlight w:val="none"/>
                  <w:lang w:val="en-US" w:eastAsia="zh-CN"/>
                </w:rPr>
                <w:t>.00</w:t>
              </w:r>
            </w:ins>
          </w:p>
        </w:tc>
        <w:tc>
          <w:tcPr>
            <w:tcW w:w="670" w:type="dxa"/>
            <w:shd w:val="clear" w:color="auto" w:fill="auto"/>
            <w:noWrap w:val="0"/>
            <w:vAlign w:val="center"/>
          </w:tcPr>
          <w:p w14:paraId="70D1A2BE">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6F8C2EFF">
            <w:pPr>
              <w:wordWrap w:val="0"/>
              <w:spacing w:line="440" w:lineRule="exact"/>
              <w:rPr>
                <w:rFonts w:hint="eastAsia" w:ascii="宋体" w:hAnsi="宋体" w:eastAsia="宋体" w:cs="宋体"/>
                <w:color w:val="auto"/>
                <w:sz w:val="21"/>
                <w:szCs w:val="21"/>
                <w:highlight w:val="none"/>
                <w:lang w:eastAsia="zh-CN"/>
              </w:rPr>
            </w:pPr>
            <w:bookmarkStart w:id="59" w:name="OLE_LINK65"/>
            <w:bookmarkStart w:id="60" w:name="OLE_LINK66"/>
            <w:r>
              <w:rPr>
                <w:rFonts w:hint="eastAsia" w:ascii="宋体" w:hAnsi="宋体" w:eastAsia="宋体" w:cs="宋体"/>
                <w:color w:val="auto"/>
                <w:sz w:val="21"/>
                <w:szCs w:val="21"/>
                <w:highlight w:val="none"/>
                <w:lang w:eastAsia="zh-CN"/>
              </w:rPr>
              <w:t>1.电极测量方式：免维护微电极技术、干式电化学法、交流阻抗。</w:t>
            </w:r>
          </w:p>
          <w:p w14:paraId="2A967CB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2.测试参数：PH、PO2、PCO2、Na＋、K＋、CL-、Ca++、 Hct、Lac、Glu 10项。</w:t>
            </w:r>
          </w:p>
          <w:p w14:paraId="2739089F">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标本类型：可适用于动脉血、静脉血、毛细血管血、混合动静脉血、水溶液等≥5种样本类型。检测试剂：单人份设计，独立包装。一次性使用，常温保存，即取即用。试剂盒注册型号（种类）≥</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个，代表不同的检测项目组合，以灵活应用于不同用户检测需求，按需单测试切换组合，有效避免浪费。</w:t>
            </w:r>
          </w:p>
          <w:p w14:paraId="4F0499D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3.计算项目：cH+，HCO3-act，HCO3-std，BE(ecf)，BE(B)，BB(B)，ctCO2，sO2(est)，pO2(A-a),pO2(a/A),RI,pO2/FIO2,cH+(T),pH(T),PCO2(T)，PO2(T)，pO2(A-a)(T)，pO2(a/A)(T)，RI（T），pO2（T）/FIO2，mOsm，Ca++(7.4)，AnGtHb(est)等 20个计算项目。</w:t>
            </w:r>
          </w:p>
          <w:p w14:paraId="0FC7AFDC">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4.测试时间：吸入样本后≤60秒出结果。</w:t>
            </w:r>
          </w:p>
          <w:p w14:paraId="0ABC476F">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5.进样方式：自动平行抽吸式自动进样，有效降低生物污染。</w:t>
            </w:r>
          </w:p>
          <w:p w14:paraId="71768C39">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6.用血量：样本检测最低用血量为≤1</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lang w:eastAsia="zh-CN"/>
              </w:rPr>
              <w:t>ul。</w:t>
            </w:r>
          </w:p>
          <w:p w14:paraId="42682C4D">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7.定标方式：无气瓶的气体定标方式（也可称为液体定标）。</w:t>
            </w:r>
          </w:p>
          <w:p w14:paraId="4C3FE463">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8.质量控制：提供原厂配套具有溯源性的三级液体质控品。</w:t>
            </w:r>
          </w:p>
          <w:p w14:paraId="6EAD3238">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9.操作界面：彩色触摸屏操作,中英文语言自由切换，内置多媒体操作教程。</w:t>
            </w:r>
          </w:p>
          <w:p w14:paraId="78D37A12">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仪器内置二维条码扫描仪及热敏打印机，方便数据管理及结果的打印。数据接口：串口、网络接口、USB口，有线、无线网络链接，能连接LIS、HIS等。数据管理：仪器可自动存储病人结果。连接POCT数据管理系统，规范数据的管理。远程4G模块，实现远程服务支持。</w:t>
            </w:r>
          </w:p>
          <w:p w14:paraId="498654D1">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▲11.内置高容量充电电池，待机时间≥18h或可连续测量样本数≥30个。小巧便携，便于不同病人终端移动及床旁检测。</w:t>
            </w:r>
          </w:p>
          <w:p w14:paraId="5A8EFE59">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12.仪器使用国标220V标准电压，设计使用年限≥8年。</w:t>
            </w:r>
            <w:bookmarkEnd w:id="59"/>
            <w:bookmarkEnd w:id="60"/>
          </w:p>
        </w:tc>
      </w:tr>
      <w:tr w14:paraId="2DA95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3CD7C93F">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8</w:t>
            </w:r>
          </w:p>
        </w:tc>
        <w:tc>
          <w:tcPr>
            <w:tcW w:w="1190" w:type="dxa"/>
            <w:noWrap w:val="0"/>
            <w:vAlign w:val="center"/>
          </w:tcPr>
          <w:p w14:paraId="76853D81">
            <w:pPr>
              <w:widowControl/>
              <w:jc w:val="center"/>
              <w:rPr>
                <w:rFonts w:hint="eastAsia" w:ascii="Arial" w:hAnsi="Arial" w:eastAsia="宋体" w:cs="Arial"/>
                <w:bCs/>
                <w:color w:val="auto"/>
                <w:szCs w:val="21"/>
                <w:highlight w:val="none"/>
                <w:lang w:eastAsia="zh-CN"/>
              </w:rPr>
            </w:pPr>
            <w:r>
              <w:rPr>
                <w:rFonts w:hint="eastAsia" w:ascii="Arial" w:hAnsi="Arial" w:eastAsia="宋体" w:cs="Arial"/>
                <w:bCs/>
                <w:color w:val="auto"/>
                <w:szCs w:val="21"/>
                <w:highlight w:val="none"/>
                <w:lang w:val="en-US" w:eastAsia="zh-CN"/>
              </w:rPr>
              <w:t>双通道注射泵</w:t>
            </w:r>
          </w:p>
        </w:tc>
        <w:tc>
          <w:tcPr>
            <w:tcW w:w="504" w:type="dxa"/>
            <w:tcBorders>
              <w:right w:val="single" w:color="auto" w:sz="4" w:space="0"/>
            </w:tcBorders>
            <w:noWrap w:val="0"/>
            <w:vAlign w:val="center"/>
          </w:tcPr>
          <w:p w14:paraId="406C7434">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12</w:t>
            </w:r>
          </w:p>
        </w:tc>
        <w:tc>
          <w:tcPr>
            <w:tcW w:w="507" w:type="dxa"/>
            <w:noWrap w:val="0"/>
            <w:vAlign w:val="center"/>
          </w:tcPr>
          <w:p w14:paraId="0B64749D">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54FFDCA6">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96</w:t>
            </w:r>
            <w:ins w:id="50" w:author="JDZBzheng" w:date="2026-06-30T12:21:47Z">
              <w:r>
                <w:rPr>
                  <w:rFonts w:hint="eastAsia" w:ascii="宋体" w:hAnsi="宋体" w:cs="宋体"/>
                  <w:i w:val="0"/>
                  <w:iCs w:val="0"/>
                  <w:color w:val="auto"/>
                  <w:sz w:val="22"/>
                  <w:szCs w:val="22"/>
                  <w:highlight w:val="none"/>
                  <w:u w:val="none"/>
                  <w:lang w:val="en-US" w:eastAsia="zh-CN" w:bidi="ar"/>
                </w:rPr>
                <w:t>00</w:t>
              </w:r>
            </w:ins>
            <w:ins w:id="51" w:author="JDZBzheng" w:date="2026-06-30T12:21:48Z">
              <w:r>
                <w:rPr>
                  <w:rFonts w:hint="eastAsia" w:ascii="宋体" w:hAnsi="宋体" w:cs="宋体"/>
                  <w:i w:val="0"/>
                  <w:iCs w:val="0"/>
                  <w:color w:val="auto"/>
                  <w:sz w:val="22"/>
                  <w:szCs w:val="22"/>
                  <w:highlight w:val="none"/>
                  <w:u w:val="none"/>
                  <w:lang w:val="en-US" w:eastAsia="zh-CN" w:bidi="ar"/>
                </w:rPr>
                <w:t>0.00</w:t>
              </w:r>
            </w:ins>
          </w:p>
        </w:tc>
        <w:tc>
          <w:tcPr>
            <w:tcW w:w="670" w:type="dxa"/>
            <w:shd w:val="clear" w:color="auto" w:fill="auto"/>
            <w:noWrap w:val="0"/>
            <w:vAlign w:val="center"/>
          </w:tcPr>
          <w:p w14:paraId="15CA378A">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5289ED5E">
            <w:pPr>
              <w:wordWrap w:val="0"/>
              <w:spacing w:line="440" w:lineRule="exact"/>
              <w:ind w:firstLine="0" w:firstLineChars="0"/>
              <w:rPr>
                <w:rFonts w:hint="eastAsia" w:ascii="宋体" w:hAnsi="宋体" w:eastAsia="宋体" w:cs="宋体"/>
                <w:color w:val="auto"/>
                <w:sz w:val="21"/>
                <w:szCs w:val="21"/>
                <w:highlight w:val="none"/>
              </w:rPr>
            </w:pPr>
            <w:bookmarkStart w:id="61" w:name="OLE_LINK72"/>
            <w:bookmarkStart w:id="62" w:name="OLE_LINK67"/>
            <w:bookmarkStart w:id="63" w:name="OLE_LINK73"/>
            <w:r>
              <w:rPr>
                <w:rFonts w:hint="eastAsia" w:ascii="宋体" w:hAnsi="宋体" w:eastAsia="宋体" w:cs="宋体"/>
                <w:color w:val="auto"/>
                <w:sz w:val="21"/>
                <w:szCs w:val="21"/>
                <w:highlight w:val="none"/>
              </w:rPr>
              <w:t>1.整机设计使用年限</w:t>
            </w:r>
            <w:bookmarkStart w:id="64" w:name="OLE_LINK18"/>
            <w:bookmarkStart w:id="65" w:name="OLE_LINK19"/>
            <w:r>
              <w:rPr>
                <w:rFonts w:hint="eastAsia" w:ascii="宋体" w:hAnsi="宋体" w:eastAsia="宋体" w:cs="宋体"/>
                <w:color w:val="auto"/>
                <w:sz w:val="21"/>
                <w:szCs w:val="21"/>
                <w:highlight w:val="none"/>
              </w:rPr>
              <w:t>≥</w:t>
            </w:r>
            <w:bookmarkEnd w:id="64"/>
            <w:bookmarkEnd w:id="65"/>
            <w:r>
              <w:rPr>
                <w:rFonts w:hint="eastAsia" w:ascii="宋体" w:hAnsi="宋体" w:eastAsia="宋体" w:cs="宋体"/>
                <w:color w:val="auto"/>
                <w:sz w:val="21"/>
                <w:szCs w:val="21"/>
                <w:highlight w:val="none"/>
              </w:rPr>
              <w:t>10年。</w:t>
            </w:r>
          </w:p>
          <w:p w14:paraId="31A7B619">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2.双通道为主机一体化设计，无需额外配件。每个通道具备独立电源开关，使用时更节能。</w:t>
            </w:r>
          </w:p>
          <w:p w14:paraId="73E046F1">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●3.注射精度：±</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p>
          <w:p w14:paraId="37356B76">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▲4.速率范围：0.1-2000ml/h, 最小步进：0.1ml/h。</w:t>
            </w:r>
          </w:p>
          <w:p w14:paraId="7A849E38">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5.预置输液总量范围：0.1-9999.99ml。</w:t>
            </w:r>
          </w:p>
          <w:p w14:paraId="3CF5CCE2">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▲6.快进流速范围：0.1-2000ml/h，具有自动和手动快进模式可选。</w:t>
            </w:r>
          </w:p>
          <w:p w14:paraId="590C89F3">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▲7.可自动统计四种累计量：24h累计量、最近累计量、自定义时间段累计量、定时间隔累计量。</w:t>
            </w:r>
          </w:p>
          <w:p w14:paraId="3D7ABC98">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8.支持注射器规格：2ml、3ml、5ml、10ml、20ml、30ml、50/60ml。</w:t>
            </w:r>
          </w:p>
          <w:p w14:paraId="02213761">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9.注射器安装后，在推拉盒触碰到注射器活塞末端时，不松开捏柄时推杆也可自动感应制动，防止药液误推。</w:t>
            </w:r>
          </w:p>
          <w:p w14:paraId="024B855A">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10.无需额外工具或设备，可直接在注射泵上添加注射器品牌名称。</w:t>
            </w:r>
          </w:p>
          <w:p w14:paraId="37E992E1">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11.种注射模式：速度模式、时间模式、体重模式、梯度模式、序列模式、剂量时间模式、间断给药模式。</w:t>
            </w:r>
          </w:p>
          <w:p w14:paraId="77F8EC5C">
            <w:pPr>
              <w:wordWrap w:val="0"/>
              <w:spacing w:line="440" w:lineRule="exact"/>
              <w:ind w:firstLine="0" w:firstLineChars="0"/>
              <w:rPr>
                <w:rFonts w:hint="eastAsia" w:ascii="宋体" w:hAnsi="宋体" w:eastAsia="宋体" w:cs="宋体"/>
                <w:color w:val="auto"/>
                <w:sz w:val="21"/>
                <w:szCs w:val="21"/>
                <w:highlight w:val="none"/>
              </w:rPr>
            </w:pPr>
            <w:ins w:id="52" w:author="JDZBzheng" w:date="2026-06-30T12:38:15Z">
              <w:r>
                <w:rPr>
                  <w:rFonts w:hint="eastAsia" w:ascii="宋体" w:hAnsi="宋体" w:eastAsia="宋体" w:cs="宋体"/>
                  <w:color w:val="auto"/>
                  <w:sz w:val="21"/>
                  <w:szCs w:val="21"/>
                  <w:highlight w:val="none"/>
                  <w:lang w:val="en-US" w:eastAsia="zh-CN"/>
                </w:rPr>
                <w:t>12.</w:t>
              </w:r>
            </w:ins>
            <w:r>
              <w:rPr>
                <w:rFonts w:hint="eastAsia" w:ascii="宋体" w:hAnsi="宋体" w:eastAsia="宋体" w:cs="宋体"/>
                <w:color w:val="auto"/>
                <w:sz w:val="21"/>
                <w:szCs w:val="21"/>
                <w:highlight w:val="none"/>
              </w:rPr>
              <w:t>≥3.5英寸彩色显示屏。</w:t>
            </w:r>
          </w:p>
          <w:p w14:paraId="1668ADAC">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13.全中文软件操作界面。</w:t>
            </w:r>
          </w:p>
          <w:p w14:paraId="7E8C5F4B">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14.锁屏功能：支持自动锁屏，自动锁屏时间可调。</w:t>
            </w:r>
          </w:p>
          <w:p w14:paraId="2C32BA21">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15.支持药物库，可储存≥5000种药物信息。</w:t>
            </w:r>
          </w:p>
          <w:p w14:paraId="28CA00AE">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16.支持药物色彩标识，选择不同类型药物时对应的药物色彩标识自动显示在屏幕上，支持≥4种颜色。</w:t>
            </w:r>
          </w:p>
          <w:p w14:paraId="4AF7980A">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17.报警时可通过示意图片直观提示报警信息。</w:t>
            </w:r>
          </w:p>
          <w:p w14:paraId="6E0C24A0">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18.在线动态压力监测，可实时显示当前压力数值。</w:t>
            </w:r>
          </w:p>
          <w:p w14:paraId="2D166ED5">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19.具备阻塞后自动重启输液功能，短暂性阻塞触发报警后，泵检测到阻塞压力缓解时，无需人为干预，泵自动重新启动输液。</w:t>
            </w:r>
          </w:p>
          <w:p w14:paraId="38F8763D">
            <w:pPr>
              <w:wordWrap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"mailto:20.电池工作时间6.5小时@5ml/h"</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20.电池工作时间：≥6.5小时@5ml/h</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w:t>
            </w:r>
          </w:p>
          <w:p w14:paraId="5B2C1DC8">
            <w:pPr>
              <w:keepNext w:val="0"/>
              <w:keepLines w:val="0"/>
              <w:suppressLineNumbers w:val="0"/>
              <w:wordWrap w:val="0"/>
              <w:spacing w:before="0" w:beforeAutospacing="0" w:after="0" w:afterAutospacing="0" w:line="440" w:lineRule="exact"/>
              <w:ind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▲21.具备按照国家第三类医疗器械管理的注射泵，可用于镇痛药的输注。</w:t>
            </w:r>
            <w:bookmarkEnd w:id="61"/>
            <w:bookmarkEnd w:id="62"/>
            <w:bookmarkEnd w:id="63"/>
          </w:p>
        </w:tc>
      </w:tr>
      <w:tr w14:paraId="0EBBB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2B13AC60">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9</w:t>
            </w:r>
          </w:p>
        </w:tc>
        <w:tc>
          <w:tcPr>
            <w:tcW w:w="1190" w:type="dxa"/>
            <w:noWrap w:val="0"/>
            <w:vAlign w:val="center"/>
          </w:tcPr>
          <w:p w14:paraId="5C2E9A0C">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泵站一拖四普通注射泵</w:t>
            </w:r>
          </w:p>
        </w:tc>
        <w:tc>
          <w:tcPr>
            <w:tcW w:w="504" w:type="dxa"/>
            <w:tcBorders>
              <w:right w:val="single" w:color="auto" w:sz="4" w:space="0"/>
            </w:tcBorders>
            <w:noWrap w:val="0"/>
            <w:vAlign w:val="center"/>
          </w:tcPr>
          <w:p w14:paraId="2A4AFA8A">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2</w:t>
            </w:r>
          </w:p>
        </w:tc>
        <w:tc>
          <w:tcPr>
            <w:tcW w:w="507" w:type="dxa"/>
            <w:noWrap w:val="0"/>
            <w:vAlign w:val="center"/>
          </w:tcPr>
          <w:p w14:paraId="28A134A5">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30329828">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110</w:t>
            </w:r>
            <w:ins w:id="53" w:author="JDZBzheng" w:date="2026-06-30T12:21:54Z">
              <w:r>
                <w:rPr>
                  <w:rFonts w:hint="eastAsia" w:ascii="宋体" w:hAnsi="宋体" w:cs="宋体"/>
                  <w:i w:val="0"/>
                  <w:iCs w:val="0"/>
                  <w:color w:val="auto"/>
                  <w:sz w:val="22"/>
                  <w:szCs w:val="22"/>
                  <w:highlight w:val="none"/>
                  <w:u w:val="none"/>
                  <w:lang w:val="en-US" w:eastAsia="zh-CN" w:bidi="ar"/>
                </w:rPr>
                <w:t>00</w:t>
              </w:r>
            </w:ins>
            <w:ins w:id="54" w:author="JDZBzheng" w:date="2026-06-30T12:21:55Z">
              <w:r>
                <w:rPr>
                  <w:rFonts w:hint="eastAsia" w:ascii="宋体" w:hAnsi="宋体" w:cs="宋体"/>
                  <w:i w:val="0"/>
                  <w:iCs w:val="0"/>
                  <w:color w:val="auto"/>
                  <w:sz w:val="22"/>
                  <w:szCs w:val="22"/>
                  <w:highlight w:val="none"/>
                  <w:u w:val="none"/>
                  <w:lang w:val="en-US" w:eastAsia="zh-CN" w:bidi="ar"/>
                </w:rPr>
                <w:t>0.0</w:t>
              </w:r>
            </w:ins>
            <w:ins w:id="55" w:author="JDZBzheng" w:date="2026-06-30T12:21:56Z">
              <w:r>
                <w:rPr>
                  <w:rFonts w:hint="eastAsia" w:ascii="宋体" w:hAnsi="宋体" w:cs="宋体"/>
                  <w:i w:val="0"/>
                  <w:iCs w:val="0"/>
                  <w:color w:val="auto"/>
                  <w:sz w:val="22"/>
                  <w:szCs w:val="22"/>
                  <w:highlight w:val="none"/>
                  <w:u w:val="none"/>
                  <w:lang w:val="en-US" w:eastAsia="zh-CN" w:bidi="ar"/>
                </w:rPr>
                <w:t>0</w:t>
              </w:r>
            </w:ins>
          </w:p>
        </w:tc>
        <w:tc>
          <w:tcPr>
            <w:tcW w:w="670" w:type="dxa"/>
            <w:shd w:val="clear" w:color="auto" w:fill="auto"/>
            <w:noWrap w:val="0"/>
            <w:vAlign w:val="center"/>
          </w:tcPr>
          <w:p w14:paraId="1F95B5A7">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67892D1E">
            <w:pPr>
              <w:wordWrap w:val="0"/>
              <w:spacing w:line="440" w:lineRule="exact"/>
              <w:rPr>
                <w:rFonts w:hint="eastAsia" w:ascii="宋体" w:hAnsi="宋体" w:eastAsia="宋体" w:cs="宋体"/>
                <w:color w:val="auto"/>
                <w:sz w:val="21"/>
                <w:szCs w:val="21"/>
                <w:highlight w:val="none"/>
              </w:rPr>
            </w:pPr>
            <w:bookmarkStart w:id="66" w:name="OLE_LINK76"/>
            <w:bookmarkStart w:id="67" w:name="OLE_LINK77"/>
            <w:r>
              <w:rPr>
                <w:rFonts w:hint="eastAsia" w:ascii="宋体" w:hAnsi="宋体" w:eastAsia="宋体" w:cs="宋体"/>
                <w:color w:val="auto"/>
                <w:sz w:val="21"/>
                <w:szCs w:val="21"/>
                <w:highlight w:val="none"/>
              </w:rPr>
              <w:t>1、用途：用于集中输液管理，监控患者给药，以及输液给药相关信息的分析和储存，支持条码管理注射药物，实现智能化作业。</w:t>
            </w:r>
          </w:p>
          <w:p w14:paraId="5CF73BB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2、每套配置：1台床旁输液工作站、4台注射泵。</w:t>
            </w:r>
          </w:p>
          <w:p w14:paraId="6E07082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3、床旁输液工作站主要规格及系统要求</w:t>
            </w:r>
            <w:r>
              <w:rPr>
                <w:rFonts w:hint="eastAsia" w:ascii="宋体" w:hAnsi="宋体" w:eastAsia="宋体" w:cs="宋体"/>
                <w:color w:val="auto"/>
                <w:sz w:val="21"/>
                <w:szCs w:val="21"/>
                <w:highlight w:val="none"/>
              </w:rPr>
              <w:tab/>
            </w:r>
          </w:p>
          <w:p w14:paraId="47D4911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每个床旁工作站可插入1-4个输注泵，每2个或每3个通道为基本单位增减，至少同时支持该范围内输注泵数量，泵即插即用；床旁可任意组合1～4个输注泵（注射泵、输液泵的个数、位置可任意组合，精确至单泵位置，使用中移除其中任何一台泵不会影响工作站及其它泵的工作连续性）</w:t>
            </w:r>
          </w:p>
          <w:p w14:paraId="7186A7A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3.2床旁工作站采用外部AC电源，</w:t>
            </w:r>
            <w:r>
              <w:rPr>
                <w:rFonts w:hint="eastAsia" w:ascii="宋体" w:hAnsi="宋体" w:eastAsia="宋体" w:cs="宋体"/>
                <w:color w:val="auto"/>
                <w:sz w:val="21"/>
                <w:szCs w:val="21"/>
                <w:highlight w:val="none"/>
                <w:lang w:val="en-US" w:eastAsia="zh-CN"/>
              </w:rPr>
              <w:t>220V</w:t>
            </w:r>
            <w:r>
              <w:rPr>
                <w:rFonts w:hint="eastAsia" w:ascii="宋体" w:hAnsi="宋体" w:eastAsia="宋体" w:cs="宋体"/>
                <w:color w:val="auto"/>
                <w:sz w:val="21"/>
                <w:szCs w:val="21"/>
                <w:highlight w:val="none"/>
              </w:rPr>
              <w:t>，站内输注模块采用12V弱电供电；</w:t>
            </w:r>
          </w:p>
          <w:p w14:paraId="55062E6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3.3床旁工作站具有输液管路和延长管路管理夹，能够按顺序排列各种管路，避免缠绕。</w:t>
            </w:r>
          </w:p>
          <w:p w14:paraId="7DED2D7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 床旁工作站与输注泵通过USB完成数据通讯，可采用非插入式 USB 接口，防护、防磕碰损毁效果与之等效的USB通讯接口同样满足要求。</w:t>
            </w:r>
          </w:p>
          <w:p w14:paraId="167E086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 整套输液工作站系统具备有效的医疗器械注册相关证明文件；工作站、注射泵分体单独取得注册证，或整机一体化注册取证均予以认可。</w:t>
            </w:r>
          </w:p>
          <w:p w14:paraId="6A14915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3.6安全防护：输液工作站和泵之间应符合电器安全使用要求，确保用电安全。</w:t>
            </w:r>
          </w:p>
          <w:p w14:paraId="428CA03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3.7外部电源：市政电源 100-240V，50/60Hz，站内输液模块供电采用DC 12V；</w:t>
            </w:r>
          </w:p>
          <w:p w14:paraId="17A9C4A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4、靶控泵参数要求</w:t>
            </w:r>
          </w:p>
          <w:p w14:paraId="4D439E2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4.1模块式设计，无需附件可实现多泵叠加使用。</w:t>
            </w:r>
          </w:p>
          <w:p w14:paraId="08F7E01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4.2具有速度模式、体重模式； </w:t>
            </w:r>
          </w:p>
          <w:p w14:paraId="189784D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4.3防异物及进液等级：IP33及以上；</w:t>
            </w:r>
          </w:p>
          <w:p w14:paraId="1C28727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4.4在线动态压力监测，可实时显示当前压力数值；</w:t>
            </w:r>
          </w:p>
          <w:p w14:paraId="51E0618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4.5压力报警阈值至少11档可调，最低150mmHg；</w:t>
            </w:r>
          </w:p>
          <w:p w14:paraId="026778C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4.6锁屏功能：支持手动和自动锁屏，自动锁屏时间可调；</w:t>
            </w:r>
          </w:p>
          <w:p w14:paraId="5E680C0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4.7注射精度：≤±2% 或0.005mL/h取大者；</w:t>
            </w:r>
          </w:p>
          <w:p w14:paraId="707FC58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4.8在线滴定功能：安全不中断输液而更改速率；</w:t>
            </w:r>
          </w:p>
          <w:p w14:paraId="23D4A1C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4.9速率范围：0.1-1500ml/h, 最小步进0.1ml/h；</w:t>
            </w:r>
          </w:p>
          <w:p w14:paraId="6E96C7E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4.10预置输液总量范围：0.1-9999.99ml；</w:t>
            </w:r>
          </w:p>
          <w:p w14:paraId="08F2241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4.11安装固定：可固定在床旁输液支架上；</w:t>
            </w:r>
          </w:p>
          <w:p w14:paraId="1A80E90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4.12快推“</w:t>
            </w:r>
            <w:ins w:id="56" w:author="JDZBzheng" w:date="2026-06-30T18:57:18Z">
              <w:r>
                <w:rPr>
                  <w:rFonts w:hint="eastAsia" w:ascii="宋体" w:hAnsi="宋体" w:eastAsia="宋体" w:cs="宋体"/>
                  <w:sz w:val="21"/>
                  <w:szCs w:val="21"/>
                  <w:highlight w:val="none"/>
                  <w:lang w:val="en-US" w:eastAsia="zh-CN"/>
                </w:rPr>
                <w:t>剂量</w:t>
              </w:r>
            </w:ins>
            <w:r>
              <w:rPr>
                <w:rFonts w:hint="eastAsia" w:ascii="宋体" w:hAnsi="宋体" w:eastAsia="宋体" w:cs="宋体"/>
                <w:color w:val="auto"/>
                <w:sz w:val="21"/>
                <w:szCs w:val="21"/>
                <w:highlight w:val="none"/>
              </w:rPr>
              <w:t>”：0.1-1500ml/h，具有自动和手动快推“</w:t>
            </w:r>
            <w:ins w:id="57" w:author="JDZBzheng" w:date="2026-07-01T10:05:58Z">
              <w:r>
                <w:rPr>
                  <w:rFonts w:hint="eastAsia" w:ascii="宋体" w:hAnsi="宋体" w:eastAsia="宋体" w:cs="宋体"/>
                  <w:sz w:val="21"/>
                  <w:szCs w:val="21"/>
                  <w:highlight w:val="none"/>
                  <w:lang w:val="en-US" w:eastAsia="zh-CN"/>
                </w:rPr>
                <w:t>剂量</w:t>
              </w:r>
            </w:ins>
            <w:r>
              <w:rPr>
                <w:rFonts w:hint="eastAsia" w:ascii="宋体" w:hAnsi="宋体" w:eastAsia="宋体" w:cs="宋体"/>
                <w:color w:val="auto"/>
                <w:sz w:val="21"/>
                <w:szCs w:val="21"/>
                <w:highlight w:val="none"/>
              </w:rPr>
              <w:t>”可选；</w:t>
            </w:r>
          </w:p>
          <w:p w14:paraId="4B16A90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KVO：0.01-5ml/h；</w:t>
            </w:r>
          </w:p>
          <w:p w14:paraId="6315035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4.14支持注射器规格：2ml/3ml、5ml/6ml、10ml/12ml、20ml、30ml/35ml、50ml/60ml。</w:t>
            </w:r>
          </w:p>
          <w:p w14:paraId="7BEC923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4.15 ≥3.5英寸彩色大屏幕，同屏显示：输注模式、速度、当前注射状态、电池状态、报警压力阈值和在线压力等信息。</w:t>
            </w:r>
          </w:p>
          <w:p w14:paraId="0DA8F31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4.16分低级、中级、高级三级报警。可实现声光报警提示，同时显示具体报警信息。</w:t>
            </w:r>
          </w:p>
          <w:p w14:paraId="1748668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4.17支持不拆机手动更换电池。</w:t>
            </w:r>
          </w:p>
          <w:p w14:paraId="396A973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4.18电池工作时间：≥</w:t>
            </w: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小时@5ml/h；</w:t>
            </w:r>
          </w:p>
          <w:p w14:paraId="6AA4494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4.19信息储存：可存储至少3500条的历史记录。</w:t>
            </w:r>
          </w:p>
          <w:p w14:paraId="563B30F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4.20接口支持RS232数据传输、护士呼叫、DC输入功能。</w:t>
            </w:r>
          </w:p>
          <w:p w14:paraId="1DDC9A2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4.21可升级无线模块，实现无线联网监测。</w:t>
            </w:r>
          </w:p>
          <w:p w14:paraId="469E080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4.22全中文软件操作界面。</w:t>
            </w:r>
          </w:p>
          <w:p w14:paraId="0094BD2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4.23支持药物库，可储存至少5000种药物信息。</w:t>
            </w:r>
          </w:p>
          <w:p w14:paraId="644DF7E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5、配置清单</w:t>
            </w:r>
          </w:p>
          <w:p w14:paraId="6E82041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1.床旁输液工作站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1台</w:t>
            </w:r>
          </w:p>
          <w:p w14:paraId="29EFEA2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2.注射泵</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4台</w:t>
            </w:r>
          </w:p>
          <w:p w14:paraId="5ACAB9A6">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▲6.具备按照国家第三类医疗器械管理的注射泵，可用于镇痛药的输注。</w:t>
            </w:r>
            <w:bookmarkEnd w:id="66"/>
            <w:bookmarkEnd w:id="67"/>
          </w:p>
        </w:tc>
      </w:tr>
      <w:tr w14:paraId="1670B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4103A288">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10</w:t>
            </w:r>
          </w:p>
        </w:tc>
        <w:tc>
          <w:tcPr>
            <w:tcW w:w="1190" w:type="dxa"/>
            <w:noWrap w:val="0"/>
            <w:vAlign w:val="center"/>
          </w:tcPr>
          <w:p w14:paraId="5CA93F7A">
            <w:pPr>
              <w:widowControl/>
              <w:jc w:val="center"/>
              <w:rPr>
                <w:rFonts w:hint="eastAsia" w:ascii="Arial" w:hAnsi="Arial" w:eastAsia="宋体" w:cs="Arial"/>
                <w:bCs/>
                <w:color w:val="auto"/>
                <w:szCs w:val="21"/>
                <w:highlight w:val="none"/>
                <w:lang w:eastAsia="zh-CN"/>
              </w:rPr>
            </w:pPr>
            <w:r>
              <w:rPr>
                <w:rFonts w:hint="eastAsia" w:ascii="Arial" w:hAnsi="Arial" w:eastAsia="宋体" w:cs="Arial"/>
                <w:bCs/>
                <w:color w:val="auto"/>
                <w:szCs w:val="21"/>
                <w:highlight w:val="none"/>
                <w:lang w:val="en-US" w:eastAsia="zh-CN"/>
              </w:rPr>
              <w:t>三通道靶控注射泵</w:t>
            </w:r>
          </w:p>
        </w:tc>
        <w:tc>
          <w:tcPr>
            <w:tcW w:w="504" w:type="dxa"/>
            <w:tcBorders>
              <w:right w:val="single" w:color="auto" w:sz="4" w:space="0"/>
            </w:tcBorders>
            <w:noWrap w:val="0"/>
            <w:vAlign w:val="center"/>
          </w:tcPr>
          <w:p w14:paraId="6116EBE8">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4</w:t>
            </w:r>
          </w:p>
        </w:tc>
        <w:tc>
          <w:tcPr>
            <w:tcW w:w="507" w:type="dxa"/>
            <w:noWrap w:val="0"/>
            <w:vAlign w:val="center"/>
          </w:tcPr>
          <w:p w14:paraId="389F5469">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68485100">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20</w:t>
            </w:r>
            <w:ins w:id="58" w:author="JDZBzheng" w:date="2026-06-30T12:22:02Z">
              <w:r>
                <w:rPr>
                  <w:rFonts w:hint="eastAsia" w:ascii="宋体" w:hAnsi="宋体" w:cs="宋体"/>
                  <w:i w:val="0"/>
                  <w:iCs w:val="0"/>
                  <w:color w:val="auto"/>
                  <w:sz w:val="22"/>
                  <w:szCs w:val="22"/>
                  <w:highlight w:val="none"/>
                  <w:u w:val="none"/>
                  <w:lang w:val="en-US" w:eastAsia="zh-CN" w:bidi="ar"/>
                </w:rPr>
                <w:t>00</w:t>
              </w:r>
            </w:ins>
            <w:ins w:id="59" w:author="JDZBzheng" w:date="2026-06-30T12:22:03Z">
              <w:r>
                <w:rPr>
                  <w:rFonts w:hint="eastAsia" w:ascii="宋体" w:hAnsi="宋体" w:cs="宋体"/>
                  <w:i w:val="0"/>
                  <w:iCs w:val="0"/>
                  <w:color w:val="auto"/>
                  <w:sz w:val="22"/>
                  <w:szCs w:val="22"/>
                  <w:highlight w:val="none"/>
                  <w:u w:val="none"/>
                  <w:lang w:val="en-US" w:eastAsia="zh-CN" w:bidi="ar"/>
                </w:rPr>
                <w:t>0</w:t>
              </w:r>
            </w:ins>
            <w:r>
              <w:rPr>
                <w:rFonts w:hint="eastAsia" w:ascii="宋体" w:hAnsi="宋体" w:cs="宋体"/>
                <w:i w:val="0"/>
                <w:iCs w:val="0"/>
                <w:color w:val="auto"/>
                <w:sz w:val="22"/>
                <w:szCs w:val="22"/>
                <w:highlight w:val="none"/>
                <w:u w:val="none"/>
                <w:lang w:val="en-US" w:eastAsia="zh-CN" w:bidi="ar"/>
              </w:rPr>
              <w:t>0</w:t>
            </w:r>
            <w:ins w:id="60" w:author="JDZBzheng" w:date="2026-06-30T12:22:03Z">
              <w:r>
                <w:rPr>
                  <w:rFonts w:hint="eastAsia" w:ascii="宋体" w:hAnsi="宋体" w:cs="宋体"/>
                  <w:i w:val="0"/>
                  <w:iCs w:val="0"/>
                  <w:color w:val="auto"/>
                  <w:sz w:val="22"/>
                  <w:szCs w:val="22"/>
                  <w:highlight w:val="none"/>
                  <w:u w:val="none"/>
                  <w:lang w:val="en-US" w:eastAsia="zh-CN" w:bidi="ar"/>
                </w:rPr>
                <w:t>.00</w:t>
              </w:r>
            </w:ins>
          </w:p>
        </w:tc>
        <w:tc>
          <w:tcPr>
            <w:tcW w:w="670" w:type="dxa"/>
            <w:shd w:val="clear" w:color="auto" w:fill="auto"/>
            <w:noWrap w:val="0"/>
            <w:vAlign w:val="center"/>
          </w:tcPr>
          <w:p w14:paraId="268F7EA7">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1407A214">
            <w:pPr>
              <w:wordWrap w:val="0"/>
              <w:spacing w:line="440" w:lineRule="exact"/>
              <w:rPr>
                <w:rFonts w:hint="eastAsia" w:ascii="宋体" w:hAnsi="宋体" w:eastAsia="宋体" w:cs="宋体"/>
                <w:color w:val="auto"/>
                <w:sz w:val="21"/>
                <w:szCs w:val="21"/>
                <w:highlight w:val="none"/>
              </w:rPr>
            </w:pPr>
            <w:bookmarkStart w:id="68" w:name="OLE_LINK79"/>
            <w:bookmarkStart w:id="69" w:name="OLE_LINK78"/>
            <w:r>
              <w:rPr>
                <w:rFonts w:hint="eastAsia" w:ascii="宋体" w:hAnsi="宋体" w:eastAsia="宋体" w:cs="宋体"/>
                <w:color w:val="auto"/>
                <w:sz w:val="21"/>
                <w:szCs w:val="21"/>
                <w:highlight w:val="none"/>
              </w:rPr>
              <w:t>1.模块化设计，可</w:t>
            </w:r>
            <w:ins w:id="61" w:author="JDZBzheng" w:date="2026-06-30T11:18:37Z">
              <w:r>
                <w:rPr>
                  <w:rFonts w:hint="eastAsia" w:ascii="宋体" w:hAnsi="宋体" w:eastAsia="宋体" w:cs="宋体"/>
                  <w:color w:val="auto"/>
                  <w:sz w:val="21"/>
                  <w:szCs w:val="21"/>
                  <w:highlight w:val="none"/>
                  <w:lang w:eastAsia="zh-CN"/>
                </w:rPr>
                <w:t>自由组合</w:t>
              </w:r>
            </w:ins>
            <w:r>
              <w:rPr>
                <w:rFonts w:hint="eastAsia" w:ascii="宋体" w:hAnsi="宋体" w:eastAsia="宋体" w:cs="宋体"/>
                <w:color w:val="auto"/>
                <w:sz w:val="21"/>
                <w:szCs w:val="21"/>
                <w:highlight w:val="none"/>
              </w:rPr>
              <w:t>叠加，也可单独使用。</w:t>
            </w:r>
          </w:p>
          <w:p w14:paraId="3D47C29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2.自动识别注射器：规格为 2ml、3ml、5ml、10ml、20 ml、30 ml、50（60）ml所有符合标准的注射器；</w:t>
            </w:r>
          </w:p>
          <w:p w14:paraId="15EAEA0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3.多种模式可选：速度模式、体重模式、时间模式、序列模式、首剂量模式、梯度模式、间歇模式、微量模式、时辰模式、TCI 模式；</w:t>
            </w:r>
          </w:p>
          <w:p w14:paraId="155EDA1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4.支持体重选择㎡单位， 由体表面积（BSA）计算剂量速度；</w:t>
            </w:r>
          </w:p>
          <w:p w14:paraId="35B2E75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5.速率范围：0.01-2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00ml/h，以 0.01 ml/h 递增；</w:t>
            </w:r>
          </w:p>
          <w:p w14:paraId="166A1A3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6.注射精度： ≤±</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p>
          <w:p w14:paraId="1FC4540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7.支持Anti-bolus功能，丸剂量≤0.1ml；</w:t>
            </w:r>
          </w:p>
          <w:p w14:paraId="1952E73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8.阻塞压力检测范围：50-1200mmHg,可以选择 16 档阻塞级别；</w:t>
            </w:r>
          </w:p>
          <w:p w14:paraId="2C63226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3.5</w:t>
            </w:r>
            <w:r>
              <w:rPr>
                <w:rFonts w:hint="eastAsia" w:ascii="宋体" w:hAnsi="宋体" w:eastAsia="宋体" w:cs="宋体"/>
                <w:color w:val="auto"/>
                <w:sz w:val="21"/>
                <w:szCs w:val="21"/>
                <w:highlight w:val="none"/>
                <w:lang w:val="en-US" w:eastAsia="zh-CN"/>
              </w:rPr>
              <w:t>英</w:t>
            </w:r>
            <w:r>
              <w:rPr>
                <w:rFonts w:hint="eastAsia" w:ascii="宋体" w:hAnsi="宋体" w:eastAsia="宋体" w:cs="宋体"/>
                <w:color w:val="auto"/>
                <w:sz w:val="21"/>
                <w:szCs w:val="21"/>
                <w:highlight w:val="none"/>
              </w:rPr>
              <w:t>寸电容触摸屏操作，全中文颜色彩屏显示；</w:t>
            </w:r>
          </w:p>
          <w:p w14:paraId="33701B7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10.具有注射器位移监测系统，实时监控注射器位移，大幅提高注射的精确度；</w:t>
            </w:r>
          </w:p>
          <w:p w14:paraId="22DAF3C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11.可在屏幕上显示虚拟注射器以方便观察药物余量；</w:t>
            </w:r>
          </w:p>
          <w:p w14:paraId="78CDB41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12.注射器可进行全自动方式装载；</w:t>
            </w:r>
          </w:p>
          <w:p w14:paraId="5E6508C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▲13.主机防护等级≥IP</w:t>
            </w:r>
            <w:r>
              <w:rPr>
                <w:rFonts w:hint="eastAsia" w:ascii="宋体" w:hAnsi="宋体" w:eastAsia="宋体" w:cs="宋体"/>
                <w:color w:val="auto"/>
                <w:sz w:val="21"/>
                <w:szCs w:val="21"/>
                <w:highlight w:val="none"/>
                <w:lang w:val="en-US" w:eastAsia="zh-CN"/>
              </w:rPr>
              <w:t>33</w:t>
            </w:r>
            <w:r>
              <w:rPr>
                <w:rFonts w:hint="eastAsia" w:ascii="宋体" w:hAnsi="宋体" w:eastAsia="宋体" w:cs="宋体"/>
                <w:color w:val="auto"/>
                <w:sz w:val="21"/>
                <w:szCs w:val="21"/>
                <w:highlight w:val="none"/>
              </w:rPr>
              <w:t>，操作面板防水防溅；</w:t>
            </w:r>
          </w:p>
          <w:p w14:paraId="6115E89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14.可存储≥5000 种药物；</w:t>
            </w:r>
          </w:p>
          <w:p w14:paraId="26E6D46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15.支持至少100 种药物分类；</w:t>
            </w:r>
          </w:p>
          <w:p w14:paraId="5B0DB70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16.主界面可显示输注药物的中文名字，并支持中文药物检索；</w:t>
            </w:r>
          </w:p>
          <w:p w14:paraId="5236CAD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17.主界面具有剂量速度指示棒，可用于直观快速判断剂量速度是否合理；</w:t>
            </w:r>
          </w:p>
          <w:p w14:paraId="1B9D9DB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18.严格参照中国行业标准药物颜色显示色块；支持使用至少 90 种颜色标识药物；</w:t>
            </w:r>
          </w:p>
          <w:p w14:paraId="6E09D10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19.支持DERS 功能，可以根据事先在药物库文件中设置好的参数限值，限制设置药物的输注参数不能超过药物库的硬限值；设置药物的输注参数超过药物库的软限值且在硬限值范围内时，本设备有提示但仍能启动输注。</w:t>
            </w:r>
          </w:p>
          <w:p w14:paraId="1A6AB90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20.支持配伍禁忌功能。</w:t>
            </w:r>
          </w:p>
          <w:p w14:paraId="09702A6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21.夜间模式：可自动降低亮度和报警音量，时间段可调；</w:t>
            </w:r>
          </w:p>
          <w:p w14:paraId="1694149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22.屏幕亮度支持≥10级可调；</w:t>
            </w:r>
          </w:p>
          <w:p w14:paraId="3E73821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23.能够存储、回放≥10000 组历史信息记录；</w:t>
            </w:r>
          </w:p>
          <w:p w14:paraId="6A02611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24.重量：≤1.7Kg（含锂电池）；</w:t>
            </w:r>
          </w:p>
          <w:p w14:paraId="057F333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25.锂电池续航时间：≥1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h@5ml/h。</w:t>
            </w:r>
          </w:p>
          <w:p w14:paraId="53F37C45">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▲26.具备按照国家第三类医疗器械管理的注射泵，可用于镇痛药的输注。</w:t>
            </w:r>
            <w:bookmarkEnd w:id="68"/>
            <w:bookmarkEnd w:id="69"/>
          </w:p>
        </w:tc>
      </w:tr>
      <w:tr w14:paraId="0A46B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0AC39CE9">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11</w:t>
            </w:r>
          </w:p>
        </w:tc>
        <w:tc>
          <w:tcPr>
            <w:tcW w:w="1190" w:type="dxa"/>
            <w:noWrap w:val="0"/>
            <w:vAlign w:val="center"/>
          </w:tcPr>
          <w:p w14:paraId="10BDADD8">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rPr>
              <w:t>自体血液</w:t>
            </w:r>
            <w:ins w:id="62" w:author="JDZBzheng" w:date="2026-06-30T11:18:46Z">
              <w:r>
                <w:rPr>
                  <w:rFonts w:hint="eastAsia" w:ascii="Arial" w:hAnsi="Arial" w:cs="Arial"/>
                  <w:bCs/>
                  <w:color w:val="auto"/>
                  <w:szCs w:val="21"/>
                  <w:highlight w:val="none"/>
                  <w:lang w:eastAsia="zh-CN"/>
                </w:rPr>
                <w:t>回</w:t>
              </w:r>
            </w:ins>
            <w:r>
              <w:rPr>
                <w:rFonts w:hint="eastAsia" w:ascii="Arial" w:hAnsi="Arial" w:eastAsia="宋体" w:cs="Arial"/>
                <w:bCs/>
                <w:color w:val="auto"/>
                <w:szCs w:val="21"/>
                <w:highlight w:val="none"/>
              </w:rPr>
              <w:t>收机</w:t>
            </w:r>
          </w:p>
        </w:tc>
        <w:tc>
          <w:tcPr>
            <w:tcW w:w="504" w:type="dxa"/>
            <w:tcBorders>
              <w:right w:val="single" w:color="auto" w:sz="4" w:space="0"/>
            </w:tcBorders>
            <w:noWrap w:val="0"/>
            <w:vAlign w:val="center"/>
          </w:tcPr>
          <w:p w14:paraId="5CC1F4C8">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w:t>
            </w:r>
          </w:p>
        </w:tc>
        <w:tc>
          <w:tcPr>
            <w:tcW w:w="507" w:type="dxa"/>
            <w:noWrap w:val="0"/>
            <w:vAlign w:val="center"/>
          </w:tcPr>
          <w:p w14:paraId="386C11E2">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62773C6E">
            <w:pPr>
              <w:widowControl/>
              <w:jc w:val="center"/>
              <w:rPr>
                <w:rFonts w:hint="default" w:ascii="宋体" w:hAnsi="宋体" w:eastAsia="宋体" w:cs="宋体"/>
                <w:i w:val="0"/>
                <w:iCs w:val="0"/>
                <w:color w:val="auto"/>
                <w:sz w:val="22"/>
                <w:szCs w:val="22"/>
                <w:highlight w:val="none"/>
                <w:u w:val="none"/>
                <w:lang w:val="en-US" w:eastAsia="zh-CN" w:bidi="ar"/>
              </w:rPr>
            </w:pPr>
            <w:ins w:id="63" w:author="JDZBzheng" w:date="2026-06-30T12:22:10Z">
              <w:r>
                <w:rPr>
                  <w:rFonts w:hint="eastAsia" w:ascii="宋体" w:hAnsi="宋体" w:cs="宋体"/>
                  <w:i w:val="0"/>
                  <w:iCs w:val="0"/>
                  <w:color w:val="auto"/>
                  <w:sz w:val="22"/>
                  <w:szCs w:val="22"/>
                  <w:highlight w:val="none"/>
                  <w:u w:val="none"/>
                  <w:lang w:val="en-US" w:eastAsia="zh-CN" w:bidi="ar"/>
                </w:rPr>
                <w:t>35</w:t>
              </w:r>
            </w:ins>
            <w:ins w:id="64" w:author="JDZBzheng" w:date="2026-06-30T12:22:11Z">
              <w:r>
                <w:rPr>
                  <w:rFonts w:hint="eastAsia" w:ascii="宋体" w:hAnsi="宋体" w:cs="宋体"/>
                  <w:i w:val="0"/>
                  <w:iCs w:val="0"/>
                  <w:color w:val="auto"/>
                  <w:sz w:val="22"/>
                  <w:szCs w:val="22"/>
                  <w:highlight w:val="none"/>
                  <w:u w:val="none"/>
                  <w:lang w:val="en-US" w:eastAsia="zh-CN" w:bidi="ar"/>
                </w:rPr>
                <w:t>000</w:t>
              </w:r>
            </w:ins>
            <w:ins w:id="65" w:author="JDZBzheng" w:date="2026-06-30T12:22:12Z">
              <w:r>
                <w:rPr>
                  <w:rFonts w:hint="eastAsia" w:ascii="宋体" w:hAnsi="宋体" w:cs="宋体"/>
                  <w:i w:val="0"/>
                  <w:iCs w:val="0"/>
                  <w:color w:val="auto"/>
                  <w:sz w:val="22"/>
                  <w:szCs w:val="22"/>
                  <w:highlight w:val="none"/>
                  <w:u w:val="none"/>
                  <w:lang w:val="en-US" w:eastAsia="zh-CN" w:bidi="ar"/>
                </w:rPr>
                <w:t>0.00</w:t>
              </w:r>
            </w:ins>
          </w:p>
        </w:tc>
        <w:tc>
          <w:tcPr>
            <w:tcW w:w="670" w:type="dxa"/>
            <w:shd w:val="clear" w:color="auto" w:fill="auto"/>
            <w:noWrap w:val="0"/>
            <w:vAlign w:val="center"/>
          </w:tcPr>
          <w:p w14:paraId="36D23548">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7C9930BA">
            <w:pPr>
              <w:wordWrap w:val="0"/>
              <w:spacing w:line="440" w:lineRule="exact"/>
              <w:rPr>
                <w:rFonts w:hint="eastAsia" w:ascii="宋体" w:hAnsi="宋体" w:eastAsia="宋体" w:cs="宋体"/>
                <w:color w:val="auto"/>
                <w:sz w:val="21"/>
                <w:szCs w:val="21"/>
                <w:highlight w:val="none"/>
                <w:lang w:val="en-US" w:eastAsia="zh-CN"/>
              </w:rPr>
            </w:pPr>
            <w:bookmarkStart w:id="70" w:name="OLE_LINK80"/>
            <w:bookmarkStart w:id="71" w:name="OLE_LINK81"/>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技术参数要求</w:t>
            </w:r>
          </w:p>
          <w:p w14:paraId="2D7AD3D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1.安全类型：防电击类型是I类B型。</w:t>
            </w:r>
          </w:p>
          <w:p w14:paraId="30CE490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2.安全要求：符合 GB 9706.1-2020 要求，与报警相关的项目应符合 YY9706.108-2021。</w:t>
            </w:r>
          </w:p>
          <w:p w14:paraId="63754CB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3.全血回输：在紧急情况下，可将过滤后的血液直接泵入红细胞回收袋，为患者赢得时间。</w:t>
            </w:r>
          </w:p>
          <w:p w14:paraId="7D5A52F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4.界面显示：高分辨率彩色液晶显示及触摸屏控制，中文操作，图文并茂。</w:t>
            </w:r>
          </w:p>
          <w:p w14:paraId="261297E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●5.外置显示器：≥10英寸，可多角度旋转显示屏，便于操作。</w:t>
            </w:r>
          </w:p>
          <w:p w14:paraId="2A316E7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6.操作模式：自动模式、应急模式；全血回收模式、手动模式、浓缩模式 、回血模式等 。</w:t>
            </w:r>
          </w:p>
          <w:p w14:paraId="3BE6E4D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7.控制系统：双CPU控制系统，显示和控制分别处理，响应迅速大幅提升。</w:t>
            </w:r>
          </w:p>
          <w:p w14:paraId="54DC42E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●8.内置配套耗材安装指导及常见故障排除系统。</w:t>
            </w:r>
          </w:p>
          <w:p w14:paraId="2F089CE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9.离心机转速：2000-5650转/分钟，可调整。</w:t>
            </w:r>
          </w:p>
          <w:p w14:paraId="0BA91AC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10.蠕动泵流量：50-1000毫升/分钟、分级可调，步长小于25毫升/分钟。</w:t>
            </w:r>
          </w:p>
          <w:p w14:paraId="5C8839F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11.标准洗涤时间：3-5分钟/周期。</w:t>
            </w:r>
          </w:p>
          <w:p w14:paraId="4345199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12.紧急抢救时全血回收模式:15秒内即可进行全血回输。</w:t>
            </w:r>
          </w:p>
          <w:p w14:paraId="1A4D72C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▲13.红细胞回收率：≥85%。</w:t>
            </w:r>
          </w:p>
          <w:p w14:paraId="28787C4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14.回收后血球压积：≥55%。</w:t>
            </w:r>
          </w:p>
          <w:p w14:paraId="3F20157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15.抗凝剂（肝素）清除率：≥98%。</w:t>
            </w:r>
          </w:p>
          <w:p w14:paraId="1D4DB05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16.开机自检功能：开机时，仪器检测系统对自身重要部件进行检测，有故障则停止检测，提示用户可能的故障部位，直至故障排除方可进入正常工作程序。</w:t>
            </w:r>
          </w:p>
          <w:p w14:paraId="10E49A6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17.液体容积监测功能：仪器内部集成电子称重系统，当收集的原血量达到设定值时系统自动开启工作，进行血液处理；当废液袋满载时系统会发出报警声，提醒更换。</w:t>
            </w:r>
          </w:p>
          <w:p w14:paraId="1228E85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18.红细胞血层检测功能：确保回收血液的血球压积符合指标。</w:t>
            </w:r>
          </w:p>
          <w:p w14:paraId="09ABC3C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19.断流检测功能：实时监测管路中液体的流动状态。</w:t>
            </w:r>
          </w:p>
          <w:p w14:paraId="756CE4F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●20.血液洗净度检测功能：确保血液清洗质量。</w:t>
            </w:r>
          </w:p>
          <w:p w14:paraId="1FB2F88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21.红细胞溢出检测功能：当系统检测到红细胞溢出时，自动调整泵速，直到合适为止。</w:t>
            </w:r>
          </w:p>
          <w:p w14:paraId="5D4CD81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●22.飞溅液体及防护罩锁紧检测功能：保护现场人员的安全。</w:t>
            </w:r>
          </w:p>
          <w:p w14:paraId="7FADA72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23.配置同品牌输血输液加温仪：对回收的血液进行加温，加温仪可选配多种规格加热管路。</w:t>
            </w:r>
          </w:p>
          <w:p w14:paraId="56573DC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24.设备使用年限：≥10年。</w:t>
            </w:r>
          </w:p>
          <w:p w14:paraId="739CE1B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配置要求</w:t>
            </w:r>
          </w:p>
          <w:p w14:paraId="5902413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1.自体血液回收机               1台</w:t>
            </w:r>
          </w:p>
          <w:p w14:paraId="6A50162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2.承载车                      1台</w:t>
            </w:r>
          </w:p>
          <w:p w14:paraId="6F74254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扩展配置与配套设施</w:t>
            </w:r>
          </w:p>
          <w:p w14:paraId="6BB949E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工作条件</w:t>
            </w:r>
          </w:p>
          <w:p w14:paraId="5EFB8C23">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1.电源： 220VAC  50Hz</w:t>
            </w:r>
            <w:bookmarkEnd w:id="70"/>
            <w:bookmarkEnd w:id="71"/>
          </w:p>
        </w:tc>
      </w:tr>
      <w:tr w14:paraId="0205E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486" w:type="dxa"/>
            <w:noWrap w:val="0"/>
            <w:vAlign w:val="center"/>
          </w:tcPr>
          <w:p w14:paraId="68F73EF5">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12</w:t>
            </w:r>
          </w:p>
        </w:tc>
        <w:tc>
          <w:tcPr>
            <w:tcW w:w="1190" w:type="dxa"/>
            <w:noWrap w:val="0"/>
            <w:vAlign w:val="center"/>
          </w:tcPr>
          <w:p w14:paraId="77ED9635">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rPr>
              <w:t>麻醉深度监测仪</w:t>
            </w:r>
          </w:p>
        </w:tc>
        <w:tc>
          <w:tcPr>
            <w:tcW w:w="504" w:type="dxa"/>
            <w:tcBorders>
              <w:right w:val="single" w:color="auto" w:sz="4" w:space="0"/>
            </w:tcBorders>
            <w:noWrap w:val="0"/>
            <w:vAlign w:val="center"/>
          </w:tcPr>
          <w:p w14:paraId="47566886">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4</w:t>
            </w:r>
          </w:p>
        </w:tc>
        <w:tc>
          <w:tcPr>
            <w:tcW w:w="507" w:type="dxa"/>
            <w:noWrap w:val="0"/>
            <w:vAlign w:val="center"/>
          </w:tcPr>
          <w:p w14:paraId="2F8E3ECB">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342BA0EC">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12</w:t>
            </w:r>
            <w:ins w:id="66" w:author="JDZBzheng" w:date="2026-06-30T12:22:18Z">
              <w:r>
                <w:rPr>
                  <w:rFonts w:hint="eastAsia" w:ascii="宋体" w:hAnsi="宋体" w:cs="宋体"/>
                  <w:i w:val="0"/>
                  <w:iCs w:val="0"/>
                  <w:color w:val="auto"/>
                  <w:sz w:val="22"/>
                  <w:szCs w:val="22"/>
                  <w:highlight w:val="none"/>
                  <w:u w:val="none"/>
                  <w:lang w:val="en-US" w:eastAsia="zh-CN" w:bidi="ar"/>
                </w:rPr>
                <w:t>0000</w:t>
              </w:r>
            </w:ins>
            <w:ins w:id="67" w:author="JDZBzheng" w:date="2026-06-30T12:22:19Z">
              <w:r>
                <w:rPr>
                  <w:rFonts w:hint="eastAsia" w:ascii="宋体" w:hAnsi="宋体" w:cs="宋体"/>
                  <w:i w:val="0"/>
                  <w:iCs w:val="0"/>
                  <w:color w:val="auto"/>
                  <w:sz w:val="22"/>
                  <w:szCs w:val="22"/>
                  <w:highlight w:val="none"/>
                  <w:u w:val="none"/>
                  <w:lang w:val="en-US" w:eastAsia="zh-CN" w:bidi="ar"/>
                </w:rPr>
                <w:t>.00</w:t>
              </w:r>
            </w:ins>
          </w:p>
        </w:tc>
        <w:tc>
          <w:tcPr>
            <w:tcW w:w="670" w:type="dxa"/>
            <w:shd w:val="clear" w:color="auto" w:fill="auto"/>
            <w:noWrap w:val="0"/>
            <w:vAlign w:val="center"/>
          </w:tcPr>
          <w:p w14:paraId="241995E3">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6FC6728A">
            <w:pPr>
              <w:wordWrap w:val="0"/>
              <w:spacing w:line="440" w:lineRule="exact"/>
              <w:rPr>
                <w:rFonts w:hint="eastAsia" w:ascii="宋体" w:hAnsi="宋体" w:eastAsia="宋体" w:cs="宋体"/>
                <w:color w:val="auto"/>
                <w:sz w:val="21"/>
                <w:szCs w:val="21"/>
                <w:highlight w:val="none"/>
              </w:rPr>
            </w:pPr>
            <w:bookmarkStart w:id="72" w:name="OLE_LINK83"/>
            <w:bookmarkStart w:id="73" w:name="OLE_LINK82"/>
            <w:r>
              <w:rPr>
                <w:rFonts w:hint="eastAsia" w:ascii="宋体" w:hAnsi="宋体" w:eastAsia="宋体" w:cs="宋体"/>
                <w:color w:val="auto"/>
                <w:sz w:val="21"/>
                <w:szCs w:val="21"/>
                <w:highlight w:val="none"/>
              </w:rPr>
              <w:t>1.单机软件升级：有。</w:t>
            </w:r>
          </w:p>
          <w:p w14:paraId="6A780BE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2.终身免费软件版本升级，具有功能拓展能力。</w:t>
            </w:r>
          </w:p>
          <w:p w14:paraId="56E0702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3.病例演示功能：有。</w:t>
            </w:r>
          </w:p>
          <w:p w14:paraId="0774FF3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4.内置数据回放：可回放历史数据。</w:t>
            </w:r>
          </w:p>
          <w:p w14:paraId="04303383">
            <w:pPr>
              <w:wordWrap w:val="0"/>
              <w:spacing w:line="440" w:lineRule="exact"/>
              <w:rPr>
                <w:rFonts w:hint="eastAsia" w:ascii="宋体" w:hAnsi="宋体" w:eastAsia="宋体" w:cs="宋体"/>
                <w:color w:val="auto"/>
                <w:sz w:val="21"/>
                <w:szCs w:val="21"/>
                <w:highlight w:val="none"/>
              </w:rPr>
            </w:pPr>
            <w:bookmarkStart w:id="74" w:name="_Toc275594100"/>
            <w:r>
              <w:rPr>
                <w:rFonts w:hint="eastAsia" w:ascii="宋体" w:hAnsi="宋体" w:eastAsia="宋体" w:cs="宋体"/>
                <w:color w:val="auto"/>
                <w:sz w:val="21"/>
                <w:szCs w:val="21"/>
                <w:highlight w:val="none"/>
              </w:rPr>
              <w:t>5.显示窗口：≥10.4</w:t>
            </w:r>
            <w:r>
              <w:rPr>
                <w:rFonts w:hint="eastAsia" w:ascii="宋体" w:hAnsi="宋体" w:eastAsia="宋体" w:cs="宋体"/>
                <w:color w:val="auto"/>
                <w:sz w:val="21"/>
                <w:szCs w:val="21"/>
                <w:highlight w:val="none"/>
                <w:lang w:val="en-US" w:eastAsia="zh-CN"/>
              </w:rPr>
              <w:t>英</w:t>
            </w:r>
            <w:r>
              <w:rPr>
                <w:rFonts w:hint="eastAsia" w:ascii="宋体" w:hAnsi="宋体" w:eastAsia="宋体" w:cs="宋体"/>
                <w:color w:val="auto"/>
                <w:sz w:val="21"/>
                <w:szCs w:val="21"/>
                <w:highlight w:val="none"/>
              </w:rPr>
              <w:t>寸TFT LCD，触摸屏；显示屏分辨率：不低于1024×768点阵。</w:t>
            </w:r>
          </w:p>
          <w:p w14:paraId="2C843E3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6.质量</w:t>
            </w:r>
            <w:bookmarkEnd w:id="74"/>
            <w:r>
              <w:rPr>
                <w:rFonts w:hint="eastAsia" w:ascii="宋体" w:hAnsi="宋体" w:eastAsia="宋体" w:cs="宋体"/>
                <w:color w:val="auto"/>
                <w:sz w:val="21"/>
                <w:szCs w:val="21"/>
                <w:highlight w:val="none"/>
              </w:rPr>
              <w:t>：主机（含内置电池）重量≤3.3kg。</w:t>
            </w:r>
          </w:p>
          <w:p w14:paraId="3CF62CF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7.输入信号范围：±1mV。</w:t>
            </w:r>
          </w:p>
          <w:p w14:paraId="0DB1C45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8.输入阻抗：≥10兆欧姆。</w:t>
            </w:r>
          </w:p>
          <w:p w14:paraId="7B9DA22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9.前置采样率：≥32K（32000）样本/秒。</w:t>
            </w:r>
          </w:p>
          <w:p w14:paraId="3CAE6AD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10.数转换分辨率：不低于24位。</w:t>
            </w:r>
          </w:p>
          <w:p w14:paraId="243D163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11.共模抑制比：不小于80dB。</w:t>
            </w:r>
          </w:p>
          <w:p w14:paraId="658401F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12.噪声：＜3μVp-p，2Hz~45Hz。</w:t>
            </w:r>
          </w:p>
          <w:p w14:paraId="54B4467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13.更新速率：Ai值为1秒。</w:t>
            </w:r>
          </w:p>
          <w:p w14:paraId="5EAA09A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14.算法响应时间：≤5秒。</w:t>
            </w:r>
          </w:p>
          <w:p w14:paraId="532DF69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15.脑电图刻度：25μV/格（±50μV全范围）。</w:t>
            </w:r>
          </w:p>
          <w:p w14:paraId="509D1B8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16.数据存储：支持本地或外接存储，配套专用回放软件。</w:t>
            </w:r>
          </w:p>
          <w:p w14:paraId="5EBF50C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17.报警声压范围：不大于65dB。</w:t>
            </w:r>
          </w:p>
          <w:p w14:paraId="241F39D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18.内置备用电池：满负荷运行不小于1小时。</w:t>
            </w:r>
          </w:p>
          <w:p w14:paraId="11EB64A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电气安全要求：符合GB9706.1-2020的规定。</w:t>
            </w:r>
          </w:p>
          <w:p w14:paraId="5DDFBE2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电磁兼容要求：符合YY9706.102-2021的规定。</w:t>
            </w:r>
          </w:p>
          <w:p w14:paraId="7E7B898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报警系统要求：符合YY9706.108-2021的规定。</w:t>
            </w:r>
          </w:p>
          <w:p w14:paraId="0D4CF824">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使用年</w:t>
            </w:r>
            <w:r>
              <w:rPr>
                <w:rFonts w:hint="eastAsia" w:ascii="宋体" w:hAnsi="宋体" w:cs="宋体"/>
                <w:color w:val="auto"/>
                <w:sz w:val="21"/>
                <w:szCs w:val="21"/>
                <w:highlight w:val="none"/>
                <w:lang w:eastAsia="zh-CN"/>
              </w:rPr>
              <w:t>限要</w:t>
            </w:r>
            <w:r>
              <w:rPr>
                <w:rFonts w:hint="eastAsia" w:ascii="宋体" w:hAnsi="宋体" w:eastAsia="宋体" w:cs="宋体"/>
                <w:color w:val="auto"/>
                <w:sz w:val="21"/>
                <w:szCs w:val="21"/>
                <w:highlight w:val="none"/>
              </w:rPr>
              <w:t>求：使用年限不低于8年</w:t>
            </w:r>
            <w:bookmarkEnd w:id="72"/>
            <w:bookmarkEnd w:id="73"/>
          </w:p>
        </w:tc>
      </w:tr>
      <w:tr w14:paraId="5E1F6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69E4DA28">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13</w:t>
            </w:r>
          </w:p>
        </w:tc>
        <w:tc>
          <w:tcPr>
            <w:tcW w:w="1190" w:type="dxa"/>
            <w:noWrap w:val="0"/>
            <w:vAlign w:val="center"/>
          </w:tcPr>
          <w:p w14:paraId="65FF4238">
            <w:pPr>
              <w:widowControl/>
              <w:jc w:val="center"/>
              <w:rPr>
                <w:rFonts w:hint="eastAsia" w:ascii="Arial" w:hAnsi="Arial" w:eastAsia="宋体" w:cs="Arial"/>
                <w:bCs/>
                <w:color w:val="auto"/>
                <w:szCs w:val="21"/>
                <w:highlight w:val="none"/>
              </w:rPr>
            </w:pPr>
            <w:r>
              <w:rPr>
                <w:rFonts w:hint="eastAsia" w:ascii="Arial" w:hAnsi="Arial" w:eastAsia="宋体" w:cs="Arial"/>
                <w:bCs/>
                <w:color w:val="auto"/>
                <w:szCs w:val="21"/>
                <w:highlight w:val="none"/>
              </w:rPr>
              <w:t>充气升温装置</w:t>
            </w:r>
          </w:p>
        </w:tc>
        <w:tc>
          <w:tcPr>
            <w:tcW w:w="504" w:type="dxa"/>
            <w:tcBorders>
              <w:right w:val="single" w:color="auto" w:sz="4" w:space="0"/>
            </w:tcBorders>
            <w:noWrap w:val="0"/>
            <w:vAlign w:val="center"/>
          </w:tcPr>
          <w:p w14:paraId="2A77FC53">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6</w:t>
            </w:r>
          </w:p>
        </w:tc>
        <w:tc>
          <w:tcPr>
            <w:tcW w:w="507" w:type="dxa"/>
            <w:noWrap w:val="0"/>
            <w:vAlign w:val="center"/>
          </w:tcPr>
          <w:p w14:paraId="114EAD14">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套</w:t>
            </w:r>
          </w:p>
        </w:tc>
        <w:tc>
          <w:tcPr>
            <w:tcW w:w="1265" w:type="dxa"/>
            <w:shd w:val="clear" w:color="auto" w:fill="auto"/>
            <w:noWrap w:val="0"/>
            <w:vAlign w:val="center"/>
          </w:tcPr>
          <w:p w14:paraId="067B099F">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90</w:t>
            </w:r>
            <w:ins w:id="68" w:author="JDZBzheng" w:date="2026-06-30T12:22:28Z">
              <w:r>
                <w:rPr>
                  <w:rFonts w:hint="eastAsia" w:ascii="宋体" w:hAnsi="宋体" w:cs="宋体"/>
                  <w:i w:val="0"/>
                  <w:iCs w:val="0"/>
                  <w:color w:val="auto"/>
                  <w:sz w:val="22"/>
                  <w:szCs w:val="22"/>
                  <w:highlight w:val="none"/>
                  <w:u w:val="none"/>
                  <w:lang w:val="en-US" w:eastAsia="zh-CN" w:bidi="ar"/>
                </w:rPr>
                <w:t>000.</w:t>
              </w:r>
            </w:ins>
            <w:ins w:id="69" w:author="JDZBzheng" w:date="2026-06-30T12:22:29Z">
              <w:r>
                <w:rPr>
                  <w:rFonts w:hint="eastAsia" w:ascii="宋体" w:hAnsi="宋体" w:cs="宋体"/>
                  <w:i w:val="0"/>
                  <w:iCs w:val="0"/>
                  <w:color w:val="auto"/>
                  <w:sz w:val="22"/>
                  <w:szCs w:val="22"/>
                  <w:highlight w:val="none"/>
                  <w:u w:val="none"/>
                  <w:lang w:val="en-US" w:eastAsia="zh-CN" w:bidi="ar"/>
                </w:rPr>
                <w:t>00</w:t>
              </w:r>
            </w:ins>
          </w:p>
        </w:tc>
        <w:tc>
          <w:tcPr>
            <w:tcW w:w="670" w:type="dxa"/>
            <w:shd w:val="clear" w:color="auto" w:fill="auto"/>
            <w:noWrap w:val="0"/>
            <w:vAlign w:val="center"/>
          </w:tcPr>
          <w:p w14:paraId="6DA5E79A">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2270B137">
            <w:pPr>
              <w:wordWrap w:val="0"/>
              <w:spacing w:line="440" w:lineRule="exact"/>
              <w:rPr>
                <w:rFonts w:hint="eastAsia" w:ascii="宋体" w:hAnsi="宋体" w:eastAsia="宋体" w:cs="宋体"/>
                <w:color w:val="auto"/>
                <w:sz w:val="21"/>
                <w:szCs w:val="21"/>
                <w:highlight w:val="none"/>
                <w:lang w:val="en-US" w:eastAsia="zh-CN"/>
              </w:rPr>
            </w:pPr>
            <w:bookmarkStart w:id="75" w:name="OLE_LINK84"/>
            <w:bookmarkStart w:id="76" w:name="OLE_LINK85"/>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技术参数要求：</w:t>
            </w:r>
          </w:p>
          <w:p w14:paraId="0621025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▲1.噪音水平：≤55dB（A）。</w:t>
            </w:r>
          </w:p>
          <w:p w14:paraId="7A81535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▲2.采用双重过滤系统：初效过滤棉和0.2μm高效过滤器。</w:t>
            </w:r>
          </w:p>
          <w:p w14:paraId="767BDDA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3.过滤器更换周期：每使用12个月或500小时更换一次。</w:t>
            </w:r>
          </w:p>
          <w:p w14:paraId="0C862FE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▲4.采用3个数字温度传感器。</w:t>
            </w:r>
          </w:p>
          <w:p w14:paraId="5B1536B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5.四档调温：室温、低温档32℃、中温档38℃、高温档43℃</w:t>
            </w:r>
          </w:p>
          <w:p w14:paraId="5131EAA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●6.PTC加热模块。</w:t>
            </w:r>
            <w:ins w:id="70" w:author="JDZBzheng" w:date="2026-06-30T18:57:32Z">
              <w:r>
                <w:rPr>
                  <w:rFonts w:hint="eastAsia" w:ascii="宋体" w:hAnsi="宋体" w:eastAsia="宋体" w:cs="宋体"/>
                  <w:color w:val="auto"/>
                  <w:sz w:val="21"/>
                  <w:szCs w:val="21"/>
                  <w:highlight w:val="none"/>
                  <w:lang w:val="en-US" w:eastAsia="zh-CN"/>
                </w:rPr>
                <w:t>软件：</w:t>
              </w:r>
            </w:ins>
            <w:ins w:id="71" w:author="JDZBzheng" w:date="2026-06-30T18:57:32Z">
              <w:r>
                <w:rPr>
                  <w:rFonts w:hint="eastAsia" w:ascii="宋体" w:hAnsi="宋体" w:eastAsia="宋体" w:cs="宋体"/>
                  <w:color w:val="auto"/>
                  <w:sz w:val="21"/>
                  <w:szCs w:val="21"/>
                  <w:highlight w:val="none"/>
                </w:rPr>
                <w:t>设备搭载工业级ARM Cortex-M7或同等架构主控芯片，主频≥600MHz，内置RAM≥512KB，支持外部存储扩展，具备实时操作系统运行能力。</w:t>
              </w:r>
            </w:ins>
          </w:p>
          <w:p w14:paraId="5DF401A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▲7.通风软管配有一体保护套</w:t>
            </w:r>
          </w:p>
          <w:p w14:paraId="3FDFF06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8.超温/低温报警：当温度超出设定温度的±3℃时报警，升温机停止加热，同时发出报警声。</w:t>
            </w:r>
          </w:p>
          <w:p w14:paraId="6325A8C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9.故障提示：液晶面板出现“系统错误”信息提示，并发出警报声</w:t>
            </w:r>
          </w:p>
          <w:p w14:paraId="27F5A8E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▲10.升温机重量：≤5.4kg，电源线长度：≥5米</w:t>
            </w:r>
          </w:p>
          <w:p w14:paraId="0A23598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▲11.风机电机：运行速度≤2900转/分钟，气流25-30CFM</w:t>
            </w:r>
          </w:p>
          <w:p w14:paraId="163FD5F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12.电磁兼容标准: 符合电磁兼容标准（IEC60601-1-2:2014）</w:t>
            </w:r>
          </w:p>
          <w:p w14:paraId="7C0DB99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13.安规标准：符合AMD2（2020）和IEC 80601-2-35：2016标准。</w:t>
            </w:r>
          </w:p>
          <w:p w14:paraId="5A9054F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体表加温毯参数</w:t>
            </w:r>
          </w:p>
          <w:p w14:paraId="36D2916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1.体表加温毯材质：SMS材料，可与患者皮肤直接接触</w:t>
            </w:r>
          </w:p>
          <w:p w14:paraId="5E0F6B2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2.无菌：所有毯型均为辐照灭菌</w:t>
            </w:r>
          </w:p>
          <w:p w14:paraId="490E2AA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▲3.可适配一次性无菌加温毯规格种类不少于 32 种，原厂标配或第三方合规医用同规格加温毯均可配套使用。</w:t>
            </w:r>
          </w:p>
          <w:p w14:paraId="6B5E807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▲4.垫毯类（包括身下毯、截石位毯、儿童毯）应具备两侧压虚线设计以及高密度小圆孔透气设计，确保达到对患者高效的对流式加温效果</w:t>
            </w:r>
          </w:p>
          <w:p w14:paraId="54ADB78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▲5.截石位垫毯需具备包裹全腿设计，以提升保温效果</w:t>
            </w:r>
          </w:p>
          <w:p w14:paraId="4719AD7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●6.小号儿童类垫毯应具备可包裹全身设计，可在术前术后包裹患儿，术中可打开便于手术。</w:t>
            </w:r>
          </w:p>
          <w:p w14:paraId="2140957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7.体表加温毯有效期：≥36个月。</w:t>
            </w:r>
          </w:p>
          <w:p w14:paraId="3D3FB643">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8.具备全身盖毯、全身垫毯、成人U型毯、截石位毯以及儿童类毯型。</w:t>
            </w:r>
            <w:bookmarkEnd w:id="75"/>
            <w:bookmarkEnd w:id="76"/>
          </w:p>
        </w:tc>
      </w:tr>
      <w:tr w14:paraId="6866A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6ADFECF7">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14</w:t>
            </w:r>
          </w:p>
        </w:tc>
        <w:tc>
          <w:tcPr>
            <w:tcW w:w="1190" w:type="dxa"/>
            <w:noWrap w:val="0"/>
            <w:vAlign w:val="center"/>
          </w:tcPr>
          <w:p w14:paraId="5DEA994C">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电子支气管镜工作站</w:t>
            </w:r>
          </w:p>
        </w:tc>
        <w:tc>
          <w:tcPr>
            <w:tcW w:w="504" w:type="dxa"/>
            <w:tcBorders>
              <w:right w:val="single" w:color="auto" w:sz="4" w:space="0"/>
            </w:tcBorders>
            <w:noWrap w:val="0"/>
            <w:vAlign w:val="center"/>
          </w:tcPr>
          <w:p w14:paraId="401A12D9">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w:t>
            </w:r>
          </w:p>
        </w:tc>
        <w:tc>
          <w:tcPr>
            <w:tcW w:w="507" w:type="dxa"/>
            <w:noWrap w:val="0"/>
            <w:vAlign w:val="center"/>
          </w:tcPr>
          <w:p w14:paraId="461E4244">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套</w:t>
            </w:r>
          </w:p>
        </w:tc>
        <w:tc>
          <w:tcPr>
            <w:tcW w:w="1265" w:type="dxa"/>
            <w:shd w:val="clear" w:color="auto" w:fill="auto"/>
            <w:noWrap w:val="0"/>
            <w:vAlign w:val="center"/>
          </w:tcPr>
          <w:p w14:paraId="25B25DAF">
            <w:pPr>
              <w:widowControl/>
              <w:jc w:val="center"/>
              <w:rPr>
                <w:rFonts w:hint="default" w:ascii="宋体" w:hAnsi="宋体" w:eastAsia="宋体" w:cs="宋体"/>
                <w:i w:val="0"/>
                <w:iCs w:val="0"/>
                <w:color w:val="auto"/>
                <w:sz w:val="22"/>
                <w:szCs w:val="22"/>
                <w:highlight w:val="none"/>
                <w:u w:val="none"/>
                <w:lang w:val="en-US" w:eastAsia="zh-CN" w:bidi="ar"/>
              </w:rPr>
            </w:pPr>
            <w:ins w:id="72" w:author="JDZBzheng" w:date="2026-06-30T12:22:35Z">
              <w:r>
                <w:rPr>
                  <w:rFonts w:hint="eastAsia" w:ascii="宋体" w:hAnsi="宋体" w:cs="宋体"/>
                  <w:i w:val="0"/>
                  <w:iCs w:val="0"/>
                  <w:color w:val="auto"/>
                  <w:sz w:val="22"/>
                  <w:szCs w:val="22"/>
                  <w:highlight w:val="none"/>
                  <w:u w:val="none"/>
                  <w:lang w:val="en-US" w:eastAsia="zh-CN" w:bidi="ar"/>
                </w:rPr>
                <w:t>150</w:t>
              </w:r>
            </w:ins>
            <w:ins w:id="73" w:author="JDZBzheng" w:date="2026-06-30T12:22:36Z">
              <w:r>
                <w:rPr>
                  <w:rFonts w:hint="eastAsia" w:ascii="宋体" w:hAnsi="宋体" w:cs="宋体"/>
                  <w:i w:val="0"/>
                  <w:iCs w:val="0"/>
                  <w:color w:val="auto"/>
                  <w:sz w:val="22"/>
                  <w:szCs w:val="22"/>
                  <w:highlight w:val="none"/>
                  <w:u w:val="none"/>
                  <w:lang w:val="en-US" w:eastAsia="zh-CN" w:bidi="ar"/>
                </w:rPr>
                <w:t>000</w:t>
              </w:r>
            </w:ins>
            <w:ins w:id="74" w:author="JDZBzheng" w:date="2026-06-30T12:22:37Z">
              <w:r>
                <w:rPr>
                  <w:rFonts w:hint="eastAsia" w:ascii="宋体" w:hAnsi="宋体" w:cs="宋体"/>
                  <w:i w:val="0"/>
                  <w:iCs w:val="0"/>
                  <w:color w:val="auto"/>
                  <w:sz w:val="22"/>
                  <w:szCs w:val="22"/>
                  <w:highlight w:val="none"/>
                  <w:u w:val="none"/>
                  <w:lang w:val="en-US" w:eastAsia="zh-CN" w:bidi="ar"/>
                </w:rPr>
                <w:t>.00</w:t>
              </w:r>
            </w:ins>
          </w:p>
        </w:tc>
        <w:tc>
          <w:tcPr>
            <w:tcW w:w="670" w:type="dxa"/>
            <w:shd w:val="clear" w:color="auto" w:fill="auto"/>
            <w:noWrap w:val="0"/>
            <w:vAlign w:val="center"/>
          </w:tcPr>
          <w:p w14:paraId="6B182BFC">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3D042DE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主机技术要求 </w:t>
            </w:r>
          </w:p>
          <w:p w14:paraId="74360A1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1.采用智能主控芯片，同一主机可兼容窥视叶片手柄、硬管手柄、软管手柄。 </w:t>
            </w:r>
          </w:p>
          <w:p w14:paraId="6559027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2.采用广角高亮显示屏，视场角≥160 °。 </w:t>
            </w:r>
          </w:p>
          <w:p w14:paraId="65CC344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3.主机屏幕≥3.5</w:t>
            </w:r>
            <w:r>
              <w:rPr>
                <w:rFonts w:hint="eastAsia" w:ascii="宋体" w:hAnsi="宋体" w:eastAsia="宋体" w:cs="宋体"/>
                <w:color w:val="auto"/>
                <w:sz w:val="21"/>
                <w:szCs w:val="21"/>
                <w:highlight w:val="none"/>
                <w:lang w:val="en-US" w:eastAsia="zh-CN"/>
              </w:rPr>
              <w:t>英</w:t>
            </w:r>
            <w:r>
              <w:rPr>
                <w:rFonts w:hint="eastAsia" w:ascii="宋体" w:hAnsi="宋体" w:eastAsia="宋体" w:cs="宋体"/>
                <w:color w:val="auto"/>
                <w:sz w:val="21"/>
                <w:szCs w:val="21"/>
                <w:highlight w:val="none"/>
              </w:rPr>
              <w:t xml:space="preserve">寸，显示分辨率≥640×480。 </w:t>
            </w:r>
          </w:p>
          <w:p w14:paraId="5DC2B5C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4.屏幕采用医用电阻触摸屏，通过压力点触，方便医生戴手套操作。 </w:t>
            </w:r>
          </w:p>
          <w:p w14:paraId="08AD7F3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5.可外接显示器，具备 USB 接口。 </w:t>
            </w:r>
          </w:p>
          <w:p w14:paraId="41CC8B2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▲6.主机内置多媒体系统，可一键拍照、录像、录音，可在主机上直接阅读、回放。 </w:t>
            </w:r>
          </w:p>
          <w:p w14:paraId="0378475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7.主机内置操作使用视频，方便临床医护人员快速掌握设备使用方法 </w:t>
            </w:r>
          </w:p>
          <w:p w14:paraId="5F9D118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8.具有户外/户内环境模式，以适应不同插管环境。 </w:t>
            </w:r>
          </w:p>
          <w:p w14:paraId="4E99A49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9.内置锂电池，可重复充电使用，方便外出携带，具备电量管理功能。 </w:t>
            </w:r>
          </w:p>
          <w:p w14:paraId="6B56901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10.主机与各种手柄均可带电一键插拔连接、分离，无需旋转。 </w:t>
            </w:r>
          </w:p>
          <w:p w14:paraId="68589AC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11.显示器能上下 0º~130º转动，左右 0º~270º转动。 </w:t>
            </w:r>
          </w:p>
          <w:p w14:paraId="3C948C7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12.具备 USB,HDMI 传输功能。</w:t>
            </w:r>
          </w:p>
          <w:p w14:paraId="28E6F7F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电子支气管镜 </w:t>
            </w:r>
          </w:p>
          <w:p w14:paraId="31843DC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1.采用数字电子微成像技术，无内置光纤，视角≥120°, 中心分辨率≥11.31p/mm。 </w:t>
            </w:r>
          </w:p>
          <w:p w14:paraId="5944A83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2.采用医用高分子特种材料构造，机身轻盈、结实耐用、高强度、耐腐蚀、寿命长。 </w:t>
            </w:r>
          </w:p>
          <w:p w14:paraId="72D81CC0">
            <w:pPr>
              <w:wordWrap w:val="0"/>
              <w:spacing w:line="440" w:lineRule="exact"/>
              <w:rPr>
                <w:rFonts w:hint="eastAsia" w:ascii="宋体" w:hAnsi="宋体" w:eastAsia="宋体" w:cs="宋体"/>
                <w:color w:val="auto"/>
                <w:sz w:val="21"/>
                <w:szCs w:val="21"/>
                <w:highlight w:val="none"/>
              </w:rPr>
            </w:pPr>
            <w:bookmarkStart w:id="77" w:name="OLE_LINK87"/>
            <w:bookmarkStart w:id="78" w:name="OLE_LINK86"/>
            <w:bookmarkStart w:id="79" w:name="OLE_LINK88"/>
            <w:bookmarkStart w:id="80" w:name="OLE_LINK89"/>
            <w:r>
              <w:rPr>
                <w:rFonts w:hint="eastAsia" w:ascii="宋体" w:hAnsi="宋体" w:eastAsia="宋体" w:cs="宋体"/>
                <w:color w:val="auto"/>
                <w:sz w:val="21"/>
                <w:szCs w:val="21"/>
                <w:highlight w:val="none"/>
              </w:rPr>
              <w:t xml:space="preserve">▲3.软管插入部外径≤5.5mm，内置吸引通道直径≥2.4mm,长度≥600mm。 </w:t>
            </w:r>
          </w:p>
          <w:p w14:paraId="7CF3947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4.软管弯曲部向上≥140°，向下≥130°, 弯曲角度支持定制</w:t>
            </w:r>
            <w:bookmarkEnd w:id="77"/>
            <w:bookmarkEnd w:id="78"/>
            <w:r>
              <w:rPr>
                <w:rFonts w:hint="eastAsia" w:ascii="宋体" w:hAnsi="宋体" w:eastAsia="宋体" w:cs="宋体"/>
                <w:color w:val="auto"/>
                <w:sz w:val="21"/>
                <w:szCs w:val="21"/>
                <w:highlight w:val="none"/>
              </w:rPr>
              <w:t xml:space="preserve">。 </w:t>
            </w:r>
          </w:p>
          <w:bookmarkEnd w:id="79"/>
          <w:bookmarkEnd w:id="80"/>
          <w:p w14:paraId="00AECED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5.照明采用 LED 灯，亮度≥2000LUX，三档亮度可调节，非光纤照明。 </w:t>
            </w:r>
          </w:p>
          <w:p w14:paraId="6959FF7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6.成像距离范围不小于 2～50mm。 </w:t>
            </w:r>
          </w:p>
          <w:p w14:paraId="2761D08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7.具备防跌落、可任意弯曲性能，可整体浸泡消毒。 </w:t>
            </w:r>
          </w:p>
          <w:p w14:paraId="0D78C74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8.插入部具备旋转功能,左右各旋转</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 xml:space="preserve"> 120°。 </w:t>
            </w:r>
          </w:p>
          <w:p w14:paraId="026C50A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9.图像预冻结功能，在不影响实时观察的情况下同时可实现观察预冻结图像。 </w:t>
            </w:r>
          </w:p>
          <w:p w14:paraId="18D3AE6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10.具备手柄一键拍照、录像、调节亮度功能 。 </w:t>
            </w:r>
          </w:p>
          <w:p w14:paraId="239C231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11.与显示器之间的连接采用一键插拔方式，兼容多种显示器，无需旋转，节省临床抢救时间。 </w:t>
            </w:r>
          </w:p>
          <w:p w14:paraId="7242675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12.吸引按键可整体拆卸，方便清洗消毒灭菌。 </w:t>
            </w:r>
          </w:p>
          <w:p w14:paraId="0BFF903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▲13.支持无线及有线两种方式连接图像处理工作站，无需转接，大屏清晰成像。 </w:t>
            </w:r>
          </w:p>
          <w:p w14:paraId="2617AEE8">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14.内置多媒体系统，可拍照、录像、录音；可阅读、回放；可投屏输出信号。</w:t>
            </w:r>
          </w:p>
          <w:p w14:paraId="75595909">
            <w:pPr>
              <w:wordWrap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）产品配置清单</w:t>
            </w:r>
          </w:p>
          <w:tbl>
            <w:tblPr>
              <w:tblStyle w:val="56"/>
              <w:tblpPr w:leftFromText="180" w:rightFromText="180" w:vertAnchor="text" w:horzAnchor="page" w:tblpX="256" w:tblpY="17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2199"/>
              <w:gridCol w:w="1354"/>
              <w:gridCol w:w="1167"/>
            </w:tblGrid>
            <w:tr w14:paraId="4FF7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243" w:type="dxa"/>
                  <w:noWrap/>
                  <w:vAlign w:val="center"/>
                </w:tcPr>
                <w:p w14:paraId="0041DFF6">
                  <w:pPr>
                    <w:snapToGrid w:val="0"/>
                    <w:spacing w:after="200" w:line="360" w:lineRule="auto"/>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序号</w:t>
                  </w:r>
                </w:p>
              </w:tc>
              <w:tc>
                <w:tcPr>
                  <w:tcW w:w="2199" w:type="dxa"/>
                  <w:noWrap/>
                  <w:vAlign w:val="center"/>
                </w:tcPr>
                <w:p w14:paraId="1E8E855F">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名称</w:t>
                  </w:r>
                </w:p>
              </w:tc>
              <w:tc>
                <w:tcPr>
                  <w:tcW w:w="1354" w:type="dxa"/>
                  <w:noWrap/>
                  <w:vAlign w:val="center"/>
                </w:tcPr>
                <w:p w14:paraId="723BEB7E">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单位</w:t>
                  </w:r>
                </w:p>
              </w:tc>
              <w:tc>
                <w:tcPr>
                  <w:tcW w:w="1167" w:type="dxa"/>
                  <w:noWrap/>
                  <w:vAlign w:val="center"/>
                </w:tcPr>
                <w:p w14:paraId="354EE738">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数量</w:t>
                  </w:r>
                </w:p>
              </w:tc>
            </w:tr>
            <w:tr w14:paraId="2CC3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243" w:type="dxa"/>
                  <w:noWrap/>
                  <w:vAlign w:val="center"/>
                </w:tcPr>
                <w:p w14:paraId="70E3D7C0">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c>
                <w:tcPr>
                  <w:tcW w:w="2199" w:type="dxa"/>
                  <w:noWrap/>
                  <w:vAlign w:val="center"/>
                </w:tcPr>
                <w:p w14:paraId="27FB0B80">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rPr>
                    <w:t>电子支气管内窥镜</w:t>
                  </w:r>
                </w:p>
              </w:tc>
              <w:tc>
                <w:tcPr>
                  <w:tcW w:w="1354" w:type="dxa"/>
                  <w:noWrap/>
                  <w:vAlign w:val="center"/>
                </w:tcPr>
                <w:p w14:paraId="3EE64BE1">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个</w:t>
                  </w:r>
                </w:p>
              </w:tc>
              <w:tc>
                <w:tcPr>
                  <w:tcW w:w="1167" w:type="dxa"/>
                  <w:noWrap/>
                  <w:vAlign w:val="center"/>
                </w:tcPr>
                <w:p w14:paraId="4C90BD22">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r>
            <w:tr w14:paraId="3EC5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243" w:type="dxa"/>
                  <w:noWrap/>
                  <w:vAlign w:val="center"/>
                </w:tcPr>
                <w:p w14:paraId="2E0DEF54">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p>
              </w:tc>
              <w:tc>
                <w:tcPr>
                  <w:tcW w:w="2199" w:type="dxa"/>
                  <w:noWrap/>
                  <w:vAlign w:val="center"/>
                </w:tcPr>
                <w:p w14:paraId="6C9E9761">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rPr>
                    <w:t>消毒密封塞</w:t>
                  </w:r>
                </w:p>
              </w:tc>
              <w:tc>
                <w:tcPr>
                  <w:tcW w:w="1354" w:type="dxa"/>
                  <w:noWrap/>
                  <w:vAlign w:val="center"/>
                </w:tcPr>
                <w:p w14:paraId="2CE4011E">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把</w:t>
                  </w:r>
                </w:p>
              </w:tc>
              <w:tc>
                <w:tcPr>
                  <w:tcW w:w="1167" w:type="dxa"/>
                  <w:noWrap/>
                  <w:vAlign w:val="center"/>
                </w:tcPr>
                <w:p w14:paraId="2FD9AF84">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r>
            <w:tr w14:paraId="4AB0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243" w:type="dxa"/>
                  <w:noWrap/>
                  <w:vAlign w:val="center"/>
                </w:tcPr>
                <w:p w14:paraId="4CB8A7D0">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w:t>
                  </w:r>
                </w:p>
              </w:tc>
              <w:tc>
                <w:tcPr>
                  <w:tcW w:w="2199" w:type="dxa"/>
                  <w:noWrap/>
                  <w:vAlign w:val="center"/>
                </w:tcPr>
                <w:p w14:paraId="6CF48550">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rPr>
                    <w:t>钳道橡皮塞</w:t>
                  </w:r>
                </w:p>
              </w:tc>
              <w:tc>
                <w:tcPr>
                  <w:tcW w:w="1354" w:type="dxa"/>
                  <w:noWrap/>
                  <w:vAlign w:val="center"/>
                </w:tcPr>
                <w:p w14:paraId="5384C45F">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个</w:t>
                  </w:r>
                </w:p>
              </w:tc>
              <w:tc>
                <w:tcPr>
                  <w:tcW w:w="1167" w:type="dxa"/>
                  <w:noWrap/>
                  <w:vAlign w:val="center"/>
                </w:tcPr>
                <w:p w14:paraId="41832603">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p>
              </w:tc>
            </w:tr>
            <w:tr w14:paraId="71F3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243" w:type="dxa"/>
                  <w:noWrap/>
                  <w:vAlign w:val="center"/>
                </w:tcPr>
                <w:p w14:paraId="207117AE">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w:t>
                  </w:r>
                </w:p>
              </w:tc>
              <w:tc>
                <w:tcPr>
                  <w:tcW w:w="2199" w:type="dxa"/>
                  <w:noWrap/>
                  <w:vAlign w:val="center"/>
                </w:tcPr>
                <w:p w14:paraId="7C43367C">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吸引按钮</w:t>
                  </w:r>
                </w:p>
              </w:tc>
              <w:tc>
                <w:tcPr>
                  <w:tcW w:w="1354" w:type="dxa"/>
                  <w:noWrap/>
                  <w:vAlign w:val="center"/>
                </w:tcPr>
                <w:p w14:paraId="31165162">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个</w:t>
                  </w:r>
                </w:p>
              </w:tc>
              <w:tc>
                <w:tcPr>
                  <w:tcW w:w="1167" w:type="dxa"/>
                  <w:noWrap/>
                  <w:vAlign w:val="center"/>
                </w:tcPr>
                <w:p w14:paraId="7C9DF4F8">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p>
              </w:tc>
            </w:tr>
            <w:tr w14:paraId="1A4E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243" w:type="dxa"/>
                  <w:noWrap/>
                  <w:vAlign w:val="center"/>
                </w:tcPr>
                <w:p w14:paraId="3A9324E7">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w:t>
                  </w:r>
                </w:p>
              </w:tc>
              <w:tc>
                <w:tcPr>
                  <w:tcW w:w="2199" w:type="dxa"/>
                  <w:noWrap/>
                  <w:vAlign w:val="center"/>
                </w:tcPr>
                <w:p w14:paraId="156176D3">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使用说明书</w:t>
                  </w:r>
                </w:p>
              </w:tc>
              <w:tc>
                <w:tcPr>
                  <w:tcW w:w="1354" w:type="dxa"/>
                  <w:noWrap/>
                  <w:vAlign w:val="center"/>
                </w:tcPr>
                <w:p w14:paraId="387FAA58">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w:t>
                  </w:r>
                </w:p>
              </w:tc>
              <w:tc>
                <w:tcPr>
                  <w:tcW w:w="1167" w:type="dxa"/>
                  <w:noWrap/>
                  <w:vAlign w:val="center"/>
                </w:tcPr>
                <w:p w14:paraId="09C68BA9">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r>
            <w:tr w14:paraId="58BF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243" w:type="dxa"/>
                  <w:noWrap/>
                  <w:vAlign w:val="center"/>
                </w:tcPr>
                <w:p w14:paraId="4A6EBEDF">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w:t>
                  </w:r>
                </w:p>
              </w:tc>
              <w:tc>
                <w:tcPr>
                  <w:tcW w:w="2199" w:type="dxa"/>
                  <w:noWrap/>
                  <w:vAlign w:val="center"/>
                </w:tcPr>
                <w:p w14:paraId="2C961350">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清洗套件（清洗刷、清洗三通管、测漏器、放气帽）</w:t>
                  </w:r>
                </w:p>
              </w:tc>
              <w:tc>
                <w:tcPr>
                  <w:tcW w:w="1354" w:type="dxa"/>
                  <w:noWrap/>
                  <w:vAlign w:val="center"/>
                </w:tcPr>
                <w:p w14:paraId="010457AE">
                  <w:pPr>
                    <w:snapToGrid w:val="0"/>
                    <w:spacing w:after="20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套</w:t>
                  </w:r>
                </w:p>
              </w:tc>
              <w:tc>
                <w:tcPr>
                  <w:tcW w:w="1167" w:type="dxa"/>
                  <w:noWrap/>
                  <w:vAlign w:val="center"/>
                </w:tcPr>
                <w:p w14:paraId="7B45B233">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r>
            <w:tr w14:paraId="6A1D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243" w:type="dxa"/>
                  <w:noWrap/>
                  <w:vAlign w:val="center"/>
                </w:tcPr>
                <w:p w14:paraId="73267D52">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7</w:t>
                  </w:r>
                </w:p>
              </w:tc>
              <w:tc>
                <w:tcPr>
                  <w:tcW w:w="2199" w:type="dxa"/>
                  <w:noWrap/>
                  <w:vAlign w:val="center"/>
                </w:tcPr>
                <w:p w14:paraId="269A5404">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合格证、产品质保卡、装箱清单</w:t>
                  </w:r>
                </w:p>
              </w:tc>
              <w:tc>
                <w:tcPr>
                  <w:tcW w:w="1354" w:type="dxa"/>
                  <w:noWrap/>
                  <w:vAlign w:val="center"/>
                </w:tcPr>
                <w:p w14:paraId="7B68A640">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份</w:t>
                  </w:r>
                </w:p>
              </w:tc>
              <w:tc>
                <w:tcPr>
                  <w:tcW w:w="1167" w:type="dxa"/>
                  <w:noWrap/>
                  <w:vAlign w:val="center"/>
                </w:tcPr>
                <w:p w14:paraId="69FF3077">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r>
            <w:tr w14:paraId="53C4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243" w:type="dxa"/>
                  <w:noWrap/>
                  <w:vAlign w:val="center"/>
                </w:tcPr>
                <w:p w14:paraId="0B5FD0DD">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c>
                <w:tcPr>
                  <w:tcW w:w="2199" w:type="dxa"/>
                  <w:noWrap/>
                  <w:vAlign w:val="center"/>
                </w:tcPr>
                <w:p w14:paraId="173D3A4C">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3.5</w:t>
                  </w:r>
                  <w:r>
                    <w:rPr>
                      <w:rFonts w:hint="eastAsia" w:ascii="宋体" w:hAnsi="宋体" w:eastAsia="宋体" w:cs="宋体"/>
                      <w:b w:val="0"/>
                      <w:bCs w:val="0"/>
                      <w:color w:val="auto"/>
                      <w:sz w:val="21"/>
                      <w:szCs w:val="21"/>
                      <w:highlight w:val="none"/>
                      <w:lang w:val="en-US" w:eastAsia="zh-CN"/>
                    </w:rPr>
                    <w:t>英</w:t>
                  </w:r>
                  <w:r>
                    <w:rPr>
                      <w:rFonts w:hint="eastAsia" w:ascii="宋体" w:hAnsi="宋体" w:eastAsia="宋体" w:cs="宋体"/>
                      <w:b w:val="0"/>
                      <w:bCs w:val="0"/>
                      <w:color w:val="auto"/>
                      <w:sz w:val="21"/>
                      <w:szCs w:val="21"/>
                      <w:highlight w:val="none"/>
                    </w:rPr>
                    <w:t>寸显示器</w:t>
                  </w:r>
                </w:p>
              </w:tc>
              <w:tc>
                <w:tcPr>
                  <w:tcW w:w="1354" w:type="dxa"/>
                  <w:noWrap/>
                  <w:vAlign w:val="center"/>
                </w:tcPr>
                <w:p w14:paraId="7D0491DA">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台</w:t>
                  </w:r>
                </w:p>
              </w:tc>
              <w:tc>
                <w:tcPr>
                  <w:tcW w:w="1167" w:type="dxa"/>
                  <w:noWrap/>
                  <w:vAlign w:val="center"/>
                </w:tcPr>
                <w:p w14:paraId="693006E5">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r>
            <w:tr w14:paraId="5DEF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243" w:type="dxa"/>
                  <w:noWrap/>
                  <w:vAlign w:val="center"/>
                </w:tcPr>
                <w:p w14:paraId="3DECCD0D">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p>
              </w:tc>
              <w:tc>
                <w:tcPr>
                  <w:tcW w:w="2199" w:type="dxa"/>
                  <w:noWrap/>
                  <w:vAlign w:val="center"/>
                </w:tcPr>
                <w:p w14:paraId="6050F303">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电源适配器</w:t>
                  </w:r>
                </w:p>
              </w:tc>
              <w:tc>
                <w:tcPr>
                  <w:tcW w:w="1354" w:type="dxa"/>
                  <w:noWrap/>
                  <w:vAlign w:val="center"/>
                </w:tcPr>
                <w:p w14:paraId="08A70011">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个</w:t>
                  </w:r>
                </w:p>
              </w:tc>
              <w:tc>
                <w:tcPr>
                  <w:tcW w:w="1167" w:type="dxa"/>
                  <w:noWrap/>
                  <w:vAlign w:val="center"/>
                </w:tcPr>
                <w:p w14:paraId="1BF53BE3">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r>
            <w:tr w14:paraId="072C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243" w:type="dxa"/>
                  <w:noWrap/>
                  <w:vAlign w:val="center"/>
                </w:tcPr>
                <w:p w14:paraId="29BEC9E1">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w:t>
                  </w:r>
                </w:p>
              </w:tc>
              <w:tc>
                <w:tcPr>
                  <w:tcW w:w="2199" w:type="dxa"/>
                  <w:noWrap/>
                  <w:vAlign w:val="center"/>
                </w:tcPr>
                <w:p w14:paraId="45806503">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数据线</w:t>
                  </w:r>
                </w:p>
              </w:tc>
              <w:tc>
                <w:tcPr>
                  <w:tcW w:w="1354" w:type="dxa"/>
                  <w:noWrap/>
                  <w:vAlign w:val="center"/>
                </w:tcPr>
                <w:p w14:paraId="200AFB58">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根</w:t>
                  </w:r>
                </w:p>
              </w:tc>
              <w:tc>
                <w:tcPr>
                  <w:tcW w:w="1167" w:type="dxa"/>
                  <w:noWrap/>
                  <w:vAlign w:val="center"/>
                </w:tcPr>
                <w:p w14:paraId="3978A3A3">
                  <w:pPr>
                    <w:snapToGrid w:val="0"/>
                    <w:spacing w:after="200"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r>
          </w:tbl>
          <w:p w14:paraId="0A039044">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rPr>
            </w:pPr>
          </w:p>
        </w:tc>
      </w:tr>
      <w:tr w14:paraId="67952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1D164BCB">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15</w:t>
            </w:r>
          </w:p>
        </w:tc>
        <w:tc>
          <w:tcPr>
            <w:tcW w:w="1190" w:type="dxa"/>
            <w:noWrap w:val="0"/>
            <w:vAlign w:val="center"/>
          </w:tcPr>
          <w:p w14:paraId="103DBB97">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体外除颤监护仪</w:t>
            </w:r>
          </w:p>
        </w:tc>
        <w:tc>
          <w:tcPr>
            <w:tcW w:w="504" w:type="dxa"/>
            <w:tcBorders>
              <w:right w:val="single" w:color="auto" w:sz="4" w:space="0"/>
            </w:tcBorders>
            <w:noWrap w:val="0"/>
            <w:vAlign w:val="center"/>
          </w:tcPr>
          <w:p w14:paraId="534C7838">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2</w:t>
            </w:r>
          </w:p>
        </w:tc>
        <w:tc>
          <w:tcPr>
            <w:tcW w:w="507" w:type="dxa"/>
            <w:noWrap w:val="0"/>
            <w:vAlign w:val="center"/>
          </w:tcPr>
          <w:p w14:paraId="0DC03857">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36BAB16F">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14</w:t>
            </w:r>
            <w:ins w:id="75" w:author="JDZBzheng" w:date="2026-06-30T12:24:51Z">
              <w:r>
                <w:rPr>
                  <w:rFonts w:hint="eastAsia" w:ascii="宋体" w:hAnsi="宋体" w:cs="宋体"/>
                  <w:i w:val="0"/>
                  <w:iCs w:val="0"/>
                  <w:color w:val="auto"/>
                  <w:sz w:val="22"/>
                  <w:szCs w:val="22"/>
                  <w:highlight w:val="none"/>
                  <w:u w:val="none"/>
                  <w:lang w:val="en-US" w:eastAsia="zh-CN" w:bidi="ar"/>
                </w:rPr>
                <w:t>000</w:t>
              </w:r>
            </w:ins>
            <w:ins w:id="76" w:author="JDZBzheng" w:date="2026-06-30T12:24:52Z">
              <w:r>
                <w:rPr>
                  <w:rFonts w:hint="eastAsia" w:ascii="宋体" w:hAnsi="宋体" w:cs="宋体"/>
                  <w:i w:val="0"/>
                  <w:iCs w:val="0"/>
                  <w:color w:val="auto"/>
                  <w:sz w:val="22"/>
                  <w:szCs w:val="22"/>
                  <w:highlight w:val="none"/>
                  <w:u w:val="none"/>
                  <w:lang w:val="en-US" w:eastAsia="zh-CN" w:bidi="ar"/>
                </w:rPr>
                <w:t>0</w:t>
              </w:r>
            </w:ins>
            <w:ins w:id="77" w:author="JDZBzheng" w:date="2026-06-30T12:24:53Z">
              <w:r>
                <w:rPr>
                  <w:rFonts w:hint="eastAsia" w:ascii="宋体" w:hAnsi="宋体" w:cs="宋体"/>
                  <w:i w:val="0"/>
                  <w:iCs w:val="0"/>
                  <w:color w:val="auto"/>
                  <w:sz w:val="22"/>
                  <w:szCs w:val="22"/>
                  <w:highlight w:val="none"/>
                  <w:u w:val="none"/>
                  <w:lang w:val="en-US" w:eastAsia="zh-CN" w:bidi="ar"/>
                </w:rPr>
                <w:t>.00</w:t>
              </w:r>
            </w:ins>
          </w:p>
        </w:tc>
        <w:tc>
          <w:tcPr>
            <w:tcW w:w="670" w:type="dxa"/>
            <w:shd w:val="clear" w:color="auto" w:fill="auto"/>
            <w:noWrap w:val="0"/>
            <w:vAlign w:val="center"/>
          </w:tcPr>
          <w:p w14:paraId="36E0622D">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728341E0">
            <w:pPr>
              <w:wordWrap w:val="0"/>
              <w:spacing w:line="440" w:lineRule="exact"/>
              <w:rPr>
                <w:rFonts w:hint="eastAsia" w:ascii="宋体" w:hAnsi="宋体" w:eastAsia="宋体" w:cs="宋体"/>
                <w:color w:val="auto"/>
                <w:sz w:val="21"/>
                <w:szCs w:val="21"/>
                <w:highlight w:val="none"/>
              </w:rPr>
            </w:pPr>
            <w:bookmarkStart w:id="81" w:name="OLE_LINK90"/>
            <w:bookmarkStart w:id="82" w:name="OLE_LINK91"/>
            <w:r>
              <w:rPr>
                <w:rFonts w:hint="eastAsia" w:ascii="宋体" w:hAnsi="宋体" w:eastAsia="宋体" w:cs="宋体"/>
                <w:color w:val="auto"/>
                <w:sz w:val="21"/>
                <w:szCs w:val="21"/>
                <w:highlight w:val="none"/>
              </w:rPr>
              <w:t>1.重量：≤4.6kg（标配，含电池）。</w:t>
            </w:r>
          </w:p>
          <w:p w14:paraId="4A27E0D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▲2.彩色电容触摸屏≥7英寸, 分辨率≥800×480像素，可显示，≥5通道监护参数波形，支持手势操作、自动亮度调节。</w:t>
            </w:r>
          </w:p>
          <w:p w14:paraId="2830476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3.提供图形化故障排除指引，帮助医护人员快速解决设备故障。</w:t>
            </w:r>
          </w:p>
          <w:p w14:paraId="304DD46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4.支持中文操作界面。</w:t>
            </w:r>
          </w:p>
          <w:p w14:paraId="70F0DAB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5.屏幕显示心电波形扫描时间最大不小于36s。</w:t>
            </w:r>
          </w:p>
          <w:p w14:paraId="292D204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▲6.具备手动除颤、心电监护、呼吸监护、自动体外除颤（AED）功能，AED功能，适用于29天以上人群。</w:t>
            </w:r>
          </w:p>
          <w:p w14:paraId="4436C46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7.除颤采用双相波技术，具备自动阻抗补偿功能。</w:t>
            </w:r>
          </w:p>
          <w:p w14:paraId="49030E9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●8.手动除颤分为同步和异步两种方式，能量分21档，可通过体外电极板进行能量选择，最大能量可达360J。</w:t>
            </w:r>
          </w:p>
          <w:p w14:paraId="5F0CC53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9.可配置体内除颤手柄，体内手动除颤能量选择：1/2/3/4/5/6/7/8/9/10/15/20/30/50 J。</w:t>
            </w:r>
          </w:p>
          <w:p w14:paraId="38F9001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10.体外除颤电极板同时支持成人和小儿，一体化设计，支持快速切换。</w:t>
            </w:r>
          </w:p>
          <w:p w14:paraId="5681CEA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11.电极板支持能量选择，充电和放电三步操作，满足单人除颤操作。</w:t>
            </w:r>
          </w:p>
          <w:p w14:paraId="7ECA0092">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12.AED除颤功能提供中文语音和中文提醒功能，对于抢救过程支持自动录音功能，记录时长不小于8小时。</w:t>
            </w:r>
          </w:p>
          <w:p w14:paraId="7FA7F4F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13.开机到可进行除颤充电操作的时间≤2s，符合临床使用。</w:t>
            </w:r>
          </w:p>
          <w:p w14:paraId="3A4BBD6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●14.除颤充电迅速，充电至200J≤4s。</w:t>
            </w:r>
          </w:p>
          <w:p w14:paraId="400FCC3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●15.除颤后心电基线恢复时间≤2.5s。</w:t>
            </w:r>
          </w:p>
          <w:p w14:paraId="480B18F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16.从开始AED分析到放电准备就绪10s。</w:t>
            </w:r>
          </w:p>
          <w:p w14:paraId="64BB4A3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17.支持病人接触状态和阻抗值实时显示。</w:t>
            </w:r>
          </w:p>
          <w:p w14:paraId="2078614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18.支持智能分析功能，手动除颤模式下也可提供自动节律分析和操作指引。</w:t>
            </w:r>
          </w:p>
          <w:p w14:paraId="2A16177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19.可选配体外起搏功能，起搏分为固定和按需两种模式。具备降速起搏功能。</w:t>
            </w:r>
          </w:p>
          <w:p w14:paraId="0776B00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20.可选配CPR辅助功能，CPR传感器设计符合2020 AHA指南，提供即时的按压反馈，设备界面提供按压深度、频率实时参数显示。</w:t>
            </w:r>
          </w:p>
          <w:p w14:paraId="77FF1F8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21.可选配基于脉搏氧波形分析的心肺复苏质量指数，实现无创、实时评估人工心肺复苏质量。</w:t>
            </w:r>
          </w:p>
          <w:p w14:paraId="102C167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22.提供CPR按压干扰滤过功能，通过除颤电极片或CPR传感器自动检测按压干扰并实时滤波，减少按压中断。</w:t>
            </w:r>
          </w:p>
          <w:p w14:paraId="7F8C846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23.抢救结束后自动生成抢救报告，并可通过网络将除颤和按压数据自动上传至急救数据分析系统；急救数据分析系统提供抢救数据复盘、分析工具。</w:t>
            </w:r>
          </w:p>
          <w:p w14:paraId="15FE931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24.支持培训模式，包含CPR操作培训、抢救操作培训；可提供培训考核系统，支持多台设备同时接入进行在线培训、考核。</w:t>
            </w:r>
          </w:p>
          <w:p w14:paraId="35D31BE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25.心电波形速度支持50 mm/s、25 mm/s、12.5 mm/s、6.25 mm/s。阻抗呼吸和呼吸末二氧化碳波形速度支持25 mm/s、12.5 mm/s、6.25 mm/s。血氧饱和度波形速度支持25 mm/s、12.5 mm/s。</w:t>
            </w:r>
          </w:p>
          <w:p w14:paraId="0306F5A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▲26.通过心电电极片可监测的心律失常分析种类≥25种。</w:t>
            </w:r>
          </w:p>
          <w:p w14:paraId="5744BFE2">
            <w:pPr>
              <w:wordWrap w:val="0"/>
              <w:spacing w:line="440" w:lineRule="exact"/>
              <w:rPr>
                <w:rFonts w:hint="eastAsia" w:ascii="宋体" w:hAnsi="宋体" w:eastAsia="宋体" w:cs="宋体"/>
                <w:color w:val="auto"/>
                <w:sz w:val="21"/>
                <w:szCs w:val="21"/>
                <w:highlight w:val="none"/>
              </w:rPr>
            </w:pPr>
            <w:bookmarkStart w:id="83" w:name="OLE_LINK26"/>
            <w:bookmarkStart w:id="84" w:name="OLE_LINK27"/>
            <w:r>
              <w:rPr>
                <w:rFonts w:hint="eastAsia" w:ascii="宋体" w:hAnsi="宋体" w:eastAsia="宋体" w:cs="宋体"/>
                <w:color w:val="auto"/>
                <w:sz w:val="21"/>
                <w:szCs w:val="21"/>
                <w:highlight w:val="none"/>
              </w:rPr>
              <w:t>27.脉率范围：20-300bpm。</w:t>
            </w:r>
          </w:p>
          <w:p w14:paraId="2CD1AFF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28.无创血压收缩压测量范围：25-290mmHg（成人）、25-240mmHg（小儿）、25-140mmHg（新生儿），舒张压测量范围：10-250mmHg（成人）、10-200mmHg（小儿），10-115mmHg（新生儿）。</w:t>
            </w:r>
          </w:p>
          <w:p w14:paraId="6AAD9F6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29.可根据病人类型自动切换除颤默认能量、CPR提示和参数报警限。</w:t>
            </w:r>
            <w:bookmarkEnd w:id="83"/>
            <w:bookmarkEnd w:id="84"/>
          </w:p>
          <w:p w14:paraId="3341EF9F">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ins w:id="78" w:author="JDZBzheng" w:date="2026-06-30T18:57:52Z">
              <w:r>
                <w:rPr>
                  <w:rFonts w:hint="eastAsia" w:ascii="宋体" w:hAnsi="宋体" w:eastAsia="宋体" w:cs="宋体"/>
                  <w:color w:val="auto"/>
                  <w:sz w:val="21"/>
                  <w:szCs w:val="21"/>
                  <w:highlight w:val="none"/>
                  <w:lang w:val="en-US" w:eastAsia="zh-CN"/>
                </w:rPr>
                <w:t>0</w:t>
              </w:r>
            </w:ins>
            <w:r>
              <w:rPr>
                <w:rFonts w:hint="eastAsia" w:ascii="宋体" w:hAnsi="宋体" w:eastAsia="宋体" w:cs="宋体"/>
                <w:color w:val="auto"/>
                <w:sz w:val="21"/>
                <w:szCs w:val="21"/>
                <w:highlight w:val="none"/>
              </w:rPr>
              <w:t>.使用年限≥10年。</w:t>
            </w:r>
            <w:bookmarkEnd w:id="81"/>
            <w:bookmarkEnd w:id="82"/>
          </w:p>
        </w:tc>
      </w:tr>
      <w:tr w14:paraId="5E523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711EB219">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16</w:t>
            </w:r>
          </w:p>
        </w:tc>
        <w:tc>
          <w:tcPr>
            <w:tcW w:w="1190" w:type="dxa"/>
            <w:noWrap w:val="0"/>
            <w:vAlign w:val="center"/>
          </w:tcPr>
          <w:p w14:paraId="61B77CF5">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手术麻醉系统</w:t>
            </w:r>
          </w:p>
        </w:tc>
        <w:tc>
          <w:tcPr>
            <w:tcW w:w="504" w:type="dxa"/>
            <w:tcBorders>
              <w:right w:val="single" w:color="auto" w:sz="4" w:space="0"/>
            </w:tcBorders>
            <w:noWrap w:val="0"/>
            <w:vAlign w:val="center"/>
          </w:tcPr>
          <w:p w14:paraId="21AFE7A0">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w:t>
            </w:r>
          </w:p>
        </w:tc>
        <w:tc>
          <w:tcPr>
            <w:tcW w:w="507" w:type="dxa"/>
            <w:noWrap w:val="0"/>
            <w:vAlign w:val="center"/>
          </w:tcPr>
          <w:p w14:paraId="550E986D">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套</w:t>
            </w:r>
          </w:p>
        </w:tc>
        <w:tc>
          <w:tcPr>
            <w:tcW w:w="1265" w:type="dxa"/>
            <w:shd w:val="clear" w:color="auto" w:fill="auto"/>
            <w:noWrap w:val="0"/>
            <w:vAlign w:val="center"/>
          </w:tcPr>
          <w:p w14:paraId="4DECB8E8">
            <w:pPr>
              <w:widowControl/>
              <w:jc w:val="center"/>
              <w:rPr>
                <w:rFonts w:hint="default" w:ascii="宋体" w:hAnsi="宋体" w:eastAsia="宋体" w:cs="宋体"/>
                <w:i w:val="0"/>
                <w:iCs w:val="0"/>
                <w:color w:val="auto"/>
                <w:sz w:val="22"/>
                <w:szCs w:val="22"/>
                <w:highlight w:val="none"/>
                <w:u w:val="none"/>
                <w:lang w:val="en-US" w:eastAsia="zh-CN" w:bidi="ar"/>
              </w:rPr>
            </w:pPr>
            <w:ins w:id="79" w:author="JDZBzheng" w:date="2026-06-30T12:25:01Z">
              <w:r>
                <w:rPr>
                  <w:rFonts w:hint="eastAsia" w:ascii="宋体" w:hAnsi="宋体" w:cs="宋体"/>
                  <w:i w:val="0"/>
                  <w:iCs w:val="0"/>
                  <w:color w:val="auto"/>
                  <w:sz w:val="22"/>
                  <w:szCs w:val="22"/>
                  <w:highlight w:val="none"/>
                  <w:u w:val="none"/>
                  <w:lang w:val="en-US" w:eastAsia="zh-CN" w:bidi="ar"/>
                </w:rPr>
                <w:t>90</w:t>
              </w:r>
            </w:ins>
            <w:ins w:id="80" w:author="JDZBzheng" w:date="2026-06-30T12:25:02Z">
              <w:r>
                <w:rPr>
                  <w:rFonts w:hint="eastAsia" w:ascii="宋体" w:hAnsi="宋体" w:cs="宋体"/>
                  <w:i w:val="0"/>
                  <w:iCs w:val="0"/>
                  <w:color w:val="auto"/>
                  <w:sz w:val="22"/>
                  <w:szCs w:val="22"/>
                  <w:highlight w:val="none"/>
                  <w:u w:val="none"/>
                  <w:lang w:val="en-US" w:eastAsia="zh-CN" w:bidi="ar"/>
                </w:rPr>
                <w:t>0000</w:t>
              </w:r>
            </w:ins>
            <w:ins w:id="81" w:author="JDZBzheng" w:date="2026-06-30T12:25:03Z">
              <w:r>
                <w:rPr>
                  <w:rFonts w:hint="eastAsia" w:ascii="宋体" w:hAnsi="宋体" w:cs="宋体"/>
                  <w:i w:val="0"/>
                  <w:iCs w:val="0"/>
                  <w:color w:val="auto"/>
                  <w:sz w:val="22"/>
                  <w:szCs w:val="22"/>
                  <w:highlight w:val="none"/>
                  <w:u w:val="none"/>
                  <w:lang w:val="en-US" w:eastAsia="zh-CN" w:bidi="ar"/>
                </w:rPr>
                <w:t>.0</w:t>
              </w:r>
            </w:ins>
            <w:ins w:id="82" w:author="JDZBzheng" w:date="2026-06-30T12:25:04Z">
              <w:r>
                <w:rPr>
                  <w:rFonts w:hint="eastAsia" w:ascii="宋体" w:hAnsi="宋体" w:cs="宋体"/>
                  <w:i w:val="0"/>
                  <w:iCs w:val="0"/>
                  <w:color w:val="auto"/>
                  <w:sz w:val="22"/>
                  <w:szCs w:val="22"/>
                  <w:highlight w:val="none"/>
                  <w:u w:val="none"/>
                  <w:lang w:val="en-US" w:eastAsia="zh-CN" w:bidi="ar"/>
                </w:rPr>
                <w:t>0</w:t>
              </w:r>
            </w:ins>
          </w:p>
        </w:tc>
        <w:tc>
          <w:tcPr>
            <w:tcW w:w="670" w:type="dxa"/>
            <w:shd w:val="clear" w:color="auto" w:fill="auto"/>
            <w:noWrap w:val="0"/>
            <w:vAlign w:val="center"/>
          </w:tcPr>
          <w:p w14:paraId="0BD132C9">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67BD5E86">
            <w:p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一、手术室麻醉信息管理系统软件 1套</w:t>
            </w:r>
          </w:p>
          <w:p w14:paraId="6A8B4E70">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手术排程子系统</w:t>
            </w:r>
          </w:p>
          <w:p w14:paraId="48086059">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(1)与医院HIS系统对接，自动获取手术通知单，包括门诊和住院。</w:t>
            </w:r>
          </w:p>
          <w:p w14:paraId="6A84AE1A">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kern w:val="0"/>
                <w:sz w:val="21"/>
                <w:szCs w:val="21"/>
                <w:highlight w:val="none"/>
              </w:rPr>
              <w:t>可通过点击或者拖拽的方式进行快捷手术安排和人员安排。</w:t>
            </w:r>
          </w:p>
          <w:p w14:paraId="2E235316">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kern w:val="0"/>
                <w:sz w:val="21"/>
                <w:szCs w:val="21"/>
                <w:highlight w:val="none"/>
              </w:rPr>
              <w:t>手术安排的时候，可以通过手术预计时长，自动计算后面台次的预计开始时间。</w:t>
            </w:r>
          </w:p>
          <w:p w14:paraId="7D2F658A">
            <w:pPr>
              <w:widowControl/>
              <w:spacing w:line="360" w:lineRule="auto"/>
              <w:ind w:firstLine="420" w:firstLineChars="200"/>
              <w:jc w:val="left"/>
              <w:textAlignment w:val="top"/>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kern w:val="0"/>
                <w:sz w:val="21"/>
                <w:szCs w:val="21"/>
                <w:highlight w:val="none"/>
              </w:rPr>
              <w:t>手术安排的时候，支持单台手术或批量手术进行麻醉医生、护士进行人员安排或更改</w:t>
            </w:r>
          </w:p>
          <w:p w14:paraId="0380EF9E">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kern w:val="0"/>
                <w:sz w:val="21"/>
                <w:szCs w:val="21"/>
                <w:highlight w:val="none"/>
              </w:rPr>
              <w:t>针对未开始时的手术，可以取消手术安排。</w:t>
            </w:r>
          </w:p>
          <w:p w14:paraId="099A6AE0">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▲(6)手术排程</w:t>
            </w:r>
            <w:bookmarkStart w:id="85" w:name="OLE_LINK24"/>
            <w:bookmarkStart w:id="86" w:name="OLE_LINK25"/>
            <w:r>
              <w:rPr>
                <w:rFonts w:hint="eastAsia" w:ascii="宋体" w:hAnsi="宋体" w:eastAsia="宋体" w:cs="宋体"/>
                <w:color w:val="auto"/>
                <w:kern w:val="0"/>
                <w:sz w:val="21"/>
                <w:szCs w:val="21"/>
                <w:highlight w:val="none"/>
              </w:rPr>
              <w:t>支持批量排程</w:t>
            </w:r>
            <w:bookmarkEnd w:id="85"/>
            <w:bookmarkEnd w:id="86"/>
            <w:r>
              <w:rPr>
                <w:rFonts w:hint="eastAsia" w:ascii="宋体" w:hAnsi="宋体" w:eastAsia="宋体" w:cs="宋体"/>
                <w:color w:val="auto"/>
                <w:kern w:val="0"/>
                <w:sz w:val="21"/>
                <w:szCs w:val="21"/>
                <w:highlight w:val="none"/>
              </w:rPr>
              <w:t>，</w:t>
            </w:r>
            <w:bookmarkStart w:id="87" w:name="OLE_LINK30"/>
            <w:bookmarkStart w:id="88" w:name="OLE_LINK31"/>
            <w:r>
              <w:rPr>
                <w:rFonts w:hint="eastAsia" w:ascii="宋体" w:hAnsi="宋体" w:eastAsia="宋体" w:cs="宋体"/>
                <w:color w:val="auto"/>
                <w:kern w:val="0"/>
                <w:sz w:val="21"/>
                <w:szCs w:val="21"/>
                <w:highlight w:val="none"/>
              </w:rPr>
              <w:t>一次选择多台手术</w:t>
            </w:r>
            <w:bookmarkEnd w:id="87"/>
            <w:bookmarkEnd w:id="88"/>
            <w:r>
              <w:rPr>
                <w:rFonts w:hint="eastAsia" w:ascii="宋体" w:hAnsi="宋体" w:eastAsia="宋体" w:cs="宋体"/>
                <w:color w:val="auto"/>
                <w:kern w:val="0"/>
                <w:sz w:val="21"/>
                <w:szCs w:val="21"/>
                <w:highlight w:val="none"/>
              </w:rPr>
              <w:t>后直接安排到指定手术间，批量安排手术间人员（麻醉医生、麻醉助手、巡回护士、器械护士），</w:t>
            </w:r>
            <w:bookmarkStart w:id="89" w:name="OLE_LINK33"/>
            <w:bookmarkStart w:id="90" w:name="OLE_LINK32"/>
            <w:r>
              <w:rPr>
                <w:rFonts w:hint="eastAsia" w:ascii="宋体" w:hAnsi="宋体" w:eastAsia="宋体" w:cs="宋体"/>
                <w:color w:val="auto"/>
                <w:kern w:val="0"/>
                <w:sz w:val="21"/>
                <w:szCs w:val="21"/>
                <w:highlight w:val="none"/>
              </w:rPr>
              <w:t>支持拖动式安排</w:t>
            </w:r>
            <w:bookmarkEnd w:id="89"/>
            <w:bookmarkEnd w:id="90"/>
            <w:r>
              <w:rPr>
                <w:rFonts w:hint="eastAsia" w:ascii="宋体" w:hAnsi="宋体" w:eastAsia="宋体" w:cs="宋体"/>
                <w:color w:val="auto"/>
                <w:kern w:val="0"/>
                <w:sz w:val="21"/>
                <w:szCs w:val="21"/>
                <w:highlight w:val="none"/>
              </w:rPr>
              <w:t>，人员直接安排到手术间，当天手术间的所有手术自动跟手术间人员绑定，提高人员安排效率。</w:t>
            </w:r>
            <w:r>
              <w:rPr>
                <w:rFonts w:hint="eastAsia" w:ascii="宋体" w:hAnsi="宋体" w:eastAsia="宋体" w:cs="宋体"/>
                <w:b/>
                <w:color w:val="auto"/>
                <w:kern w:val="0"/>
                <w:sz w:val="21"/>
                <w:szCs w:val="21"/>
                <w:highlight w:val="none"/>
              </w:rPr>
              <w:t>【</w:t>
            </w:r>
            <w:bookmarkStart w:id="91" w:name="OLE_LINK39"/>
            <w:bookmarkStart w:id="92" w:name="OLE_LINK38"/>
            <w:r>
              <w:rPr>
                <w:rFonts w:hint="eastAsia" w:ascii="宋体" w:hAnsi="宋体" w:eastAsia="宋体" w:cs="宋体"/>
                <w:b/>
                <w:color w:val="auto"/>
                <w:kern w:val="0"/>
                <w:sz w:val="21"/>
                <w:szCs w:val="21"/>
                <w:highlight w:val="none"/>
              </w:rPr>
              <w:t>要求在投标文件中</w:t>
            </w:r>
            <w:bookmarkEnd w:id="91"/>
            <w:bookmarkEnd w:id="92"/>
            <w:r>
              <w:rPr>
                <w:rFonts w:hint="eastAsia" w:ascii="宋体" w:hAnsi="宋体" w:eastAsia="宋体" w:cs="宋体"/>
                <w:b/>
                <w:color w:val="auto"/>
                <w:kern w:val="0"/>
                <w:sz w:val="21"/>
                <w:szCs w:val="21"/>
                <w:highlight w:val="none"/>
              </w:rPr>
              <w:t>提供“支持批量排程、一次选择多台手术、支持拖动式安排”的系统功能截图，并加盖投标人公章】</w:t>
            </w:r>
            <w:r>
              <w:rPr>
                <w:rFonts w:hint="eastAsia" w:ascii="宋体" w:hAnsi="宋体" w:eastAsia="宋体" w:cs="宋体"/>
                <w:color w:val="auto"/>
                <w:kern w:val="0"/>
                <w:sz w:val="21"/>
                <w:szCs w:val="21"/>
                <w:highlight w:val="none"/>
              </w:rPr>
              <w:t>。</w:t>
            </w:r>
          </w:p>
          <w:p w14:paraId="5AE7D4D0">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kern w:val="0"/>
                <w:sz w:val="21"/>
                <w:szCs w:val="21"/>
                <w:highlight w:val="none"/>
              </w:rPr>
              <w:t>根据手术安排，自动生成手术排班结果，支持对排班结果打印和导出。</w:t>
            </w:r>
          </w:p>
          <w:p w14:paraId="3846EA18">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kern w:val="0"/>
                <w:sz w:val="21"/>
                <w:szCs w:val="21"/>
                <w:highlight w:val="none"/>
              </w:rPr>
              <w:t>根据手术安排，自动生成排班大屏，支持大屏幕液晶电视等设备显示当日手术排班情况，自动更新排班信息。显示当天需要完成的手术信息,包括手术时间，手术室，手术间，台次，病人信息，手术名称，手术医生，麻醉方式等。</w:t>
            </w:r>
          </w:p>
          <w:p w14:paraId="331BF4FB">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(9)能够灵活配置大屏显示风格，字体/颜色/背景等内容。</w:t>
            </w:r>
          </w:p>
          <w:p w14:paraId="02141137">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手术护理管理子系统</w:t>
            </w:r>
          </w:p>
          <w:p w14:paraId="3AC78144">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(1)以手术患者卡片的显示，展示已安排的手术，可以通过患者卡片，进行快捷修改手术相关信息、变更手术位置、查看患者详情、手术进程、文书批量打印、处方批量打印。</w:t>
            </w:r>
          </w:p>
          <w:p w14:paraId="570242FC">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kern w:val="0"/>
                <w:sz w:val="21"/>
                <w:szCs w:val="21"/>
                <w:highlight w:val="none"/>
              </w:rPr>
              <w:t>支持卡片内容自定义配置，可以配置显示内容和顺序。</w:t>
            </w:r>
          </w:p>
          <w:p w14:paraId="3C07F8E3">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kern w:val="0"/>
                <w:sz w:val="21"/>
                <w:szCs w:val="21"/>
                <w:highlight w:val="none"/>
              </w:rPr>
              <w:t>支持对手术进行取消，记录取消手术的原因，并对取消手术进行统计。</w:t>
            </w:r>
          </w:p>
          <w:p w14:paraId="4AC2D02C">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kern w:val="0"/>
                <w:sz w:val="21"/>
                <w:szCs w:val="21"/>
                <w:highlight w:val="none"/>
              </w:rPr>
              <w:t>提供术中低体温风险预测工具，支持风险评估、根据评估结果提供预防措施、低体温发生后的处理措施等功能。</w:t>
            </w:r>
          </w:p>
          <w:p w14:paraId="1D8A7036">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kern w:val="0"/>
                <w:sz w:val="21"/>
                <w:szCs w:val="21"/>
                <w:highlight w:val="none"/>
              </w:rPr>
              <w:t>支持新建急诊手术，系统根据录入急诊患者ID、住院号或门诊号，通过集成接口方式从HIS系统中获取急诊患者的手术信息，并快速安排手术，在手术申请单补录后，可以直接关联手术申请单。</w:t>
            </w:r>
          </w:p>
          <w:p w14:paraId="15F99C61">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kern w:val="0"/>
                <w:sz w:val="21"/>
                <w:szCs w:val="21"/>
                <w:highlight w:val="none"/>
              </w:rPr>
              <w:t>系统提供护理术前、术后访视单，能够记录患者术前基本信息、对患者术前进行宣教、术后心理、伤口愈合进行访视、以及术后宣教和综合服务评价，生成患者术前术后护理访视记录单，可根据医院定制化访视内容。</w:t>
            </w:r>
          </w:p>
          <w:p w14:paraId="4713E809">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kern w:val="0"/>
                <w:sz w:val="21"/>
                <w:szCs w:val="21"/>
                <w:highlight w:val="none"/>
              </w:rPr>
              <w:t>支持麻醉医生、手术医生及手术护士三方的核查记录。手术开始之前、缝合前及手术结束后进行三次患者信息核对，每次均由外科医生、护士及麻醉医生一起参与核对工作并将核对结果记录在手术安全核查表，在支持对接CA的情况下，支持电子签名。</w:t>
            </w:r>
          </w:p>
          <w:p w14:paraId="61CC5230">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kern w:val="0"/>
                <w:sz w:val="21"/>
                <w:szCs w:val="21"/>
                <w:highlight w:val="none"/>
              </w:rPr>
              <w:t>系统支持记录和查询患者手术过程中的护理情况，生成护理记录单。包括患者基本信息、手术信息、医护人员、术中特殊记录、标本信息等。可根据医院定制记录内容。</w:t>
            </w:r>
          </w:p>
          <w:p w14:paraId="5595C193">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kern w:val="0"/>
                <w:sz w:val="21"/>
                <w:szCs w:val="21"/>
                <w:highlight w:val="none"/>
              </w:rPr>
              <w:t>针对术中特殊情况，提供多种模板，可以快捷引用，方便快速完成术中特殊情况的记录</w:t>
            </w:r>
          </w:p>
          <w:p w14:paraId="35DD89DF">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kern w:val="0"/>
                <w:sz w:val="21"/>
                <w:szCs w:val="21"/>
                <w:highlight w:val="none"/>
              </w:rPr>
              <w:t>可以根据医院需求，定制手术护理文书。</w:t>
            </w:r>
          </w:p>
          <w:p w14:paraId="04D78395">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eastAsia="宋体" w:cs="宋体"/>
                <w:color w:val="auto"/>
                <w:kern w:val="0"/>
                <w:sz w:val="21"/>
                <w:szCs w:val="21"/>
                <w:highlight w:val="none"/>
              </w:rPr>
              <w:t>可将文书内容存为模板，模板分个人和科室2种，可将模板内容引用到文书中。</w:t>
            </w:r>
          </w:p>
          <w:p w14:paraId="7B7B3600">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r>
              <w:rPr>
                <w:rFonts w:hint="eastAsia" w:ascii="宋体" w:hAnsi="宋体" w:eastAsia="宋体" w:cs="宋体"/>
                <w:color w:val="auto"/>
                <w:kern w:val="0"/>
                <w:sz w:val="21"/>
                <w:szCs w:val="21"/>
                <w:highlight w:val="none"/>
              </w:rPr>
              <w:t>支持与供应室SDP或HRP系统对接，实现无菌物品的全程追溯。</w:t>
            </w:r>
          </w:p>
          <w:p w14:paraId="0A27CD46">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r>
              <w:rPr>
                <w:rFonts w:hint="eastAsia" w:ascii="宋体" w:hAnsi="宋体" w:eastAsia="宋体" w:cs="宋体"/>
                <w:color w:val="auto"/>
                <w:kern w:val="0"/>
                <w:sz w:val="21"/>
                <w:szCs w:val="21"/>
                <w:highlight w:val="none"/>
              </w:rPr>
              <w:t>支持供应室发出无菌物品后，查看无菌物品状态。</w:t>
            </w:r>
          </w:p>
          <w:p w14:paraId="4869CA76">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r>
              <w:rPr>
                <w:rFonts w:hint="eastAsia" w:ascii="宋体" w:hAnsi="宋体" w:eastAsia="宋体" w:cs="宋体"/>
                <w:color w:val="auto"/>
                <w:kern w:val="0"/>
                <w:sz w:val="21"/>
                <w:szCs w:val="21"/>
                <w:highlight w:val="none"/>
              </w:rPr>
              <w:t>支持使用扫码枪扫描无菌包条码/二维码确认接收及开包使用无菌物品。</w:t>
            </w:r>
          </w:p>
          <w:p w14:paraId="606C3179">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r>
              <w:rPr>
                <w:rFonts w:hint="eastAsia" w:ascii="宋体" w:hAnsi="宋体" w:eastAsia="宋体" w:cs="宋体"/>
                <w:color w:val="auto"/>
                <w:kern w:val="0"/>
                <w:sz w:val="21"/>
                <w:szCs w:val="21"/>
                <w:highlight w:val="none"/>
              </w:rPr>
              <w:t>支持查看无菌包内无菌物品、器械详情。</w:t>
            </w:r>
          </w:p>
          <w:p w14:paraId="2BCF848D">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r>
              <w:rPr>
                <w:rFonts w:hint="eastAsia" w:ascii="宋体" w:hAnsi="宋体" w:eastAsia="宋体" w:cs="宋体"/>
                <w:color w:val="auto"/>
                <w:kern w:val="0"/>
                <w:sz w:val="21"/>
                <w:szCs w:val="21"/>
                <w:highlight w:val="none"/>
              </w:rPr>
              <w:t>支持通知供应室，临时补充无菌器械包，支持将未使用的无菌包退回给供应室。</w:t>
            </w:r>
          </w:p>
          <w:p w14:paraId="6B9623C8">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r>
              <w:rPr>
                <w:rFonts w:hint="eastAsia" w:ascii="宋体" w:hAnsi="宋体" w:eastAsia="宋体" w:cs="宋体"/>
                <w:color w:val="auto"/>
                <w:kern w:val="0"/>
                <w:sz w:val="21"/>
                <w:szCs w:val="21"/>
                <w:highlight w:val="none"/>
              </w:rPr>
              <w:t>支持查看无菌器械包历史质控记录。</w:t>
            </w:r>
          </w:p>
          <w:p w14:paraId="31D8140D">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r>
              <w:rPr>
                <w:rFonts w:hint="eastAsia" w:ascii="宋体" w:hAnsi="宋体" w:eastAsia="宋体" w:cs="宋体"/>
                <w:color w:val="auto"/>
                <w:kern w:val="0"/>
                <w:sz w:val="21"/>
                <w:szCs w:val="21"/>
                <w:highlight w:val="none"/>
              </w:rPr>
              <w:t>在医院已有供应室系统要求且支持的情况下，支持对接供应室系统与系统内部字典2种模式，可在后台进行模式切换。</w:t>
            </w:r>
          </w:p>
          <w:p w14:paraId="1EB7A906">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(19)</w:t>
            </w:r>
            <w:r>
              <w:rPr>
                <w:rFonts w:hint="eastAsia" w:ascii="宋体" w:hAnsi="宋体" w:eastAsia="宋体" w:cs="宋体"/>
                <w:color w:val="auto"/>
                <w:kern w:val="0"/>
                <w:sz w:val="21"/>
                <w:szCs w:val="21"/>
                <w:highlight w:val="none"/>
              </w:rPr>
              <w:t>支持使用扫码枪扫描器械包二维码，获取器械包内容。</w:t>
            </w:r>
          </w:p>
          <w:p w14:paraId="600749BD">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r>
              <w:rPr>
                <w:rFonts w:hint="eastAsia" w:ascii="宋体" w:hAnsi="宋体" w:eastAsia="宋体" w:cs="宋体"/>
                <w:color w:val="auto"/>
                <w:kern w:val="0"/>
                <w:sz w:val="21"/>
                <w:szCs w:val="21"/>
                <w:highlight w:val="none"/>
              </w:rPr>
              <w:t>支持后台维护器械包字典，器械清点页面检索器械包名称，获取器械包内容。</w:t>
            </w:r>
          </w:p>
          <w:p w14:paraId="5E77162C">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kern w:val="0"/>
                <w:sz w:val="21"/>
                <w:szCs w:val="21"/>
                <w:highlight w:val="none"/>
              </w:rPr>
              <w:t>支持手术全程的器械使用登记，手术开始前、术中添加、关体腔前、关体腔后、四个阶段的器械清点。</w:t>
            </w:r>
          </w:p>
          <w:p w14:paraId="6689B217">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kern w:val="0"/>
                <w:sz w:val="21"/>
                <w:szCs w:val="21"/>
                <w:highlight w:val="none"/>
              </w:rPr>
              <w:t>在医院已有供应室系统要求且支持的情况下，与供应室对接模式，完成清点后，将所用器械包状态变更为已使用，回传给供应室。</w:t>
            </w:r>
          </w:p>
          <w:p w14:paraId="31218524">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r>
              <w:rPr>
                <w:rFonts w:hint="eastAsia" w:ascii="宋体" w:hAnsi="宋体" w:eastAsia="宋体" w:cs="宋体"/>
                <w:color w:val="auto"/>
                <w:kern w:val="0"/>
                <w:sz w:val="21"/>
                <w:szCs w:val="21"/>
                <w:highlight w:val="none"/>
              </w:rPr>
              <w:t>支持术中病理标本的快速登记和标本贴打印，支持单个打印和批量打印。</w:t>
            </w:r>
          </w:p>
          <w:p w14:paraId="14A1AC7A">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r>
              <w:rPr>
                <w:rFonts w:hint="eastAsia" w:ascii="宋体" w:hAnsi="宋体" w:eastAsia="宋体" w:cs="宋体"/>
                <w:color w:val="auto"/>
                <w:kern w:val="0"/>
                <w:sz w:val="21"/>
                <w:szCs w:val="21"/>
                <w:highlight w:val="none"/>
              </w:rPr>
              <w:t>系统提供对手术标本的统计查询，支持自定时间段查询标本信息，包括标本的名称、离体时间、固定时间等，支持统计结果的导出。</w:t>
            </w:r>
          </w:p>
          <w:p w14:paraId="4663FBF7">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r>
              <w:rPr>
                <w:rFonts w:hint="eastAsia" w:ascii="宋体" w:hAnsi="宋体" w:eastAsia="宋体" w:cs="宋体"/>
                <w:color w:val="auto"/>
                <w:kern w:val="0"/>
                <w:sz w:val="21"/>
                <w:szCs w:val="21"/>
                <w:highlight w:val="none"/>
              </w:rPr>
              <w:t>支持标本类型后台配置。</w:t>
            </w:r>
          </w:p>
          <w:p w14:paraId="53B1F8A1">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(26)</w:t>
            </w:r>
            <w:r>
              <w:rPr>
                <w:rFonts w:hint="eastAsia" w:ascii="宋体" w:hAnsi="宋体" w:eastAsia="宋体" w:cs="宋体"/>
                <w:color w:val="auto"/>
                <w:kern w:val="0"/>
                <w:sz w:val="21"/>
                <w:szCs w:val="21"/>
                <w:highlight w:val="none"/>
              </w:rPr>
              <w:t>支持用扫码枪扫码标本条形码/二维码进行入库出库操作。支持撤销入库/出库操作。【</w:t>
            </w:r>
            <w:bookmarkStart w:id="93" w:name="OLE_LINK41"/>
            <w:bookmarkStart w:id="94" w:name="OLE_LINK40"/>
            <w:r>
              <w:rPr>
                <w:rFonts w:hint="eastAsia" w:ascii="宋体" w:hAnsi="宋体" w:eastAsia="宋体" w:cs="宋体"/>
                <w:color w:val="auto"/>
                <w:kern w:val="0"/>
                <w:sz w:val="21"/>
                <w:szCs w:val="21"/>
                <w:highlight w:val="none"/>
              </w:rPr>
              <w:t>要求在投标文件中提供以上内容的</w:t>
            </w:r>
            <w:bookmarkEnd w:id="93"/>
            <w:bookmarkEnd w:id="94"/>
            <w:r>
              <w:rPr>
                <w:rFonts w:hint="eastAsia" w:ascii="宋体" w:hAnsi="宋体" w:eastAsia="宋体" w:cs="宋体"/>
                <w:color w:val="auto"/>
                <w:kern w:val="0"/>
                <w:sz w:val="21"/>
                <w:szCs w:val="21"/>
                <w:highlight w:val="none"/>
              </w:rPr>
              <w:t>系统功能截图，并加盖投标人公章】。</w:t>
            </w:r>
          </w:p>
          <w:p w14:paraId="38432339">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w:t>
            </w:r>
            <w:r>
              <w:rPr>
                <w:rFonts w:hint="eastAsia" w:ascii="宋体" w:hAnsi="宋体" w:eastAsia="宋体" w:cs="宋体"/>
                <w:color w:val="auto"/>
                <w:kern w:val="0"/>
                <w:sz w:val="21"/>
                <w:szCs w:val="21"/>
                <w:highlight w:val="none"/>
              </w:rPr>
              <w:t>支持手术结束后，超过24小时标本仍未入标本库，给与提醒。</w:t>
            </w:r>
          </w:p>
          <w:p w14:paraId="1AFE193C">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r>
              <w:rPr>
                <w:rFonts w:hint="eastAsia" w:ascii="宋体" w:hAnsi="宋体" w:eastAsia="宋体" w:cs="宋体"/>
                <w:color w:val="auto"/>
                <w:kern w:val="0"/>
                <w:sz w:val="21"/>
                <w:szCs w:val="21"/>
                <w:highlight w:val="none"/>
              </w:rPr>
              <w:t>支持术中瓶贴的快速新增和瓶贴打印，包括输液瓶贴和消毒瓶贴，支持单个打印和批量打印。</w:t>
            </w:r>
          </w:p>
          <w:p w14:paraId="12748CD5">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w:t>
            </w:r>
            <w:r>
              <w:rPr>
                <w:rFonts w:hint="eastAsia" w:ascii="宋体" w:hAnsi="宋体" w:eastAsia="宋体" w:cs="宋体"/>
                <w:color w:val="auto"/>
                <w:kern w:val="0"/>
                <w:sz w:val="21"/>
                <w:szCs w:val="21"/>
                <w:highlight w:val="none"/>
              </w:rPr>
              <w:t>支持患者术前交接和术后交接，即病房到术间，术间到PACU/ICU/病房，PACU到ICU/病房的患者交接流程及记录，可根据医院，定制交接文书。</w:t>
            </w:r>
          </w:p>
          <w:p w14:paraId="5C7B9E87">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(30)系统支持记录手术日常医疗设备使用情况，包括手术使用设备名称、设备状况和处理措施。</w:t>
            </w:r>
          </w:p>
          <w:p w14:paraId="3F13DCBF">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麻醉管理子系统</w:t>
            </w:r>
          </w:p>
          <w:p w14:paraId="07D2A658">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(1)系统提供麻醉前访视单格式，能够记录患者术前基本信息、麻醉相关病史、相关体格检查、辅助检查、麻醉方法与麻醉计划信息、进行术中风险评估及制定防范措施等，生成患者麻醉前访视单。</w:t>
            </w:r>
          </w:p>
          <w:p w14:paraId="0ED859D3">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kern w:val="0"/>
                <w:sz w:val="21"/>
                <w:szCs w:val="21"/>
                <w:highlight w:val="none"/>
              </w:rPr>
              <w:t>支持对手术患者在围术期的麻醉前风险评估进行结构化，对患者的病史，一般体征检查、气道评估、呼吸系统、神经肌肉系统、实验室检查等综合评估，并制定对应的麻醉计划。</w:t>
            </w:r>
          </w:p>
          <w:p w14:paraId="542F0EF7">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kern w:val="0"/>
                <w:sz w:val="21"/>
                <w:szCs w:val="21"/>
                <w:highlight w:val="none"/>
              </w:rPr>
              <w:t>提供术中风险和措施模板， 支持快捷引用完成术前讨论的记录。</w:t>
            </w:r>
          </w:p>
          <w:p w14:paraId="663F7FF3">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kern w:val="0"/>
                <w:sz w:val="21"/>
                <w:szCs w:val="21"/>
                <w:highlight w:val="none"/>
              </w:rPr>
              <w:t>支持系统对术后随访内容进行结构化处理，记录患者在术后的麻醉恢复情况、镇痛情况、术后麻醉特殊情况及处理措施，提供整个闭环评估分析的依据。</w:t>
            </w:r>
          </w:p>
          <w:p w14:paraId="1A11747D">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kern w:val="0"/>
                <w:sz w:val="21"/>
                <w:szCs w:val="21"/>
                <w:highlight w:val="none"/>
              </w:rPr>
              <w:t>支持术后访视单内容能够进行相关数据的统计和结果导出。</w:t>
            </w:r>
          </w:p>
          <w:p w14:paraId="72D7588F">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kern w:val="0"/>
                <w:sz w:val="21"/>
                <w:szCs w:val="21"/>
                <w:highlight w:val="none"/>
              </w:rPr>
              <w:t>能够从手术申请中提取患者基本信息、手术人员信息自动填充到麻醉记录单中，包括姓名、性别、年龄、体重、科室、床号、手术日期、住院号等信息。</w:t>
            </w:r>
          </w:p>
          <w:p w14:paraId="748B9D52">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kern w:val="0"/>
                <w:sz w:val="21"/>
                <w:szCs w:val="21"/>
                <w:highlight w:val="none"/>
              </w:rPr>
              <w:t>提供麻醉模板功能，支持对麻醉术中记录保存为模板，支持模板的引用，方便快捷完成麻醉事件的记录，并支持以科室模板和个人模板的方式管理麻醉记录单模板。</w:t>
            </w:r>
          </w:p>
          <w:p w14:paraId="7BE8BC1A">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kern w:val="0"/>
                <w:sz w:val="21"/>
                <w:szCs w:val="21"/>
                <w:highlight w:val="none"/>
              </w:rPr>
              <w:t>支持麻醉用药、输血、输液自动持续画图，支持通过鼠标拖动修改用药发生时间或持续用药的起始、结束时间。</w:t>
            </w:r>
          </w:p>
          <w:p w14:paraId="0141228A">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kern w:val="0"/>
                <w:sz w:val="21"/>
                <w:szCs w:val="21"/>
                <w:highlight w:val="none"/>
              </w:rPr>
              <w:t>系统支持术中用药多途径录入，可以通过快捷操作界面进行用药、输血、输液输氧、事件批量录入。</w:t>
            </w:r>
          </w:p>
          <w:p w14:paraId="408A1322">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kern w:val="0"/>
                <w:sz w:val="21"/>
                <w:szCs w:val="21"/>
                <w:highlight w:val="none"/>
              </w:rPr>
              <w:t>支持麻醉用药，根据用药开始时间，自动排序，方便查看。</w:t>
            </w:r>
          </w:p>
          <w:p w14:paraId="3C8EA086">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eastAsia="宋体" w:cs="宋体"/>
                <w:color w:val="auto"/>
                <w:kern w:val="0"/>
                <w:sz w:val="21"/>
                <w:szCs w:val="21"/>
                <w:highlight w:val="none"/>
              </w:rPr>
              <w:t>支持持续用药按流速分段显示。</w:t>
            </w:r>
          </w:p>
          <w:p w14:paraId="2D4689C8">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r>
              <w:rPr>
                <w:rFonts w:hint="eastAsia" w:ascii="宋体" w:hAnsi="宋体" w:eastAsia="宋体" w:cs="宋体"/>
                <w:color w:val="auto"/>
                <w:kern w:val="0"/>
                <w:sz w:val="21"/>
                <w:szCs w:val="21"/>
                <w:highlight w:val="none"/>
              </w:rPr>
              <w:t>支持在麻醉记录单体征区域，双击添加体征数据。</w:t>
            </w:r>
          </w:p>
          <w:p w14:paraId="294CDFD8">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r>
              <w:rPr>
                <w:rFonts w:hint="eastAsia" w:ascii="宋体" w:hAnsi="宋体" w:eastAsia="宋体" w:cs="宋体"/>
                <w:color w:val="auto"/>
                <w:kern w:val="0"/>
                <w:sz w:val="21"/>
                <w:szCs w:val="21"/>
                <w:highlight w:val="none"/>
              </w:rPr>
              <w:t>术中监测，支持设备数据自动采集，对于仪器设备干扰或其他因素产生的设备记录误差值可以人工手动修改，支持麻醉记录单上直接拖动修改数据，支持对手工修改的数据进行颜色标记。</w:t>
            </w:r>
          </w:p>
          <w:p w14:paraId="066A0D4E">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r>
              <w:rPr>
                <w:rFonts w:hint="eastAsia" w:ascii="宋体" w:hAnsi="宋体" w:eastAsia="宋体" w:cs="宋体"/>
                <w:color w:val="auto"/>
                <w:kern w:val="0"/>
                <w:sz w:val="21"/>
                <w:szCs w:val="21"/>
                <w:highlight w:val="none"/>
              </w:rPr>
              <w:t>支持采集的数据，进行异常值标记，标记不影响打印。</w:t>
            </w:r>
          </w:p>
          <w:p w14:paraId="79615CAF">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(15)</w:t>
            </w:r>
            <w:r>
              <w:rPr>
                <w:rFonts w:hint="eastAsia" w:ascii="宋体" w:hAnsi="宋体" w:eastAsia="宋体" w:cs="宋体"/>
                <w:color w:val="auto"/>
                <w:kern w:val="0"/>
                <w:sz w:val="21"/>
                <w:szCs w:val="21"/>
                <w:highlight w:val="none"/>
              </w:rPr>
              <w:t>支持自定义配置术间监测项目，包括项目显示名称、显示间隔、显示图标、图标颜色等内容，可以针对单个手术进行单独设置【要求在投标文件中提供以上内容的系统功能截图，并加盖投标人公章】。</w:t>
            </w:r>
          </w:p>
          <w:p w14:paraId="4B876F98">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r>
              <w:rPr>
                <w:rFonts w:hint="eastAsia" w:ascii="宋体" w:hAnsi="宋体" w:eastAsia="宋体" w:cs="宋体"/>
                <w:color w:val="auto"/>
                <w:kern w:val="0"/>
                <w:sz w:val="21"/>
                <w:szCs w:val="21"/>
                <w:highlight w:val="none"/>
              </w:rPr>
              <w:t>手术时间过长、麻醉用药过多或者事件记录过多，系统支持麻醉记录单自动分页，根据时间，对应事件显示在对应时间麻醉记录单。</w:t>
            </w:r>
          </w:p>
          <w:p w14:paraId="6BCEAA23">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r>
              <w:rPr>
                <w:rFonts w:hint="eastAsia" w:ascii="宋体" w:hAnsi="宋体" w:eastAsia="宋体" w:cs="宋体"/>
                <w:color w:val="auto"/>
                <w:kern w:val="0"/>
                <w:sz w:val="21"/>
                <w:szCs w:val="21"/>
                <w:highlight w:val="none"/>
              </w:rPr>
              <w:t>系统支持数据批量处理，可以快捷处理术中事件和监测项目。</w:t>
            </w:r>
          </w:p>
          <w:p w14:paraId="4CBC7E00">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r>
              <w:rPr>
                <w:rFonts w:hint="eastAsia" w:ascii="宋体" w:hAnsi="宋体" w:eastAsia="宋体" w:cs="宋体"/>
                <w:color w:val="auto"/>
                <w:kern w:val="0"/>
                <w:sz w:val="21"/>
                <w:szCs w:val="21"/>
                <w:highlight w:val="none"/>
              </w:rPr>
              <w:t>系统支持快捷检索药品、事件字典信息，实现麻醉事件及用药的快速录入，快速完成麻醉单，减轻医护人员工作量。</w:t>
            </w:r>
          </w:p>
          <w:p w14:paraId="34E5F442">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r>
              <w:rPr>
                <w:rFonts w:hint="eastAsia" w:ascii="宋体" w:hAnsi="宋体" w:eastAsia="宋体" w:cs="宋体"/>
                <w:color w:val="auto"/>
                <w:kern w:val="0"/>
                <w:sz w:val="21"/>
                <w:szCs w:val="21"/>
                <w:highlight w:val="none"/>
              </w:rPr>
              <w:t>能够设置药品常用剂量和单位，在药品录入的时候，能够配置快捷药品事件栏以及药品常用量，实现常用药品、事件的快速录入。</w:t>
            </w:r>
          </w:p>
          <w:p w14:paraId="10ECEC32">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r>
              <w:rPr>
                <w:rFonts w:hint="eastAsia" w:ascii="宋体" w:hAnsi="宋体" w:eastAsia="宋体" w:cs="宋体"/>
                <w:color w:val="auto"/>
                <w:kern w:val="0"/>
                <w:sz w:val="21"/>
                <w:szCs w:val="21"/>
                <w:highlight w:val="none"/>
              </w:rPr>
              <w:t>能够将术中麻醉操作按顺序同步记录在麻醉备注区域事件详情。对于手术时间节点，自动生成对应的事件，记录在麻醉记录单上。</w:t>
            </w:r>
          </w:p>
          <w:p w14:paraId="17BD7841">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kern w:val="0"/>
                <w:sz w:val="21"/>
                <w:szCs w:val="21"/>
                <w:highlight w:val="none"/>
              </w:rPr>
              <w:t>支持ASA分级等信息的统计，并提供统计报表出具相关结果，并且ASA分级能够与其他文书互相同步。</w:t>
            </w:r>
          </w:p>
          <w:p w14:paraId="64F60690">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kern w:val="0"/>
                <w:sz w:val="21"/>
                <w:szCs w:val="21"/>
                <w:highlight w:val="none"/>
              </w:rPr>
              <w:t>能够记录血气分析结果，并在麻醉单上显示血气分析数据，支持动脉血和静脉血的记录。</w:t>
            </w:r>
          </w:p>
          <w:p w14:paraId="47276892">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r>
              <w:rPr>
                <w:rFonts w:hint="eastAsia" w:ascii="宋体" w:hAnsi="宋体" w:eastAsia="宋体" w:cs="宋体"/>
                <w:color w:val="auto"/>
                <w:kern w:val="0"/>
                <w:sz w:val="21"/>
                <w:szCs w:val="21"/>
                <w:highlight w:val="none"/>
              </w:rPr>
              <w:t>能够记录术中出入量情况，针对术中输血项目，自动生成术中输血统计，能够自定查询科室术中输血项目。</w:t>
            </w:r>
          </w:p>
          <w:p w14:paraId="10954BC1">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r>
              <w:rPr>
                <w:rFonts w:hint="eastAsia" w:ascii="宋体" w:hAnsi="宋体" w:eastAsia="宋体" w:cs="宋体"/>
                <w:color w:val="auto"/>
                <w:kern w:val="0"/>
                <w:sz w:val="21"/>
                <w:szCs w:val="21"/>
                <w:highlight w:val="none"/>
              </w:rPr>
              <w:t>麻醉记录单，支持显示复苏记录数据。</w:t>
            </w:r>
          </w:p>
          <w:p w14:paraId="7447D6AE">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r>
              <w:rPr>
                <w:rFonts w:hint="eastAsia" w:ascii="宋体" w:hAnsi="宋体" w:eastAsia="宋体" w:cs="宋体"/>
                <w:color w:val="auto"/>
                <w:kern w:val="0"/>
                <w:sz w:val="21"/>
                <w:szCs w:val="21"/>
                <w:highlight w:val="none"/>
              </w:rPr>
              <w:t>支持抢救模式，同步记录开始记录抢救时间和结束抢救时间，支持抢救期间密集体征记录。</w:t>
            </w:r>
          </w:p>
          <w:p w14:paraId="28D0E0D5">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r>
              <w:rPr>
                <w:rFonts w:hint="eastAsia" w:ascii="宋体" w:hAnsi="宋体" w:eastAsia="宋体" w:cs="宋体"/>
                <w:color w:val="auto"/>
                <w:kern w:val="0"/>
                <w:sz w:val="21"/>
                <w:szCs w:val="21"/>
                <w:highlight w:val="none"/>
              </w:rPr>
              <w:t>根据术中情况，进行麻醉总结，记录麻醉结束后对手术麻醉过程、麻醉效果、术中麻醉操作进行总结和评价，支持术中特殊情况及处理方式信息。为科室临床质量评估和质控提供依据。</w:t>
            </w:r>
          </w:p>
          <w:p w14:paraId="69D79AAA">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w:t>
            </w:r>
            <w:r>
              <w:rPr>
                <w:rFonts w:hint="eastAsia" w:ascii="宋体" w:hAnsi="宋体" w:eastAsia="宋体" w:cs="宋体"/>
                <w:color w:val="auto"/>
                <w:kern w:val="0"/>
                <w:sz w:val="21"/>
                <w:szCs w:val="21"/>
                <w:highlight w:val="none"/>
              </w:rPr>
              <w:t>系统支持红白处方的记录，可以根据用量，自动计算剩余量。</w:t>
            </w:r>
          </w:p>
          <w:p w14:paraId="4287AB64">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r>
              <w:rPr>
                <w:rFonts w:hint="eastAsia" w:ascii="宋体" w:hAnsi="宋体" w:eastAsia="宋体" w:cs="宋体"/>
                <w:color w:val="auto"/>
                <w:kern w:val="0"/>
                <w:sz w:val="21"/>
                <w:szCs w:val="21"/>
                <w:highlight w:val="none"/>
              </w:rPr>
              <w:t>可以根据医院需求，进行定制化处方单，进行红白处方的打印。</w:t>
            </w:r>
          </w:p>
          <w:p w14:paraId="6E1A7A82">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w:t>
            </w:r>
            <w:r>
              <w:rPr>
                <w:rFonts w:hint="eastAsia" w:ascii="宋体" w:hAnsi="宋体" w:eastAsia="宋体" w:cs="宋体"/>
                <w:color w:val="auto"/>
                <w:kern w:val="0"/>
                <w:sz w:val="21"/>
                <w:szCs w:val="21"/>
                <w:highlight w:val="none"/>
              </w:rPr>
              <w:t>系统支持自定义时间段，查询统计处方药物，并支持结果导出。</w:t>
            </w:r>
          </w:p>
          <w:p w14:paraId="2DB3FFB9">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r>
              <w:rPr>
                <w:rFonts w:hint="eastAsia" w:ascii="宋体" w:hAnsi="宋体" w:eastAsia="宋体" w:cs="宋体"/>
                <w:color w:val="auto"/>
                <w:kern w:val="0"/>
                <w:sz w:val="21"/>
                <w:szCs w:val="21"/>
                <w:highlight w:val="none"/>
              </w:rPr>
              <w:t>系统支持患者镇痛数据记录，支持记录镇痛方式、镇痛药物、镇痛泵、配药人、核对人等内容的记录形成闭环管理。</w:t>
            </w:r>
          </w:p>
          <w:p w14:paraId="75E909CF">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r>
              <w:rPr>
                <w:rFonts w:hint="eastAsia" w:ascii="宋体" w:hAnsi="宋体" w:eastAsia="宋体" w:cs="宋体"/>
                <w:color w:val="auto"/>
                <w:kern w:val="0"/>
                <w:sz w:val="21"/>
                <w:szCs w:val="21"/>
                <w:highlight w:val="none"/>
              </w:rPr>
              <w:t>系统支持显示患者镇痛监测情况的信息，镇痛药量使用数据和进度，支持镇痛效果评估、镇痛泵不良反应的记录。</w:t>
            </w:r>
          </w:p>
          <w:p w14:paraId="79E450C0">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r>
              <w:rPr>
                <w:rFonts w:hint="eastAsia" w:ascii="宋体" w:hAnsi="宋体" w:eastAsia="宋体" w:cs="宋体"/>
                <w:color w:val="auto"/>
                <w:kern w:val="0"/>
                <w:sz w:val="21"/>
                <w:szCs w:val="21"/>
                <w:highlight w:val="none"/>
              </w:rPr>
              <w:t>系统支持自定义配置镇痛泵使用途径、泵类型、镇痛方式等内容的配置。</w:t>
            </w:r>
          </w:p>
          <w:p w14:paraId="4C28F3AD">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(33)</w:t>
            </w:r>
            <w:r>
              <w:rPr>
                <w:rFonts w:hint="eastAsia" w:ascii="宋体" w:hAnsi="宋体" w:eastAsia="宋体" w:cs="宋体"/>
                <w:color w:val="auto"/>
                <w:kern w:val="0"/>
                <w:sz w:val="21"/>
                <w:szCs w:val="21"/>
                <w:highlight w:val="none"/>
              </w:rPr>
              <w:t>提供不良事件登记管理，能够登记事件类型、登记发生场所、描述、时间、报告人等信息【要求在投标文件中提供以上内容的系统功能截图，并加盖投标人公章】。</w:t>
            </w:r>
          </w:p>
          <w:p w14:paraId="6750098D">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w:t>
            </w:r>
            <w:r>
              <w:rPr>
                <w:rFonts w:hint="eastAsia" w:ascii="宋体" w:hAnsi="宋体" w:eastAsia="宋体" w:cs="宋体"/>
                <w:color w:val="auto"/>
                <w:kern w:val="0"/>
                <w:sz w:val="21"/>
                <w:szCs w:val="21"/>
                <w:highlight w:val="none"/>
              </w:rPr>
              <w:t>支持对已经填报的不良事件进行查看、增删改查等操作。</w:t>
            </w:r>
          </w:p>
          <w:p w14:paraId="5CB4A6C9">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w:t>
            </w:r>
            <w:r>
              <w:rPr>
                <w:rFonts w:hint="eastAsia" w:ascii="宋体" w:hAnsi="宋体" w:eastAsia="宋体" w:cs="宋体"/>
                <w:color w:val="auto"/>
                <w:kern w:val="0"/>
                <w:sz w:val="21"/>
                <w:szCs w:val="21"/>
                <w:highlight w:val="none"/>
              </w:rPr>
              <w:t>系统提供对不良事件的统计查询，支持自定时间段查询不良事件，支持统计结果的导出</w:t>
            </w:r>
          </w:p>
          <w:p w14:paraId="5FEE7603">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w:t>
            </w:r>
            <w:r>
              <w:rPr>
                <w:rFonts w:hint="eastAsia" w:ascii="宋体" w:hAnsi="宋体" w:eastAsia="宋体" w:cs="宋体"/>
                <w:color w:val="auto"/>
                <w:kern w:val="0"/>
                <w:sz w:val="21"/>
                <w:szCs w:val="21"/>
                <w:highlight w:val="none"/>
              </w:rPr>
              <w:t>支持对手术麻醉过程中发生的并发症进行信息上报，统一管理。</w:t>
            </w:r>
          </w:p>
          <w:p w14:paraId="2D7601FE">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w:t>
            </w:r>
            <w:r>
              <w:rPr>
                <w:rFonts w:hint="eastAsia" w:ascii="宋体" w:hAnsi="宋体" w:eastAsia="宋体" w:cs="宋体"/>
                <w:color w:val="auto"/>
                <w:kern w:val="0"/>
                <w:sz w:val="21"/>
                <w:szCs w:val="21"/>
                <w:highlight w:val="none"/>
              </w:rPr>
              <w:t>可查看已经填报的并发症，对内容进行修改、删除等操作。</w:t>
            </w:r>
          </w:p>
          <w:p w14:paraId="45B27FF1">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w:t>
            </w:r>
            <w:r>
              <w:rPr>
                <w:rFonts w:hint="eastAsia" w:ascii="宋体" w:hAnsi="宋体" w:eastAsia="宋体" w:cs="宋体"/>
                <w:color w:val="auto"/>
                <w:kern w:val="0"/>
                <w:sz w:val="21"/>
                <w:szCs w:val="21"/>
                <w:highlight w:val="none"/>
              </w:rPr>
              <w:t>支持对手术麻醉过程中的发生的特殊事件进行信息上报，统一管理。</w:t>
            </w:r>
          </w:p>
          <w:p w14:paraId="6633F931">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(39)可查看已经填报的特殊事件，对内容进行修改、删除等操作。</w:t>
            </w:r>
          </w:p>
          <w:p w14:paraId="24F5E5AB">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室外麻醉子系统</w:t>
            </w:r>
          </w:p>
          <w:p w14:paraId="7134249C">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(1)与医院HIS系统对接，自动获取手术通知单，包括门诊和住院。</w:t>
            </w:r>
          </w:p>
          <w:p w14:paraId="0055F49B">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(2)</w:t>
            </w:r>
            <w:r>
              <w:rPr>
                <w:rFonts w:hint="eastAsia" w:ascii="宋体" w:hAnsi="宋体" w:eastAsia="宋体" w:cs="宋体"/>
                <w:color w:val="auto"/>
                <w:kern w:val="0"/>
                <w:sz w:val="21"/>
                <w:szCs w:val="21"/>
                <w:highlight w:val="none"/>
              </w:rPr>
              <w:t>未提交手术申请的患者，可快速将患者添加到室外麻醉手术列表。【要求在投标文件中提供以上内容的系统功能截图，并加盖投标人公章】。</w:t>
            </w:r>
          </w:p>
          <w:p w14:paraId="7DDA8C90">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kern w:val="0"/>
                <w:sz w:val="21"/>
                <w:szCs w:val="21"/>
                <w:highlight w:val="none"/>
              </w:rPr>
              <w:t>系统提供术前访视单格式，能够记录患者术前基本信息、器官系统异常情况过去与现在的对比、综合评估、术前讨论、麻醉计划等，生成患者麻醉前术前访视单。</w:t>
            </w:r>
          </w:p>
          <w:p w14:paraId="47C18283">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kern w:val="0"/>
                <w:sz w:val="21"/>
                <w:szCs w:val="21"/>
                <w:highlight w:val="none"/>
              </w:rPr>
              <w:t>系统提供麻醉知情同意书格式，能够记录患者术前基本信息、告知各类手术的优缺点、术后镇痛相关事宜</w:t>
            </w:r>
            <w:ins w:id="83" w:author="JDZBzheng" w:date="2026-06-30T11:19:53Z">
              <w:r>
                <w:rPr>
                  <w:rFonts w:hint="eastAsia" w:ascii="宋体" w:hAnsi="宋体" w:eastAsia="宋体" w:cs="宋体"/>
                  <w:color w:val="auto"/>
                  <w:kern w:val="0"/>
                  <w:sz w:val="21"/>
                  <w:szCs w:val="21"/>
                  <w:highlight w:val="none"/>
                  <w:lang w:eastAsia="zh-CN"/>
                </w:rPr>
                <w:t>及</w:t>
              </w:r>
            </w:ins>
            <w:r>
              <w:rPr>
                <w:rFonts w:hint="eastAsia" w:ascii="宋体" w:hAnsi="宋体" w:eastAsia="宋体" w:cs="宋体"/>
                <w:color w:val="auto"/>
                <w:kern w:val="0"/>
                <w:sz w:val="21"/>
                <w:szCs w:val="21"/>
                <w:highlight w:val="none"/>
              </w:rPr>
              <w:t>可能出现的不良反应等，生成患者知情同意书。</w:t>
            </w:r>
          </w:p>
          <w:p w14:paraId="47CF3D50">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kern w:val="0"/>
                <w:sz w:val="21"/>
                <w:szCs w:val="21"/>
                <w:highlight w:val="none"/>
              </w:rPr>
              <w:t>能够从手术申请中提取患者基本信息自动填充到访视及麻醉记录单中，包括姓名、性别、年龄、体重、病室、床号、手术日期、住院号等信息。</w:t>
            </w:r>
          </w:p>
          <w:p w14:paraId="338DCB73">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kern w:val="0"/>
                <w:sz w:val="21"/>
                <w:szCs w:val="21"/>
                <w:highlight w:val="none"/>
              </w:rPr>
              <w:t>系统支持术中用药多途径录入，可以通过点选的方式快速录入术中用药。</w:t>
            </w:r>
          </w:p>
          <w:p w14:paraId="6FA68BB4">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kern w:val="0"/>
                <w:sz w:val="21"/>
                <w:szCs w:val="21"/>
                <w:highlight w:val="none"/>
              </w:rPr>
              <w:t>术中监测，支持手动录入术中生命体征数据及相关监测数据，可用对数据进行修改，支持麻醉记录单上直接拖动修改数据，支持对手工修改的数据进行颜色标记。</w:t>
            </w:r>
          </w:p>
          <w:p w14:paraId="75904ABB">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kern w:val="0"/>
                <w:sz w:val="21"/>
                <w:szCs w:val="21"/>
                <w:highlight w:val="none"/>
              </w:rPr>
              <w:t>系统支持数据批量处理，可以快捷处理术中生命体征和监测项目。</w:t>
            </w:r>
          </w:p>
          <w:p w14:paraId="5F756D3C">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kern w:val="0"/>
                <w:sz w:val="21"/>
                <w:szCs w:val="21"/>
                <w:highlight w:val="none"/>
              </w:rPr>
              <w:t>支持对室外麻醉的知情同意书、术前访视、麻醉记录单的归档。归档后不可编辑，支持自定义归档时间。</w:t>
            </w:r>
          </w:p>
          <w:p w14:paraId="6DBC1126">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kern w:val="0"/>
                <w:sz w:val="21"/>
                <w:szCs w:val="21"/>
                <w:highlight w:val="none"/>
              </w:rPr>
              <w:t>系统提供对室外的统计查询，支持自定时间段查询不良事件，支持统计结果的导出</w:t>
            </w:r>
          </w:p>
          <w:p w14:paraId="4740681D">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(11)支持室外麻醉操作计入工分</w:t>
            </w:r>
            <w:r>
              <w:rPr>
                <w:rFonts w:hint="eastAsia" w:ascii="宋体" w:hAnsi="宋体" w:eastAsia="宋体" w:cs="宋体"/>
                <w:color w:val="auto"/>
                <w:sz w:val="21"/>
                <w:szCs w:val="21"/>
                <w:highlight w:val="none"/>
              </w:rPr>
              <w:t>。</w:t>
            </w:r>
          </w:p>
          <w:p w14:paraId="572F3FA3">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(12)针对无痛人流、无痛分娩、无痛胃肠镜等室外麻醉例数，提供登记界面，用于室外麻醉数据统计。</w:t>
            </w:r>
          </w:p>
          <w:p w14:paraId="64C2B046">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复苏管理子系统</w:t>
            </w:r>
          </w:p>
          <w:p w14:paraId="2F9E3AF1">
            <w:pPr>
              <w:widowControl/>
              <w:numPr>
                <w:ilvl w:val="0"/>
                <w:numId w:val="4"/>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对于术后转入PACU的患者，能够进行复苏床位的登记安排。</w:t>
            </w:r>
          </w:p>
          <w:p w14:paraId="07193E25">
            <w:pPr>
              <w:widowControl/>
              <w:numPr>
                <w:ilvl w:val="0"/>
                <w:numId w:val="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以卡片的形式，展示每日复苏情况，并显示复苏患者的进程。</w:t>
            </w:r>
          </w:p>
          <w:p w14:paraId="4C096293">
            <w:pPr>
              <w:widowControl/>
              <w:numPr>
                <w:ilvl w:val="0"/>
                <w:numId w:val="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支持卡片内容自定义配置，可以配置显示内容和顺序。</w:t>
            </w:r>
          </w:p>
          <w:p w14:paraId="39C0B916">
            <w:pPr>
              <w:widowControl/>
              <w:numPr>
                <w:ilvl w:val="0"/>
                <w:numId w:val="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系统支持延续麻醉记录单进行复苏监测数据记录。</w:t>
            </w:r>
          </w:p>
          <w:p w14:paraId="2454DC63">
            <w:pPr>
              <w:widowControl/>
              <w:numPr>
                <w:ilvl w:val="0"/>
                <w:numId w:val="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系统支持记录术后复苏过程中的麻醉用药、事件、生命体征、患者入室情况、出室情况，并能够自动生成复苏记录单。</w:t>
            </w:r>
          </w:p>
          <w:p w14:paraId="2775EF96">
            <w:pPr>
              <w:widowControl/>
              <w:numPr>
                <w:ilvl w:val="0"/>
                <w:numId w:val="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系统提供恢复室交接单，支持患者入室和出室的记录，包括患者体征、神志、伤口敷料、皮肤、评分、出入量等情况。</w:t>
            </w:r>
          </w:p>
          <w:p w14:paraId="6B994BBB">
            <w:pPr>
              <w:widowControl/>
              <w:numPr>
                <w:ilvl w:val="0"/>
                <w:numId w:val="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能够自动同步麻醉记录单和恢复室记录单上面的体征和出入量到恢复室交接单。</w:t>
            </w:r>
          </w:p>
          <w:p w14:paraId="068D7C98">
            <w:pPr>
              <w:numPr>
                <w:ilvl w:val="0"/>
                <w:numId w:val="4"/>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支持Steward、Aldrete、NRS等评分方法对患者术后复苏情况进行评估。</w:t>
            </w:r>
          </w:p>
          <w:p w14:paraId="72D3E4DC">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文书管理子系统</w:t>
            </w:r>
          </w:p>
          <w:p w14:paraId="5E9DB7EF">
            <w:pPr>
              <w:widowControl/>
              <w:numPr>
                <w:ilvl w:val="0"/>
                <w:numId w:val="5"/>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能够根据不同角色或者手术类型，建立文书分类，方便快捷查找文书</w:t>
            </w:r>
          </w:p>
          <w:p w14:paraId="7B335FED">
            <w:pPr>
              <w:widowControl/>
              <w:numPr>
                <w:ilvl w:val="0"/>
                <w:numId w:val="5"/>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提供文书设计器，能够快速完成文书的自定义设计、维护</w:t>
            </w:r>
          </w:p>
          <w:p w14:paraId="40DC83CA">
            <w:pPr>
              <w:numPr>
                <w:ilvl w:val="0"/>
                <w:numId w:val="5"/>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提供科室常用文书模板，包括知情同意书、风险告知书、自费药物使用告知同意书、术前术后访视单、手术护理记录单、恢复室交接单等各项文书</w:t>
            </w:r>
          </w:p>
          <w:p w14:paraId="65C18E72">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交接班子系统</w:t>
            </w:r>
          </w:p>
          <w:p w14:paraId="63B90A7A">
            <w:pPr>
              <w:widowControl/>
              <w:numPr>
                <w:ilvl w:val="0"/>
                <w:numId w:val="6"/>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支持麻醉医师、手术护士在手术过程中交接班，记录交接时间。</w:t>
            </w:r>
          </w:p>
          <w:p w14:paraId="1B04BFAF">
            <w:pPr>
              <w:widowControl/>
              <w:numPr>
                <w:ilvl w:val="0"/>
                <w:numId w:val="6"/>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根据手术交接班，统计相关人员的工作量。</w:t>
            </w:r>
          </w:p>
          <w:p w14:paraId="6FDC16FC">
            <w:pPr>
              <w:numPr>
                <w:ilvl w:val="0"/>
                <w:numId w:val="6"/>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自动生成显示每日总手术量、急诊手术量、取消手术量等情况的统计，支持麻醉科和手术室工作人员进行每日交班内容的填写和查询，支持特殊情况交班记录，支持交接班人员签名。</w:t>
            </w:r>
          </w:p>
          <w:p w14:paraId="41633910">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质控统计子系统</w:t>
            </w:r>
          </w:p>
          <w:p w14:paraId="26A947ED">
            <w:pPr>
              <w:widowControl/>
              <w:numPr>
                <w:ilvl w:val="0"/>
                <w:numId w:val="7"/>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系统提供麻醉质控统计，实现数据自动统计。</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支持国家版麻醉专业医疗质控控制指标（2022版26项）【要求在投标文件中提供以上内容的系统功能截图，并加盖投标人公章】。</w:t>
            </w:r>
          </w:p>
          <w:p w14:paraId="395CD042">
            <w:pPr>
              <w:widowControl/>
              <w:numPr>
                <w:ilvl w:val="0"/>
                <w:numId w:val="7"/>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支持按医院要求定制化配置质控相关指标。</w:t>
            </w:r>
          </w:p>
          <w:p w14:paraId="66CA44ED">
            <w:pPr>
              <w:numPr>
                <w:ilvl w:val="0"/>
                <w:numId w:val="7"/>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提供三甲相关指标统计:麻醉中发生未预期的意识障碍例数、麻醉中出现氧饱和度重度降低的例数、全身麻醉结束时使用催醒药物的例数、麻醉中因误咽误吸引发呼吸道梗阻的例数、其他非预期相关事件的例数、心肺复苏治疗例数、心肺复苏治疗成功例数、体外循环例数。</w:t>
            </w:r>
          </w:p>
          <w:p w14:paraId="106D03EB">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统计分析子系统</w:t>
            </w:r>
          </w:p>
          <w:p w14:paraId="50A3A409">
            <w:pPr>
              <w:widowControl/>
              <w:numPr>
                <w:ilvl w:val="0"/>
                <w:numId w:val="8"/>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手术科室工作量统计：分科室统计各科室不同级别手术的例数和时长，并可以选择科室，自定义时间查看对应月报、季报、年报。并支持数据导出。</w:t>
            </w:r>
          </w:p>
          <w:p w14:paraId="54D0C888">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麻醉医生工作量统计：统计不同医生不同级别、不同类型、不同麻醉方式的手术的例数和时长，并可以选择医生，自定义时间查看对应月报、季报、年报。并支持数据导出</w:t>
            </w:r>
          </w:p>
          <w:p w14:paraId="091D0247">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手术护士工作量统计：统计不同护士不同级别和类型手术的例数和时长，并可以选择护士，自定义时间查看对应月报、季报、年报。并支持数据导出。</w:t>
            </w:r>
          </w:p>
          <w:p w14:paraId="70BDF8F4">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复苏护士工作量统计：统计不同护士不同级别和类型手术的例数和时长，并可以选择护士，自定义时间查看对应月报、季报、年报。并支持数据导出。</w:t>
            </w:r>
          </w:p>
          <w:p w14:paraId="4F1EE7DE">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取消手术统计，自定义时间，统计取消手术明细， 并支持数据导出。</w:t>
            </w:r>
          </w:p>
          <w:p w14:paraId="53F4157F">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术后镇痛统计，自定义时间，统计科室术后镇痛情况，并支持数据导出。</w:t>
            </w:r>
          </w:p>
          <w:p w14:paraId="6095A2E5">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不良事件统计，自定义时间，统计术中输血明细， 并支持数据导出。</w:t>
            </w:r>
          </w:p>
          <w:p w14:paraId="4A576BD2">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处方药统计，自定义时间，统计处方药明细，并支持数据导出。</w:t>
            </w:r>
          </w:p>
          <w:p w14:paraId="483C626C">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支持定制化科室统计，例如麻醉方法变更统计、二次手术统计、体外循环统计、术后并发症统计等内容，以满足科室长期需求。</w:t>
            </w:r>
          </w:p>
          <w:p w14:paraId="5FA8A636">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择期手术准时开台率分析，自定时间段，统计择期手术准时开台率，支持图表展示，并可以选择科室，进行不同时间段进行对比分析</w:t>
            </w:r>
            <w:r>
              <w:rPr>
                <w:rFonts w:hint="eastAsia" w:ascii="宋体" w:hAnsi="宋体" w:eastAsia="宋体" w:cs="宋体"/>
                <w:color w:val="auto"/>
                <w:sz w:val="21"/>
                <w:szCs w:val="21"/>
                <w:highlight w:val="none"/>
              </w:rPr>
              <w:t>。</w:t>
            </w:r>
          </w:p>
          <w:p w14:paraId="2EE420AE">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手术室使用情况分析，自定时间段，统计手术室各个术间手术量，支持图表展示，并可以选择术间，进行不同时间段进行对比分析。</w:t>
            </w:r>
          </w:p>
          <w:p w14:paraId="7B1E98F3">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手术科室手术量分析，自定时间段，统计不同科室手术量，支持图表展示，并可以选择科室，进行不同时间段进行对比分析。</w:t>
            </w:r>
          </w:p>
          <w:p w14:paraId="0F5EE68C">
            <w:pPr>
              <w:widowControl/>
              <w:numPr>
                <w:ilvl w:val="0"/>
                <w:numId w:val="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手术接台时长分析，自定时间段，统计不同科室手术接台时长，支持图表展示，并可以选择科室，进行不同时间段进行对比分析。</w:t>
            </w:r>
          </w:p>
          <w:p w14:paraId="206B0B3D">
            <w:pPr>
              <w:numPr>
                <w:ilvl w:val="0"/>
                <w:numId w:val="8"/>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支持定制化运营指标统计分析。</w:t>
            </w:r>
          </w:p>
          <w:p w14:paraId="5991F491">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病案管理子系统</w:t>
            </w:r>
          </w:p>
          <w:p w14:paraId="4D8FAB49">
            <w:pPr>
              <w:widowControl/>
              <w:numPr>
                <w:ilvl w:val="0"/>
                <w:numId w:val="9"/>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可以根据不同条件，进行手术检索，包括患者基本信息、手术信息、麻醉信息，如：姓名、住院号、手术名称、手术级别、申请科室、切口等级、手术位置、主刀医生、麻醉方式、ASA分级、麻醉效果等内容进行手术检索，支持对检索的结果，进行数据导出。</w:t>
            </w:r>
          </w:p>
          <w:p w14:paraId="459059C0">
            <w:pPr>
              <w:widowControl/>
              <w:numPr>
                <w:ilvl w:val="0"/>
                <w:numId w:val="9"/>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支持查看麻醉文书、护理文书完成情况，支持筛选未完成文书相关人员。</w:t>
            </w:r>
          </w:p>
          <w:p w14:paraId="6EB738D2">
            <w:pPr>
              <w:numPr>
                <w:ilvl w:val="0"/>
                <w:numId w:val="9"/>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支持与病案系统对接。</w:t>
            </w:r>
          </w:p>
          <w:p w14:paraId="17417FE5">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科主任管理子系统</w:t>
            </w:r>
          </w:p>
          <w:p w14:paraId="1FCF1CE8">
            <w:pPr>
              <w:widowControl/>
              <w:numPr>
                <w:ilvl w:val="0"/>
                <w:numId w:val="10"/>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实时统计每日总手术量、择期手术量、急诊手术量、术后镇痛量。</w:t>
            </w:r>
          </w:p>
          <w:p w14:paraId="4C6729A5">
            <w:pPr>
              <w:widowControl/>
              <w:numPr>
                <w:ilvl w:val="0"/>
                <w:numId w:val="10"/>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以图表的形式，统计每日不同科室手术级别占比、ASA分级、不同麻醉方式占比、手术去向的占比。</w:t>
            </w:r>
          </w:p>
          <w:p w14:paraId="752A7E18">
            <w:pPr>
              <w:widowControl/>
              <w:numPr>
                <w:ilvl w:val="0"/>
                <w:numId w:val="10"/>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以图表的形式，统计每日开台率、手术间利用率、各术间平局接台时长。</w:t>
            </w:r>
          </w:p>
          <w:p w14:paraId="6D18F231">
            <w:pPr>
              <w:widowControl/>
              <w:numPr>
                <w:ilvl w:val="0"/>
                <w:numId w:val="10"/>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以图表的形式，通过时间轴的方式，展示各个术间各个时间段手术。</w:t>
            </w:r>
          </w:p>
          <w:p w14:paraId="2A255D94">
            <w:pPr>
              <w:widowControl/>
              <w:numPr>
                <w:ilvl w:val="0"/>
                <w:numId w:val="10"/>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能够一屏展示当前手术室所有术中患者的实时体征数据，支持筛选术间，查看指定术间对术中患者进行实时监测。</w:t>
            </w:r>
          </w:p>
          <w:p w14:paraId="62AA1632">
            <w:pPr>
              <w:widowControl/>
              <w:numPr>
                <w:ilvl w:val="0"/>
                <w:numId w:val="10"/>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支持发布和</w:t>
            </w:r>
            <w:ins w:id="84" w:author="JDZBzheng" w:date="2026-06-30T11:20:16Z">
              <w:r>
                <w:rPr>
                  <w:rFonts w:hint="eastAsia" w:ascii="宋体" w:hAnsi="宋体" w:eastAsia="宋体" w:cs="宋体"/>
                  <w:color w:val="auto"/>
                  <w:kern w:val="0"/>
                  <w:sz w:val="21"/>
                  <w:szCs w:val="21"/>
                  <w:highlight w:val="none"/>
                  <w:lang w:eastAsia="zh-CN"/>
                </w:rPr>
                <w:t>接收</w:t>
              </w:r>
            </w:ins>
            <w:r>
              <w:rPr>
                <w:rFonts w:hint="eastAsia" w:ascii="宋体" w:hAnsi="宋体" w:eastAsia="宋体" w:cs="宋体"/>
                <w:color w:val="auto"/>
                <w:kern w:val="0"/>
                <w:sz w:val="21"/>
                <w:szCs w:val="21"/>
                <w:highlight w:val="none"/>
              </w:rPr>
              <w:t>公告、通知等消息。</w:t>
            </w:r>
          </w:p>
          <w:p w14:paraId="41BDB542">
            <w:pPr>
              <w:widowControl/>
              <w:numPr>
                <w:ilvl w:val="0"/>
                <w:numId w:val="10"/>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支持通知（系统信息）、公告（业务公告）、提醒（操作/患者状态提醒）、私信（员工私信）四种类型信息。</w:t>
            </w:r>
          </w:p>
          <w:p w14:paraId="0C3ED2D0">
            <w:pPr>
              <w:numPr>
                <w:ilvl w:val="0"/>
                <w:numId w:val="10"/>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支持指定接受对象，接收对象可为全体成员、指定科室、指定账号。支持用关键字搜索相关消息。</w:t>
            </w:r>
          </w:p>
          <w:p w14:paraId="2EF819D9">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数据采集子系统</w:t>
            </w:r>
          </w:p>
          <w:p w14:paraId="037FFB02">
            <w:pPr>
              <w:widowControl/>
              <w:numPr>
                <w:ilvl w:val="0"/>
                <w:numId w:val="11"/>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可以根据医院环境和设备情况，设计不同的设备采集连接方案，支持WiFi、网线、串口数据采集方式。</w:t>
            </w:r>
          </w:p>
          <w:p w14:paraId="7224CEEF">
            <w:pPr>
              <w:widowControl/>
              <w:numPr>
                <w:ilvl w:val="0"/>
                <w:numId w:val="11"/>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自动采集麻醉机和监护仪数据，支持对接目前市场的主流品牌。</w:t>
            </w:r>
          </w:p>
          <w:p w14:paraId="428CD447">
            <w:pPr>
              <w:widowControl/>
              <w:numPr>
                <w:ilvl w:val="0"/>
                <w:numId w:val="11"/>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与医院现有HIS信息系统集成，自动获取患者手术相关信息。</w:t>
            </w:r>
          </w:p>
          <w:p w14:paraId="56951835">
            <w:pPr>
              <w:widowControl/>
              <w:numPr>
                <w:ilvl w:val="0"/>
                <w:numId w:val="11"/>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与电子病历系统无缝集成，同步患者病程信息，方便医护人员直接进行病历查看。</w:t>
            </w:r>
          </w:p>
          <w:p w14:paraId="5A7716A8">
            <w:pPr>
              <w:widowControl/>
              <w:numPr>
                <w:ilvl w:val="0"/>
                <w:numId w:val="11"/>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与医院现有LIS系统完整集成，查看或提取患者检验结果信息。</w:t>
            </w:r>
          </w:p>
          <w:p w14:paraId="2F2E6066">
            <w:pPr>
              <w:widowControl/>
              <w:numPr>
                <w:ilvl w:val="0"/>
                <w:numId w:val="11"/>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与医院现有PACS系统完整集成，查看患者检查结果信息，PACS图像信息等。</w:t>
            </w:r>
          </w:p>
          <w:p w14:paraId="1B99039B">
            <w:pPr>
              <w:numPr>
                <w:ilvl w:val="0"/>
                <w:numId w:val="11"/>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系统支持采用视图、WebService、HL7、消息中间件、系统接口等集成方式。</w:t>
            </w:r>
          </w:p>
          <w:p w14:paraId="1694C13F">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医患协同子系统</w:t>
            </w:r>
          </w:p>
          <w:p w14:paraId="732F0470">
            <w:pPr>
              <w:widowControl/>
              <w:numPr>
                <w:ilvl w:val="0"/>
                <w:numId w:val="12"/>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支持家属等待区的交互显示功能，方便患者家属知道患者手术进程情况。</w:t>
            </w:r>
          </w:p>
          <w:p w14:paraId="4150A74F">
            <w:pPr>
              <w:numPr>
                <w:ilvl w:val="0"/>
                <w:numId w:val="12"/>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大屏幕液晶电视等设备显示手术进程；能够灵活配置家属大屏公告显示风格，字体/颜色/背景等；内容包括手术状态、手术间、患者姓名、科室等，可根据实际需要灵活调整显示字段，可按任意字段进行排序。可以接收术中发布通知，并滚动显示相应消息。</w:t>
            </w:r>
          </w:p>
          <w:p w14:paraId="22FAA289">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调度中心</w:t>
            </w:r>
          </w:p>
          <w:p w14:paraId="57A262FE">
            <w:pPr>
              <w:widowControl/>
              <w:numPr>
                <w:ilvl w:val="0"/>
                <w:numId w:val="13"/>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支持接患者入手术室和送患者回病房的转运调度通知。【要求在投标文件中提供以上内容的系统功能截图，并加盖投标人公章】。</w:t>
            </w:r>
          </w:p>
          <w:p w14:paraId="15E2C987">
            <w:pPr>
              <w:widowControl/>
              <w:numPr>
                <w:ilvl w:val="0"/>
                <w:numId w:val="13"/>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支持所有术间发送首台一键通知。</w:t>
            </w:r>
          </w:p>
          <w:p w14:paraId="48881F11">
            <w:pPr>
              <w:widowControl/>
              <w:numPr>
                <w:ilvl w:val="0"/>
                <w:numId w:val="13"/>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支持对移动端发送指定患者接台通知。</w:t>
            </w:r>
          </w:p>
          <w:p w14:paraId="5E17A47C">
            <w:pPr>
              <w:widowControl/>
              <w:numPr>
                <w:ilvl w:val="0"/>
                <w:numId w:val="13"/>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支持指定护工接送与不指定护工抢单2种转运订单分配模式。</w:t>
            </w:r>
          </w:p>
          <w:p w14:paraId="4FA6C19F">
            <w:pPr>
              <w:widowControl/>
              <w:numPr>
                <w:ilvl w:val="0"/>
                <w:numId w:val="13"/>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支持发送接台通知后撤销接台通知。</w:t>
            </w:r>
          </w:p>
          <w:p w14:paraId="0564003E">
            <w:pPr>
              <w:widowControl/>
              <w:numPr>
                <w:ilvl w:val="0"/>
                <w:numId w:val="13"/>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支持以时间轴的模式展示患者转运的各个节点。</w:t>
            </w:r>
          </w:p>
          <w:p w14:paraId="57CE41F0">
            <w:pPr>
              <w:numPr>
                <w:ilvl w:val="0"/>
                <w:numId w:val="13"/>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支持自定义转运通知内容。</w:t>
            </w:r>
          </w:p>
          <w:p w14:paraId="5FE192AA">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日常事务管理</w:t>
            </w:r>
          </w:p>
          <w:p w14:paraId="2EB3CC9F">
            <w:pPr>
              <w:widowControl/>
              <w:numPr>
                <w:ilvl w:val="0"/>
                <w:numId w:val="14"/>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支持对发生在麻醉科之外的麻醉操作进行记录，并计入工作量和工分。</w:t>
            </w:r>
          </w:p>
          <w:p w14:paraId="0885FC2C">
            <w:pPr>
              <w:widowControl/>
              <w:numPr>
                <w:ilvl w:val="0"/>
                <w:numId w:val="1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支持对日常事务发生时间、</w:t>
            </w:r>
            <w:ins w:id="85" w:author="JDZBzheng" w:date="2026-06-30T11:20:24Z">
              <w:r>
                <w:rPr>
                  <w:rFonts w:hint="eastAsia" w:ascii="宋体" w:hAnsi="宋体" w:eastAsia="宋体" w:cs="宋体"/>
                  <w:color w:val="auto"/>
                  <w:kern w:val="0"/>
                  <w:sz w:val="21"/>
                  <w:szCs w:val="21"/>
                  <w:highlight w:val="none"/>
                  <w:lang w:eastAsia="zh-CN"/>
                </w:rPr>
                <w:t>发生</w:t>
              </w:r>
            </w:ins>
            <w:r>
              <w:rPr>
                <w:rFonts w:hint="eastAsia" w:ascii="宋体" w:hAnsi="宋体" w:eastAsia="宋体" w:cs="宋体"/>
                <w:color w:val="auto"/>
                <w:kern w:val="0"/>
                <w:sz w:val="21"/>
                <w:szCs w:val="21"/>
                <w:highlight w:val="none"/>
              </w:rPr>
              <w:t>地点、发生科室、事务类型、服务患者信息进行登记。</w:t>
            </w:r>
          </w:p>
          <w:p w14:paraId="26F8CB57">
            <w:pPr>
              <w:widowControl/>
              <w:numPr>
                <w:ilvl w:val="0"/>
                <w:numId w:val="1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可对记录的日常事务给与工分数值。</w:t>
            </w:r>
          </w:p>
          <w:p w14:paraId="23C45E37">
            <w:pPr>
              <w:widowControl/>
              <w:numPr>
                <w:ilvl w:val="0"/>
                <w:numId w:val="1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可对记录好的事务提交审核，对已经提交的订单进行修改。</w:t>
            </w:r>
          </w:p>
          <w:p w14:paraId="26A275F1">
            <w:pPr>
              <w:widowControl/>
              <w:numPr>
                <w:ilvl w:val="0"/>
                <w:numId w:val="1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可对日常事务管理分权限进行管理，普通账号仅可对自己做过的操作进行登记，管理账号可对提交的日常事务登记的订单进行审核。</w:t>
            </w:r>
          </w:p>
          <w:p w14:paraId="545D0A10">
            <w:pPr>
              <w:widowControl/>
              <w:numPr>
                <w:ilvl w:val="0"/>
                <w:numId w:val="1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可对提交的日常事务订单中的工分做修改。</w:t>
            </w:r>
          </w:p>
          <w:p w14:paraId="7B9B4C68">
            <w:pPr>
              <w:widowControl/>
              <w:numPr>
                <w:ilvl w:val="0"/>
                <w:numId w:val="14"/>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可审核提交的日常事务，若审核不通过需给予原因。</w:t>
            </w:r>
          </w:p>
          <w:p w14:paraId="66406454">
            <w:pPr>
              <w:numPr>
                <w:ilvl w:val="0"/>
                <w:numId w:val="14"/>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可查看审核结果，审核不通过的订单，申请人可查看审核结果。</w:t>
            </w:r>
          </w:p>
          <w:p w14:paraId="68147424">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麻醉评估门诊</w:t>
            </w:r>
          </w:p>
          <w:p w14:paraId="4D1C2707">
            <w:pPr>
              <w:widowControl/>
              <w:numPr>
                <w:ilvl w:val="0"/>
                <w:numId w:val="15"/>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支持将患者快速登记至麻醉门诊评估。</w:t>
            </w:r>
          </w:p>
          <w:p w14:paraId="142EE84D">
            <w:pPr>
              <w:widowControl/>
              <w:numPr>
                <w:ilvl w:val="0"/>
                <w:numId w:val="15"/>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支持通过HIS获取麻醉门诊预约信息。</w:t>
            </w:r>
          </w:p>
          <w:p w14:paraId="1665C929">
            <w:pPr>
              <w:widowControl/>
              <w:numPr>
                <w:ilvl w:val="0"/>
                <w:numId w:val="15"/>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对患者实行术前的麻醉风险评估，支持对患者的个人史信息、过敏史、长期服药史、生命体征、心血管系统、呼吸系统、内分泌系统、神经系统、泌尿生殖系统、消化系统、血液系统、其他疾病、家族史、既往麻醉、气道评估等进行综合评估。</w:t>
            </w:r>
          </w:p>
          <w:p w14:paraId="4D4ED4D4">
            <w:pPr>
              <w:widowControl/>
              <w:numPr>
                <w:ilvl w:val="0"/>
                <w:numId w:val="15"/>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通过3D口腔模型对患者进行气道评估，标记患者牙齿情况。</w:t>
            </w:r>
          </w:p>
          <w:p w14:paraId="51456990">
            <w:pPr>
              <w:widowControl/>
              <w:numPr>
                <w:ilvl w:val="0"/>
                <w:numId w:val="15"/>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能够自动获取患者个人史信息、检查检验信息等数据，自动赋值至系统评估量表中，支持对自动填充结果进行二次确认修改。</w:t>
            </w:r>
          </w:p>
          <w:p w14:paraId="7A4337E3">
            <w:pPr>
              <w:widowControl/>
              <w:numPr>
                <w:ilvl w:val="0"/>
                <w:numId w:val="15"/>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可根据医院需要对系统评估内容进行灵活配置调整，支持调整评估项或评估分类的页面显示顺序。</w:t>
            </w:r>
          </w:p>
          <w:p w14:paraId="79B5AEAE">
            <w:pPr>
              <w:widowControl/>
              <w:numPr>
                <w:ilvl w:val="0"/>
                <w:numId w:val="15"/>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支持灵活配置调整评估量表，并可根据系统评估内容自动生成评估量表，支持打印评估量表。</w:t>
            </w:r>
          </w:p>
          <w:p w14:paraId="7D0F6935">
            <w:pPr>
              <w:widowControl/>
              <w:numPr>
                <w:ilvl w:val="0"/>
                <w:numId w:val="15"/>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支持对已评估内容进行分析，给出ASA分级和麻醉方法建议，医生可采纳建议，也可以自定义建议结果。</w:t>
            </w:r>
          </w:p>
          <w:p w14:paraId="106CB485">
            <w:pPr>
              <w:widowControl/>
              <w:numPr>
                <w:ilvl w:val="0"/>
                <w:numId w:val="15"/>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支持对评估进行终止操作以及取消操作，支持填写终止原因和取消原因。</w:t>
            </w:r>
          </w:p>
          <w:p w14:paraId="3AAA5811">
            <w:pPr>
              <w:numPr>
                <w:ilvl w:val="0"/>
                <w:numId w:val="15"/>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支持对接LIS、PACS、360视图，查看患者的检验报告、检查报告等信息。</w:t>
            </w:r>
          </w:p>
          <w:p w14:paraId="59DE0349">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任务日程管理</w:t>
            </w:r>
          </w:p>
          <w:p w14:paraId="57B3DBA4">
            <w:pPr>
              <w:widowControl/>
              <w:numPr>
                <w:ilvl w:val="0"/>
                <w:numId w:val="16"/>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支持查看本月内每日的工作台数与人次。</w:t>
            </w:r>
          </w:p>
          <w:p w14:paraId="6E2BFB05">
            <w:pPr>
              <w:widowControl/>
              <w:numPr>
                <w:ilvl w:val="0"/>
                <w:numId w:val="16"/>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支持查看本月完成任务数、本日待办任务数、本日完成任务数。</w:t>
            </w:r>
          </w:p>
          <w:p w14:paraId="7B960F09">
            <w:pPr>
              <w:widowControl/>
              <w:numPr>
                <w:ilvl w:val="0"/>
                <w:numId w:val="16"/>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支持查看当前登录用户今日需要办理的相关工作以及工作地点、简要内容。</w:t>
            </w:r>
          </w:p>
          <w:p w14:paraId="7D5EA00E">
            <w:pPr>
              <w:numPr>
                <w:ilvl w:val="0"/>
                <w:numId w:val="16"/>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支持本人查看当前登录用户的工作甘特图，并知悉工作时间、手术间占用情况，合理申请相关手术。</w:t>
            </w:r>
          </w:p>
          <w:p w14:paraId="25A16806">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计费管理子系统</w:t>
            </w:r>
          </w:p>
          <w:p w14:paraId="34005B25">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(1)能够与HIS直接对接，获取医院收费项目，为计费记录提供字典。</w:t>
            </w:r>
          </w:p>
          <w:p w14:paraId="79E1F2F2">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kern w:val="0"/>
                <w:sz w:val="21"/>
                <w:szCs w:val="21"/>
                <w:highlight w:val="none"/>
              </w:rPr>
              <w:t>系统支持麻醉计费和手术计费，能够与his对接，将计费清单上传给HIS，实现患者自动收费，减少科室人员手动录入工作量。</w:t>
            </w:r>
          </w:p>
          <w:p w14:paraId="43C4307F">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(3)</w:t>
            </w:r>
            <w:r>
              <w:rPr>
                <w:rFonts w:hint="eastAsia" w:ascii="宋体" w:hAnsi="宋体" w:eastAsia="宋体" w:cs="宋体"/>
                <w:color w:val="auto"/>
                <w:kern w:val="0"/>
                <w:sz w:val="21"/>
                <w:szCs w:val="21"/>
                <w:highlight w:val="none"/>
              </w:rPr>
              <w:t>系统支持根据麻醉记录的用药记录，自动生成对应的收费项目【要求在投标文件中提供以上内容的系统功能截图，并加盖投标人公章】。</w:t>
            </w:r>
          </w:p>
          <w:p w14:paraId="4907018A">
            <w:pPr>
              <w:widowControl/>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kern w:val="0"/>
                <w:sz w:val="21"/>
                <w:szCs w:val="21"/>
                <w:highlight w:val="none"/>
              </w:rPr>
              <w:t>系统支持计费模板，能够自定义模板内容，通过模板快捷引用，完成计费项目的录入。</w:t>
            </w:r>
          </w:p>
          <w:p w14:paraId="045F1D8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(5)系统支持以快捷点选的形式，完成常用收费项目的快捷录入。</w:t>
            </w:r>
          </w:p>
          <w:p w14:paraId="3CD8DEF9">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PDA端</w:t>
            </w:r>
          </w:p>
          <w:p w14:paraId="1B0FAE3F">
            <w:pPr>
              <w:widowControl/>
              <w:numPr>
                <w:ilvl w:val="0"/>
                <w:numId w:val="17"/>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可接收调度中心/手麻系统发出的患者转运申请单。</w:t>
            </w:r>
          </w:p>
          <w:p w14:paraId="1ACAD019">
            <w:pPr>
              <w:widowControl/>
              <w:numPr>
                <w:ilvl w:val="0"/>
                <w:numId w:val="17"/>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有新的转运申请单时，消息通知中给与提醒。转运申请单分待接和待送2种。</w:t>
            </w:r>
          </w:p>
          <w:p w14:paraId="4434E842">
            <w:pPr>
              <w:widowControl/>
              <w:numPr>
                <w:ilvl w:val="0"/>
                <w:numId w:val="17"/>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护工可对发出的转运申请单进行抢单。</w:t>
            </w:r>
          </w:p>
          <w:p w14:paraId="73EAFC28">
            <w:pPr>
              <w:widowControl/>
              <w:numPr>
                <w:ilvl w:val="0"/>
                <w:numId w:val="17"/>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护工可扫描患者腕带，确认患者身份信息。</w:t>
            </w:r>
          </w:p>
          <w:p w14:paraId="25F0A78A">
            <w:pPr>
              <w:widowControl/>
              <w:numPr>
                <w:ilvl w:val="0"/>
                <w:numId w:val="17"/>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患者接送流程可按时间顺序，生成时间轴，方便</w:t>
            </w:r>
            <w:ins w:id="86" w:author="JDZBzheng" w:date="2026-06-30T11:20:42Z">
              <w:r>
                <w:rPr>
                  <w:rFonts w:hint="eastAsia" w:ascii="宋体" w:hAnsi="宋体" w:eastAsia="宋体" w:cs="宋体"/>
                  <w:color w:val="auto"/>
                  <w:kern w:val="0"/>
                  <w:sz w:val="21"/>
                  <w:szCs w:val="21"/>
                  <w:highlight w:val="none"/>
                  <w:lang w:eastAsia="zh-CN"/>
                </w:rPr>
                <w:t>患者</w:t>
              </w:r>
            </w:ins>
            <w:r>
              <w:rPr>
                <w:rFonts w:hint="eastAsia" w:ascii="宋体" w:hAnsi="宋体" w:eastAsia="宋体" w:cs="宋体"/>
                <w:color w:val="auto"/>
                <w:kern w:val="0"/>
                <w:sz w:val="21"/>
                <w:szCs w:val="21"/>
                <w:highlight w:val="none"/>
              </w:rPr>
              <w:t>全流程管理。</w:t>
            </w:r>
          </w:p>
          <w:p w14:paraId="6B06D43E">
            <w:pPr>
              <w:widowControl/>
              <w:numPr>
                <w:ilvl w:val="0"/>
                <w:numId w:val="17"/>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可连续扫码，将病理标本放入标本库暂存管理。</w:t>
            </w:r>
          </w:p>
          <w:p w14:paraId="3D4D28FB">
            <w:pPr>
              <w:widowControl/>
              <w:numPr>
                <w:ilvl w:val="0"/>
                <w:numId w:val="17"/>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可连续扫码，将病理标本出库，进行下一步转运。</w:t>
            </w:r>
          </w:p>
          <w:p w14:paraId="5C3BC7C8">
            <w:pPr>
              <w:widowControl/>
              <w:numPr>
                <w:ilvl w:val="0"/>
                <w:numId w:val="17"/>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标本送达病理科后，可扫码确认送达，完成标本的闭环管理。</w:t>
            </w:r>
          </w:p>
          <w:p w14:paraId="7ECB7392">
            <w:pPr>
              <w:widowControl/>
              <w:numPr>
                <w:ilvl w:val="0"/>
                <w:numId w:val="17"/>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可对术中重要节点使用pda扫码记录操作人和操作时间，确保事件的准确性</w:t>
            </w:r>
          </w:p>
          <w:p w14:paraId="04A959DE">
            <w:pPr>
              <w:widowControl/>
              <w:numPr>
                <w:ilvl w:val="0"/>
                <w:numId w:val="17"/>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患者手术信息查看和进程查看。</w:t>
            </w:r>
          </w:p>
          <w:p w14:paraId="2807648C">
            <w:pPr>
              <w:numPr>
                <w:ilvl w:val="0"/>
                <w:numId w:val="17"/>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手术护士发送手术接台通知后，可在消息中提醒和查看。</w:t>
            </w:r>
          </w:p>
          <w:p w14:paraId="41687F5E">
            <w:pPr>
              <w:numPr>
                <w:ilvl w:val="0"/>
                <w:numId w:val="3"/>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平板端</w:t>
            </w:r>
          </w:p>
          <w:p w14:paraId="1CA5A9D3">
            <w:pPr>
              <w:widowControl/>
              <w:numPr>
                <w:ilvl w:val="0"/>
                <w:numId w:val="18"/>
              </w:numPr>
              <w:spacing w:line="360" w:lineRule="auto"/>
              <w:ind w:firstLine="420" w:firstLineChars="200"/>
              <w:jc w:val="left"/>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以卡片列表的形式，展示手术患者相关手术信息，包括患者手术日期、安排术间台次、手术名称、麻醉方式等信息。</w:t>
            </w:r>
          </w:p>
          <w:p w14:paraId="5E5AA8AC">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展示查看手术患者相关基本信息，包括姓名、性别、年龄、科室/病区、床号、手术日期、住院号等信息。</w:t>
            </w:r>
          </w:p>
          <w:p w14:paraId="4E17184A">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提供麻醉知情同意书，展示信息如患者姓名、性别、年龄等，术前诊断、拟行手术、拟施麻醉，风险提示如麻醉可能发生的危险、并发症及应注意事项等；支持登记患者特殊病情如并存病或特殊病史说明。</w:t>
            </w:r>
          </w:p>
          <w:p w14:paraId="626B9C38">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系统提供术前访视单格式，能够展示患者术前基本信息如患者姓名、性别、年龄，（术前）诊断、（拟施）手术等，登记综合评估如病史、体格检查、实验室检查等，登记评估ASA分级、麻醉方法与麻醉计划信息、术中风险及防范措施等，生成患者麻醉前术前访视单。</w:t>
            </w:r>
          </w:p>
          <w:p w14:paraId="57469451">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根据术中麻醉的实际情况，及患者在术后恢复的过程中，进行术后随访。系统对术后随访内容进行结构化处理，展示麻醉后访视的手术患者手术相关信息，如患者姓名、性别、年龄，诊断、麻醉方法等；记录患者在术后的并发症等信息，提供整个闭环评估分析的依据。</w:t>
            </w:r>
          </w:p>
          <w:p w14:paraId="0B282057">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对于使用术后镇痛的患者，系统提供镇痛访视功能，展示患者手术镇痛相关信息，如姓名、性别、年龄、术后镇痛给药途径、镇痛配方等；支持镇痛访视内容的填写，如访视时间、镇痛效果、并发症、处理记录等。</w:t>
            </w:r>
          </w:p>
          <w:p w14:paraId="0F385EF0">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支持已完成的麻醉记录单的调阅查看，内容如手术麻醉用药记录、输血、输液、术中事件、出入量情况、患者生命体征趋势图、ASA分级、麻醉方法与手术名称等信息，为科室临床质量评估和质控提供依据。</w:t>
            </w:r>
          </w:p>
          <w:p w14:paraId="76A6DAE4">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支持麻醉小结的调阅查看，如麻醉结束后对手术麻醉过程、麻醉效果、术中麻醉操作进行总结和评价，术中特殊情况及处理方式信息。为科室临床质量评估和质控提供依据。</w:t>
            </w:r>
          </w:p>
          <w:p w14:paraId="1DD51B4B">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可在麻醉开始前、手术开始前、患者离室前对患者进行安全核查。</w:t>
            </w:r>
          </w:p>
          <w:p w14:paraId="7F8999C9">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每个节点都支持手术医生、麻醉医生、手术室护士三方进行签字。</w:t>
            </w:r>
          </w:p>
          <w:p w14:paraId="19F131F1">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支持与医院供应室系统对接，实现器械包全流程闭环管理。</w:t>
            </w:r>
          </w:p>
          <w:p w14:paraId="631A603C">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支持扫描器械包条形码/二维码，显示器械包内器械名称及数量。</w:t>
            </w:r>
          </w:p>
          <w:p w14:paraId="2E59E9F2">
            <w:pPr>
              <w:widowControl/>
              <w:numPr>
                <w:ilvl w:val="0"/>
                <w:numId w:val="18"/>
              </w:numPr>
              <w:spacing w:line="360" w:lineRule="auto"/>
              <w:ind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支持术前清点、术中添加、关腔前、关切口前、封皮后5个节点的器械清点。</w:t>
            </w:r>
          </w:p>
          <w:p w14:paraId="566A4CF6">
            <w:pPr>
              <w:numPr>
                <w:ilvl w:val="0"/>
                <w:numId w:val="18"/>
              </w:num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支持清点操作的护士按节点进行签名。</w:t>
            </w:r>
          </w:p>
          <w:p w14:paraId="48C0B9B6">
            <w:pPr>
              <w:numPr>
                <w:ilvl w:val="0"/>
                <w:numId w:val="0"/>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二、配套硬件</w:t>
            </w:r>
          </w:p>
          <w:p w14:paraId="5CED041F">
            <w:p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1、移动护理工作站 1套</w:t>
            </w:r>
          </w:p>
          <w:p w14:paraId="4BF3AA7F">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1）一体化主机：高度集成一体主机，即主机和显示模块高度集成，方便后续产品维护及主机电脑的升级。</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2）CPU：不低于六核十二线程处理器；内存：不低于8GB；硬盘：固态硬盘不低于256GB；屏幕：≥23.8英寸；分辨率≥1920*1080。</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3）无线网络（WIFI）：支持2.4G/5G双频网络，支持协议802.11a/b/g/n/ac</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 xml:space="preserve">4）操作系统：Windows10及以上。                                                                                                                                                                                                                                                                                                                                                                                                                                                                                                </w:t>
            </w:r>
            <w:r>
              <w:rPr>
                <w:rFonts w:hint="eastAsia" w:ascii="宋体" w:hAnsi="宋体" w:eastAsia="宋体" w:cs="宋体"/>
                <w:color w:val="auto"/>
                <w:kern w:val="0"/>
                <w:sz w:val="21"/>
                <w:szCs w:val="21"/>
                <w:highlight w:val="none"/>
              </w:rPr>
              <w:br w:type="textWrapping"/>
            </w:r>
            <w:bookmarkStart w:id="95" w:name="OLE_LINK48"/>
            <w:bookmarkStart w:id="96" w:name="OLE_LINK44"/>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w:t>
            </w:r>
            <w:bookmarkEnd w:id="95"/>
            <w:bookmarkEnd w:id="96"/>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）电源总开关：车体部分电源总开用于控制整车的所有供电，可在推车长时间闲置时完全关闭电池放电，有效的保护电池，延长电池寿命。</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）双把手：车体双把手环形设计，人性化设计，把手尺寸≥170*40mm，方便移动推拉时脚避开底座。</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lang w:val="en-US" w:eastAsia="zh-CN"/>
              </w:rPr>
              <w:t xml:space="preserve">    7</w:t>
            </w:r>
            <w:r>
              <w:rPr>
                <w:rFonts w:hint="eastAsia" w:ascii="宋体" w:hAnsi="宋体" w:eastAsia="宋体" w:cs="宋体"/>
                <w:color w:val="auto"/>
                <w:kern w:val="0"/>
                <w:sz w:val="21"/>
                <w:szCs w:val="21"/>
                <w:highlight w:val="none"/>
              </w:rPr>
              <w:t>）升降控制面板：升降控制面板位于台车左侧手柄处，采用防误触人性设计，带有升降按钮.</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）工作台面：工作台面有四面凹型塑料围挡，且围挡与工作台面一体成型，防止物品掉落及液体渗漏，方便清洁，工作台面尺寸：≥(长)470mm*（宽）466mm，台面围挡高度≥4.5mm。</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rPr>
              <w:t>）台面扩展接口：台面有≥USB2.0*4PCS，≥TYP-C*1PCS扩展口方便办公扩展用。</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）车体尺寸：车体外观尺寸:≥长649mm*宽490mm*高800mm(台面离地高度800—1100mm升到最高尺寸)，大台面尺寸方便办公，和可</w:t>
            </w:r>
            <w:ins w:id="87" w:author="JDZBzheng" w:date="2026-06-30T11:21:02Z">
              <w:r>
                <w:rPr>
                  <w:rFonts w:hint="eastAsia" w:ascii="宋体" w:hAnsi="宋体" w:eastAsia="宋体" w:cs="宋体"/>
                  <w:color w:val="auto"/>
                  <w:kern w:val="0"/>
                  <w:sz w:val="21"/>
                  <w:szCs w:val="21"/>
                  <w:highlight w:val="none"/>
                  <w:lang w:eastAsia="zh-CN"/>
                </w:rPr>
                <w:t>调</w:t>
              </w:r>
            </w:ins>
            <w:ins w:id="88" w:author="JDZBzheng" w:date="2026-07-01T10:03:55Z">
              <w:r>
                <w:rPr>
                  <w:rFonts w:hint="eastAsia" w:ascii="宋体" w:hAnsi="宋体" w:cs="宋体"/>
                  <w:color w:val="auto"/>
                  <w:kern w:val="0"/>
                  <w:sz w:val="21"/>
                  <w:szCs w:val="21"/>
                  <w:highlight w:val="none"/>
                  <w:lang w:val="en-US" w:eastAsia="zh-CN"/>
                </w:rPr>
                <w:t>节</w:t>
              </w:r>
            </w:ins>
            <w:r>
              <w:rPr>
                <w:rFonts w:hint="eastAsia" w:ascii="宋体" w:hAnsi="宋体" w:eastAsia="宋体" w:cs="宋体"/>
                <w:color w:val="auto"/>
                <w:kern w:val="0"/>
                <w:sz w:val="21"/>
                <w:szCs w:val="21"/>
                <w:highlight w:val="none"/>
              </w:rPr>
              <w:t>任意合适高度办公。</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lang w:val="en-US" w:eastAsia="zh-CN"/>
              </w:rPr>
              <w:t xml:space="preserve">    11）</w:t>
            </w:r>
            <w:r>
              <w:rPr>
                <w:rFonts w:hint="eastAsia" w:ascii="宋体" w:hAnsi="宋体" w:eastAsia="宋体" w:cs="宋体"/>
                <w:color w:val="auto"/>
                <w:kern w:val="0"/>
                <w:sz w:val="21"/>
                <w:szCs w:val="21"/>
                <w:highlight w:val="none"/>
              </w:rPr>
              <w:t>嵌入式电源线：内置台面可伸缩线盘，方便移动无外露线材。</w:t>
            </w:r>
          </w:p>
          <w:p w14:paraId="38EC2BA0">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）整车材质：车体采用抑菌航空铝合金材料+塑胶V0防火材料。</w:t>
            </w:r>
          </w:p>
          <w:p w14:paraId="064110F5">
            <w:pPr>
              <w:spacing w:line="360" w:lineRule="auto"/>
              <w:ind w:firstLine="420" w:firstLineChars="200"/>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）脚轮：4个医疗级万向脚轮；2个前轮带刹车功能，超静音、防滑、防缠绕脚轮</w:t>
            </w:r>
            <w:r>
              <w:rPr>
                <w:rFonts w:hint="eastAsia" w:ascii="宋体" w:hAnsi="宋体" w:eastAsia="宋体" w:cs="宋体"/>
                <w:color w:val="auto"/>
                <w:kern w:val="0"/>
                <w:sz w:val="21"/>
                <w:szCs w:val="21"/>
                <w:highlight w:val="none"/>
                <w:lang w:eastAsia="zh-CN"/>
              </w:rPr>
              <w:t>。</w:t>
            </w:r>
          </w:p>
          <w:p w14:paraId="59815004">
            <w:pPr>
              <w:pStyle w:val="18"/>
              <w:rPr>
                <w:ins w:id="89" w:author="JDZBzheng" w:date="2026-06-30T12:44:19Z"/>
                <w:rFonts w:hint="eastAsia" w:ascii="宋体" w:hAnsi="宋体" w:eastAsia="宋体" w:cs="宋体"/>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）抽屉：采用钣金制作，高强度抽屉，≥1层抽屉。</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）箱体可调高度：箱体可随台面升降，≥300mm【</w:t>
            </w:r>
            <w:ins w:id="90" w:author="JDZBzheng" w:date="2026-06-30T12:44:19Z">
              <w:r>
                <w:rPr>
                  <w:rFonts w:hint="eastAsia" w:ascii="宋体" w:hAnsi="宋体" w:eastAsia="宋体" w:cs="宋体"/>
                  <w:sz w:val="21"/>
                  <w:szCs w:val="21"/>
                  <w:highlight w:val="none"/>
                  <w:lang w:val="en-US" w:eastAsia="zh-CN"/>
                </w:rPr>
                <w:t>投标文件</w:t>
              </w:r>
            </w:ins>
          </w:p>
          <w:p w14:paraId="2EC9F7FC">
            <w:pPr>
              <w:spacing w:line="360" w:lineRule="auto"/>
              <w:ind w:firstLine="420" w:firstLineChars="200"/>
              <w:rPr>
                <w:rFonts w:hint="eastAsia" w:ascii="宋体" w:hAnsi="宋体" w:eastAsia="宋体" w:cs="宋体"/>
                <w:color w:val="auto"/>
                <w:kern w:val="0"/>
                <w:sz w:val="21"/>
                <w:szCs w:val="21"/>
                <w:highlight w:val="none"/>
              </w:rPr>
            </w:pPr>
            <w:ins w:id="91" w:author="JDZBzheng" w:date="2026-06-30T12:44:32Z">
              <w:r>
                <w:rPr>
                  <w:rFonts w:hint="eastAsia" w:ascii="宋体" w:hAnsi="宋体" w:eastAsia="宋体" w:cs="宋体"/>
                  <w:color w:val="auto"/>
                  <w:kern w:val="0"/>
                  <w:sz w:val="21"/>
                  <w:szCs w:val="21"/>
                  <w:highlight w:val="none"/>
                  <w:lang w:val="en-US" w:eastAsia="zh-CN"/>
                </w:rPr>
                <w:t>中</w:t>
              </w:r>
            </w:ins>
            <w:r>
              <w:rPr>
                <w:rFonts w:hint="eastAsia" w:ascii="宋体" w:hAnsi="宋体" w:eastAsia="宋体" w:cs="宋体"/>
                <w:color w:val="auto"/>
                <w:kern w:val="0"/>
                <w:sz w:val="21"/>
                <w:szCs w:val="21"/>
                <w:highlight w:val="none"/>
              </w:rPr>
              <w:t>提供产品彩页或实体照片证明】</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）线缆隐藏：整车线缆隐藏式设计（包含显示模块电源线、数据线等），车体线缆无外露；固定在显示器支架上，可完全贴合显示器后面板，可收纳显示终端电源线及数据线。</w:t>
            </w:r>
          </w:p>
          <w:p w14:paraId="424959E7">
            <w:p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2、麻醉工作站 15 套</w:t>
            </w:r>
          </w:p>
          <w:p w14:paraId="5C06B970">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1)一体机：操作系统：Windows10及以上；CPU≥I5 10代；内存≥8GB；硬盘≥256GB固态硬盘；屏幕≥23.8英寸；分辨率≥1920*1080。</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2) 含配套支架，支持横竖屏旋转切换。</w:t>
            </w:r>
          </w:p>
          <w:p w14:paraId="7249E32C">
            <w:p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3、串口数据采集器 20套</w:t>
            </w:r>
          </w:p>
          <w:p w14:paraId="66D48556">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1）以太网端口数量：</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 xml:space="preserve">1 </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串口端口数量：</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1；串口类型：RS-232。</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2）速率：10/100 Mbps，自适应MDI/MDIX；接头：8针RJ45。</w:t>
            </w:r>
          </w:p>
          <w:p w14:paraId="59CBAE3B">
            <w:p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4、公告大屏 1套</w:t>
            </w:r>
          </w:p>
          <w:p w14:paraId="64C1E95B">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1）≥55寸，显示比例16:9，屏幕图像分辨率达3840*2160，可视角度178°，对比度≥1200:1，亮度≥450cd/㎡。</w:t>
            </w:r>
          </w:p>
          <w:p w14:paraId="2F343C09">
            <w:pPr>
              <w:numPr>
                <w:ilvl w:val="0"/>
                <w:numId w:val="19"/>
              </w:numPr>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平板 4 套</w:t>
            </w:r>
          </w:p>
          <w:p w14:paraId="19FC1527">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1）内存≥8GB。</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2）硬盘≥256GB。</w:t>
            </w:r>
          </w:p>
        </w:tc>
      </w:tr>
      <w:tr w14:paraId="411F5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3AFEE7A6">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17</w:t>
            </w:r>
          </w:p>
        </w:tc>
        <w:tc>
          <w:tcPr>
            <w:tcW w:w="1190" w:type="dxa"/>
            <w:noWrap w:val="0"/>
            <w:vAlign w:val="center"/>
          </w:tcPr>
          <w:p w14:paraId="77522737">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手持式麻醉视频喉镜</w:t>
            </w:r>
          </w:p>
        </w:tc>
        <w:tc>
          <w:tcPr>
            <w:tcW w:w="504" w:type="dxa"/>
            <w:tcBorders>
              <w:right w:val="single" w:color="auto" w:sz="4" w:space="0"/>
            </w:tcBorders>
            <w:noWrap w:val="0"/>
            <w:vAlign w:val="center"/>
          </w:tcPr>
          <w:p w14:paraId="0B1C8DA8">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2</w:t>
            </w:r>
          </w:p>
        </w:tc>
        <w:tc>
          <w:tcPr>
            <w:tcW w:w="507" w:type="dxa"/>
            <w:noWrap w:val="0"/>
            <w:vAlign w:val="center"/>
          </w:tcPr>
          <w:p w14:paraId="17B8AF8B">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5D3F8907">
            <w:pPr>
              <w:widowControl/>
              <w:jc w:val="center"/>
              <w:rPr>
                <w:rFonts w:hint="default" w:ascii="宋体" w:hAnsi="宋体" w:eastAsia="宋体" w:cs="宋体"/>
                <w:i w:val="0"/>
                <w:iCs w:val="0"/>
                <w:color w:val="auto"/>
                <w:sz w:val="22"/>
                <w:szCs w:val="22"/>
                <w:highlight w:val="none"/>
                <w:u w:val="none"/>
                <w:lang w:val="en-US" w:eastAsia="zh-CN" w:bidi="ar"/>
              </w:rPr>
            </w:pPr>
            <w:r>
              <w:rPr>
                <w:rFonts w:hint="eastAsia" w:ascii="宋体" w:hAnsi="宋体" w:cs="宋体"/>
                <w:i w:val="0"/>
                <w:iCs w:val="0"/>
                <w:color w:val="auto"/>
                <w:sz w:val="22"/>
                <w:szCs w:val="22"/>
                <w:highlight w:val="none"/>
                <w:u w:val="none"/>
                <w:lang w:val="en-US" w:eastAsia="zh-CN" w:bidi="ar"/>
              </w:rPr>
              <w:t>4</w:t>
            </w:r>
            <w:ins w:id="92" w:author="JDZBzheng" w:date="2026-06-30T12:25:25Z">
              <w:r>
                <w:rPr>
                  <w:rFonts w:hint="eastAsia" w:ascii="宋体" w:hAnsi="宋体" w:cs="宋体"/>
                  <w:i w:val="0"/>
                  <w:iCs w:val="0"/>
                  <w:color w:val="auto"/>
                  <w:sz w:val="22"/>
                  <w:szCs w:val="22"/>
                  <w:highlight w:val="none"/>
                  <w:u w:val="none"/>
                  <w:lang w:val="en-US" w:eastAsia="zh-CN" w:bidi="ar"/>
                </w:rPr>
                <w:t>0000</w:t>
              </w:r>
            </w:ins>
            <w:ins w:id="93" w:author="JDZBzheng" w:date="2026-06-30T12:25:26Z">
              <w:r>
                <w:rPr>
                  <w:rFonts w:hint="eastAsia" w:ascii="宋体" w:hAnsi="宋体" w:cs="宋体"/>
                  <w:i w:val="0"/>
                  <w:iCs w:val="0"/>
                  <w:color w:val="auto"/>
                  <w:sz w:val="22"/>
                  <w:szCs w:val="22"/>
                  <w:highlight w:val="none"/>
                  <w:u w:val="none"/>
                  <w:lang w:val="en-US" w:eastAsia="zh-CN" w:bidi="ar"/>
                </w:rPr>
                <w:t>.00</w:t>
              </w:r>
            </w:ins>
          </w:p>
        </w:tc>
        <w:tc>
          <w:tcPr>
            <w:tcW w:w="670" w:type="dxa"/>
            <w:shd w:val="clear" w:color="auto" w:fill="auto"/>
            <w:noWrap w:val="0"/>
            <w:vAlign w:val="center"/>
          </w:tcPr>
          <w:p w14:paraId="1E5CF704">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60E5B91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1.喉镜与显示屏一体化结构，便携易用 。</w:t>
            </w:r>
          </w:p>
          <w:p w14:paraId="61E2A217">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▲2.全防水设计，可浸泡消毒。</w:t>
            </w:r>
          </w:p>
          <w:p w14:paraId="6FF18D4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3.镜片精细化设计，为插管提供更大的空间。</w:t>
            </w:r>
          </w:p>
          <w:p w14:paraId="697B94FC">
            <w:pPr>
              <w:pStyle w:val="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ins w:id="94" w:author="JDZBzheng" w:date="2026-06-30T18:58:05Z">
              <w:r>
                <w:rPr>
                  <w:rFonts w:hint="eastAsia" w:ascii="宋体" w:hAnsi="宋体" w:eastAsia="宋体" w:cs="宋体"/>
                  <w:sz w:val="21"/>
                  <w:szCs w:val="21"/>
                  <w:highlight w:val="none"/>
                  <w:lang w:val="en-US" w:eastAsia="zh-CN"/>
                </w:rPr>
                <w:t>一次充满电的时间</w:t>
              </w:r>
            </w:ins>
            <w:ins w:id="95" w:author="JDZBzheng" w:date="2026-06-30T18:58:14Z">
              <w:r>
                <w:rPr>
                  <w:rFonts w:hint="eastAsia" w:ascii="宋体" w:hAnsi="宋体" w:eastAsia="宋体" w:cs="宋体"/>
                  <w:sz w:val="21"/>
                  <w:szCs w:val="21"/>
                  <w:highlight w:val="none"/>
                  <w:lang w:val="en-US" w:eastAsia="zh-CN"/>
                </w:rPr>
                <w:t>：</w:t>
              </w:r>
            </w:ins>
            <w:r>
              <w:rPr>
                <w:rFonts w:hint="eastAsia" w:ascii="宋体" w:hAnsi="宋体" w:eastAsia="宋体" w:cs="宋体"/>
                <w:color w:val="auto"/>
                <w:sz w:val="21"/>
                <w:szCs w:val="21"/>
                <w:highlight w:val="none"/>
              </w:rPr>
              <w:t>≤3h。</w:t>
            </w:r>
          </w:p>
          <w:p w14:paraId="5ED93F1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5.视频喉镜的全金属框架。</w:t>
            </w:r>
          </w:p>
          <w:p w14:paraId="342779A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●6.USB读取与存储，容量≥16G TF卡。</w:t>
            </w:r>
          </w:p>
          <w:p w14:paraId="3403601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●7.镜头像素：≥200万。</w:t>
            </w:r>
          </w:p>
          <w:p w14:paraId="4FEC614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8.显示器可上下左右双方向旋转。</w:t>
            </w:r>
          </w:p>
          <w:p w14:paraId="1F0BC8BA">
            <w:pPr>
              <w:wordWrap w:val="0"/>
              <w:spacing w:line="440" w:lineRule="exact"/>
              <w:rPr>
                <w:rFonts w:hint="eastAsia" w:ascii="宋体" w:hAnsi="宋体" w:eastAsia="宋体" w:cs="宋体"/>
                <w:color w:val="auto"/>
                <w:sz w:val="21"/>
                <w:szCs w:val="21"/>
                <w:highlight w:val="none"/>
              </w:rPr>
            </w:pPr>
            <w:bookmarkStart w:id="97" w:name="OLE_LINK52"/>
            <w:bookmarkStart w:id="98" w:name="OLE_LINK51"/>
            <w:r>
              <w:rPr>
                <w:rFonts w:hint="eastAsia" w:ascii="宋体" w:hAnsi="宋体" w:eastAsia="宋体" w:cs="宋体"/>
                <w:color w:val="auto"/>
                <w:sz w:val="21"/>
                <w:szCs w:val="21"/>
                <w:highlight w:val="none"/>
              </w:rPr>
              <w:t>9.内置电源：可充电高能聚合物锂电池3.7V DC，≥2000mAh。</w:t>
            </w:r>
          </w:p>
          <w:bookmarkEnd w:id="97"/>
          <w:bookmarkEnd w:id="98"/>
          <w:p w14:paraId="3D1D748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10.工作时间：≥300min。</w:t>
            </w:r>
          </w:p>
          <w:p w14:paraId="14C317D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▲11.显示器规格：约 3.5英寸显示屏。</w:t>
            </w:r>
          </w:p>
          <w:p w14:paraId="6492383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●12.背光方式：LED（5Pcs）。</w:t>
            </w:r>
          </w:p>
          <w:p w14:paraId="3DDD58F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▲13.屏幕比例：4:3。</w:t>
            </w:r>
          </w:p>
          <w:p w14:paraId="05BEE41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bookmarkStart w:id="99" w:name="OLE_LINK53"/>
            <w:bookmarkStart w:id="100" w:name="OLE_LINK54"/>
            <w:r>
              <w:rPr>
                <w:rFonts w:hint="eastAsia" w:ascii="宋体" w:hAnsi="宋体" w:eastAsia="宋体" w:cs="宋体"/>
                <w:color w:val="auto"/>
                <w:sz w:val="21"/>
                <w:szCs w:val="21"/>
                <w:highlight w:val="none"/>
              </w:rPr>
              <w:t>电压输入：DC 3.3V-5V。</w:t>
            </w:r>
          </w:p>
          <w:bookmarkEnd w:id="99"/>
          <w:bookmarkEnd w:id="100"/>
          <w:p w14:paraId="4395B53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15.电流输入：240±10mA。</w:t>
            </w:r>
          </w:p>
          <w:p w14:paraId="49F9A29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16.最大功率：≤1.8W。</w:t>
            </w:r>
          </w:p>
          <w:p w14:paraId="2ED1C8B8">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17.低电量屏幕显示功能。</w:t>
            </w:r>
          </w:p>
          <w:p w14:paraId="42EABDC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18.一次性视频喉镜片为医用级高分子材料。</w:t>
            </w:r>
          </w:p>
          <w:p w14:paraId="7B98263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▲19.视场角：50 -65 º</w:t>
            </w:r>
          </w:p>
          <w:p w14:paraId="757ABA2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▲20.景深：5mm-50mm</w:t>
            </w:r>
          </w:p>
          <w:p w14:paraId="627B9DB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▲21.“一镜五片”，一支喉镜手柄可与多种不同规格的镜片匹配使用。</w:t>
            </w:r>
          </w:p>
          <w:p w14:paraId="4FFCF610">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22、充电方式，连接充电线即可以使用</w:t>
            </w:r>
          </w:p>
          <w:p w14:paraId="010D93F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23.高清数字化系统芯片。</w:t>
            </w:r>
          </w:p>
          <w:p w14:paraId="31C903EB">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24.一键拍照/录像功能。</w:t>
            </w:r>
          </w:p>
          <w:p w14:paraId="020E4D7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▲25.光照度：≥150 Lux。</w:t>
            </w:r>
          </w:p>
          <w:p w14:paraId="18EE55D6">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26.具有充电指示功能。</w:t>
            </w:r>
          </w:p>
        </w:tc>
      </w:tr>
      <w:tr w14:paraId="66646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7DE2FE0D">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18</w:t>
            </w:r>
          </w:p>
        </w:tc>
        <w:tc>
          <w:tcPr>
            <w:tcW w:w="1190" w:type="dxa"/>
            <w:noWrap w:val="0"/>
            <w:vAlign w:val="center"/>
          </w:tcPr>
          <w:p w14:paraId="37B824D1">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脑组织氧饱和度监测仪</w:t>
            </w:r>
          </w:p>
        </w:tc>
        <w:tc>
          <w:tcPr>
            <w:tcW w:w="504" w:type="dxa"/>
            <w:tcBorders>
              <w:right w:val="single" w:color="auto" w:sz="4" w:space="0"/>
            </w:tcBorders>
            <w:noWrap w:val="0"/>
            <w:vAlign w:val="center"/>
          </w:tcPr>
          <w:p w14:paraId="722F9B8F">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w:t>
            </w:r>
          </w:p>
        </w:tc>
        <w:tc>
          <w:tcPr>
            <w:tcW w:w="507" w:type="dxa"/>
            <w:noWrap w:val="0"/>
            <w:vAlign w:val="center"/>
          </w:tcPr>
          <w:p w14:paraId="7EAF61B7">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143152A5">
            <w:pPr>
              <w:widowControl/>
              <w:jc w:val="center"/>
              <w:rPr>
                <w:rFonts w:hint="default" w:ascii="宋体" w:hAnsi="宋体" w:eastAsia="宋体" w:cs="宋体"/>
                <w:i w:val="0"/>
                <w:iCs w:val="0"/>
                <w:color w:val="auto"/>
                <w:sz w:val="22"/>
                <w:szCs w:val="22"/>
                <w:highlight w:val="none"/>
                <w:u w:val="none"/>
                <w:lang w:val="en-US" w:eastAsia="zh-CN" w:bidi="ar"/>
              </w:rPr>
            </w:pPr>
            <w:ins w:id="96" w:author="JDZBzheng" w:date="2026-06-30T12:25:30Z">
              <w:r>
                <w:rPr>
                  <w:rFonts w:hint="eastAsia" w:ascii="宋体" w:hAnsi="宋体" w:cs="宋体"/>
                  <w:i w:val="0"/>
                  <w:iCs w:val="0"/>
                  <w:color w:val="auto"/>
                  <w:sz w:val="22"/>
                  <w:szCs w:val="22"/>
                  <w:highlight w:val="none"/>
                  <w:u w:val="none"/>
                  <w:lang w:val="en-US" w:eastAsia="zh-CN" w:bidi="ar"/>
                </w:rPr>
                <w:t>2</w:t>
              </w:r>
            </w:ins>
            <w:ins w:id="97" w:author="JDZBzheng" w:date="2026-06-30T12:25:31Z">
              <w:r>
                <w:rPr>
                  <w:rFonts w:hint="eastAsia" w:ascii="宋体" w:hAnsi="宋体" w:cs="宋体"/>
                  <w:i w:val="0"/>
                  <w:iCs w:val="0"/>
                  <w:color w:val="auto"/>
                  <w:sz w:val="22"/>
                  <w:szCs w:val="22"/>
                  <w:highlight w:val="none"/>
                  <w:u w:val="none"/>
                  <w:lang w:val="en-US" w:eastAsia="zh-CN" w:bidi="ar"/>
                </w:rPr>
                <w:t>5000</w:t>
              </w:r>
            </w:ins>
            <w:ins w:id="98" w:author="JDZBzheng" w:date="2026-06-30T12:25:32Z">
              <w:r>
                <w:rPr>
                  <w:rFonts w:hint="eastAsia" w:ascii="宋体" w:hAnsi="宋体" w:cs="宋体"/>
                  <w:i w:val="0"/>
                  <w:iCs w:val="0"/>
                  <w:color w:val="auto"/>
                  <w:sz w:val="22"/>
                  <w:szCs w:val="22"/>
                  <w:highlight w:val="none"/>
                  <w:u w:val="none"/>
                  <w:lang w:val="en-US" w:eastAsia="zh-CN" w:bidi="ar"/>
                </w:rPr>
                <w:t>0.00</w:t>
              </w:r>
            </w:ins>
          </w:p>
        </w:tc>
        <w:tc>
          <w:tcPr>
            <w:tcW w:w="670" w:type="dxa"/>
            <w:shd w:val="clear" w:color="auto" w:fill="auto"/>
            <w:noWrap w:val="0"/>
            <w:vAlign w:val="center"/>
          </w:tcPr>
          <w:p w14:paraId="40029812">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26129445">
            <w:pPr>
              <w:wordWrap w:val="0"/>
              <w:spacing w:line="440" w:lineRule="exact"/>
              <w:rPr>
                <w:rFonts w:hint="eastAsia" w:ascii="宋体" w:hAnsi="宋体" w:eastAsia="宋体" w:cs="宋体"/>
                <w:color w:val="auto"/>
                <w:sz w:val="21"/>
                <w:szCs w:val="21"/>
                <w:highlight w:val="none"/>
              </w:rPr>
            </w:pPr>
            <w:bookmarkStart w:id="101" w:name="OLE_LINK95"/>
            <w:bookmarkStart w:id="102" w:name="OLE_LINK94"/>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核心技术参数</w:t>
            </w:r>
          </w:p>
          <w:p w14:paraId="11E3821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监测大脑或局部组织血氧饱和度（rSO2）。监测参数包含：rSO2、信号质量SQI、AUC、AUT、TUT、基线（BL）、ΔBL、ΔO2Hb\O2HbI、ΔHHb\HHbI、ΔtHb\tHbI、ΔTHI、THI，提供连续、无创、精确的脑组织和局部组织氧饱和度系列参数值。</w:t>
            </w:r>
          </w:p>
          <w:p w14:paraId="25955F3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2.显示屏幕：≥12.1英寸，显示比例16:9，分辨率</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1280*800，亮度不少于5档可调节。</w:t>
            </w:r>
          </w:p>
          <w:p w14:paraId="7851AD9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3.具备中文及英文交互界面，支持中文输入。（提供设备界面证明）</w:t>
            </w:r>
          </w:p>
          <w:p w14:paraId="5C2D044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▲4.具备3种及以上操作方式：触摸屏+实体快捷键+手势交互；支持手势交互功能，允许用户根据个人临床工作习惯，自定义设置不少于13种对话框（任意组合），不少于8种常用热键。</w:t>
            </w:r>
          </w:p>
          <w:p w14:paraId="5C74BD9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5.具备基线值（BL）、基线值变化量（ΔBL），可根据患者当前情况手动设置基线值，一秒内刷新，无需倒计时等待</w:t>
            </w:r>
          </w:p>
          <w:p w14:paraId="1E150A7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6.具有≥9种监测状态报警提示，包括：传感器连接失败、传感器位置错误、传感器不稳定、环境光过强、模块未连接、传感器未连接、电池电量低、超过上限、低于下限；</w:t>
            </w:r>
          </w:p>
          <w:p w14:paraId="5EE808F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7.报警音量≥10档可调；报警静音1-60min可调；</w:t>
            </w:r>
          </w:p>
          <w:p w14:paraId="7931467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8.可在监测或未监测状态下开关任意通道；可开关任意通道的氧合、还原、总血红蛋白浓度变化量的数据波形窗口。</w:t>
            </w:r>
          </w:p>
          <w:p w14:paraId="2F1D6BC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▲9.传感器采用≥4波长非激光光源，配备双路光电接收器；对不同年龄、性别、颅骨密度、厚度、肤色差，提供更准确的数值。</w:t>
            </w:r>
          </w:p>
          <w:p w14:paraId="0086C34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▲10.一次性及重复性传感器均需具备单独注册证；重复性传感器具备“</w:t>
            </w:r>
            <w:bookmarkStart w:id="103" w:name="OLE_LINK92"/>
            <w:bookmarkStart w:id="104" w:name="OLE_LINK93"/>
            <w:r>
              <w:rPr>
                <w:rFonts w:hint="eastAsia" w:ascii="宋体" w:hAnsi="宋体" w:eastAsia="宋体" w:cs="宋体"/>
                <w:color w:val="auto"/>
                <w:sz w:val="21"/>
                <w:szCs w:val="21"/>
                <w:highlight w:val="none"/>
              </w:rPr>
              <w:t>重复性使用</w:t>
            </w:r>
            <w:bookmarkEnd w:id="103"/>
            <w:bookmarkEnd w:id="104"/>
            <w:r>
              <w:rPr>
                <w:rFonts w:hint="eastAsia" w:ascii="宋体" w:hAnsi="宋体" w:eastAsia="宋体" w:cs="宋体"/>
                <w:color w:val="auto"/>
                <w:sz w:val="21"/>
                <w:szCs w:val="21"/>
                <w:highlight w:val="none"/>
              </w:rPr>
              <w:t>”，并保证临床重复使用功能。</w:t>
            </w:r>
            <w:bookmarkStart w:id="105" w:name="OLE_LINK58"/>
            <w:bookmarkStart w:id="106" w:name="OLE_LINK57"/>
            <w:r>
              <w:rPr>
                <w:rFonts w:hint="eastAsia" w:ascii="宋体" w:hAnsi="宋体" w:eastAsia="宋体" w:cs="宋体"/>
                <w:color w:val="auto"/>
                <w:sz w:val="21"/>
                <w:szCs w:val="21"/>
                <w:highlight w:val="none"/>
              </w:rPr>
              <w:t>【要求在投标文件中提供具备“重复性使用”功能的证明材料来佐证，相关证明材料可以是产品的相关临床试验报告或第三方检测（检验）机构出具的检测（检验）报告或产品印刷的宣传彩页或产品技术说明书或产品注册证，具备其中一个项即可。】</w:t>
            </w:r>
            <w:bookmarkEnd w:id="105"/>
            <w:bookmarkEnd w:id="106"/>
          </w:p>
          <w:p w14:paraId="625BAF0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11.传感器光源单芯片集成 ≥5种波长、2个接受器配合可形成10条光源路径；光源芯片面积≥5mm*5mm；单颗接芯片面积≥10mm*8mm。提供使用说明书、企业承诺证明）</w:t>
            </w:r>
          </w:p>
          <w:p w14:paraId="233A699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12.具备≥10种型号的一次性/重复性传感器可选；重复性传感器均配备专用替换凝胶、替换工具、辅助固定头带。</w:t>
            </w:r>
          </w:p>
          <w:p w14:paraId="42F6E5F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▲13.测量精准度：相对于颈内静脉与桡动脉氧饱和度值的加权值相关系数为≥0.95，标准差≤2.5%，偏差为0.25%。</w:t>
            </w:r>
            <w:bookmarkStart w:id="107" w:name="OLE_LINK60"/>
            <w:bookmarkStart w:id="108" w:name="OLE_LINK59"/>
            <w:r>
              <w:rPr>
                <w:rFonts w:hint="eastAsia" w:ascii="宋体" w:hAnsi="宋体" w:eastAsia="宋体" w:cs="宋体"/>
                <w:color w:val="auto"/>
                <w:sz w:val="21"/>
                <w:szCs w:val="21"/>
                <w:highlight w:val="none"/>
              </w:rPr>
              <w:t>【要求在投标文件中提供相关</w:t>
            </w:r>
            <w:r>
              <w:rPr>
                <w:rFonts w:hint="eastAsia" w:ascii="宋体" w:hAnsi="宋体" w:cs="宋体"/>
                <w:color w:val="auto"/>
                <w:sz w:val="21"/>
                <w:szCs w:val="21"/>
                <w:highlight w:val="none"/>
                <w:lang w:eastAsia="zh-CN"/>
              </w:rPr>
              <w:t>证</w:t>
            </w:r>
            <w:r>
              <w:rPr>
                <w:rFonts w:hint="eastAsia" w:ascii="宋体" w:hAnsi="宋体" w:eastAsia="宋体" w:cs="宋体"/>
                <w:color w:val="auto"/>
                <w:sz w:val="21"/>
                <w:szCs w:val="21"/>
                <w:highlight w:val="none"/>
              </w:rPr>
              <w:t>明材料来佐证，相关证明材料可以是产品的相关临床试验报告或第三方检测（检验）机构出具的检测（检验）报告或产品印刷的宣传彩页或产品技术说明书或产品注册证，具备其中一个项即可。】</w:t>
            </w:r>
            <w:bookmarkEnd w:id="107"/>
            <w:bookmarkEnd w:id="108"/>
          </w:p>
          <w:p w14:paraId="5A1297C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配套独立的专用电脑端数据监测与处理软件，包含：实时数据大屏显示、数据处理与分析、病例报告输出等功能，通过软件可对部分参数定义重置（如基线值调整为理想值），自动采集异常波动时间、事件标签记录等。</w:t>
            </w:r>
          </w:p>
          <w:p w14:paraId="0AD0F3B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15.菜单栏可随意切换，点击屏幕任意空白处可关闭当前对话框，也可直接切换下一个对话框。</w:t>
            </w:r>
          </w:p>
          <w:p w14:paraId="450398D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16.内置操作说明，包含：应用人群、操作流程、传感器使用、通道窗口示例等。（提供设备界面证明）</w:t>
            </w:r>
          </w:p>
          <w:p w14:paraId="2604772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●17.具备事件标签功能，应用场景≥6个，每种场景≥80个固定常用事件标签，合计≥300个固定常用标签，也可手动新增事件标签。（</w:t>
            </w:r>
            <w:ins w:id="99" w:author="JDZBzheng" w:date="2026-06-30T18:26:48Z">
              <w:r>
                <w:rPr>
                  <w:rFonts w:hint="eastAsia" w:ascii="宋体" w:hAnsi="宋体" w:eastAsia="宋体" w:cs="宋体"/>
                  <w:color w:val="auto"/>
                  <w:sz w:val="21"/>
                  <w:szCs w:val="21"/>
                  <w:highlight w:val="none"/>
                </w:rPr>
                <w:t>投标人须在投标文件</w:t>
              </w:r>
            </w:ins>
            <w:ins w:id="100" w:author="JDZBzheng" w:date="2026-06-30T18:26:48Z">
              <w:r>
                <w:rPr>
                  <w:rFonts w:hint="eastAsia" w:ascii="宋体" w:hAnsi="宋体" w:eastAsia="宋体" w:cs="宋体"/>
                  <w:color w:val="auto"/>
                  <w:sz w:val="21"/>
                  <w:szCs w:val="21"/>
                  <w:highlight w:val="none"/>
                  <w:lang w:val="en-US" w:eastAsia="zh-CN"/>
                </w:rPr>
                <w:t>中</w:t>
              </w:r>
            </w:ins>
            <w:ins w:id="101" w:author="JDZBzheng" w:date="2026-06-30T18:26:48Z">
              <w:r>
                <w:rPr>
                  <w:rFonts w:hint="eastAsia" w:ascii="宋体" w:hAnsi="宋体" w:eastAsia="宋体" w:cs="宋体"/>
                  <w:color w:val="auto"/>
                  <w:sz w:val="21"/>
                  <w:szCs w:val="21"/>
                  <w:highlight w:val="none"/>
                </w:rPr>
                <w:t>提供设备界面证明</w:t>
              </w:r>
            </w:ins>
            <w:ins w:id="102" w:author="JDZBzheng" w:date="2026-06-30T18:26:48Z">
              <w:r>
                <w:rPr>
                  <w:rFonts w:hint="eastAsia" w:ascii="宋体" w:hAnsi="宋体" w:eastAsia="宋体" w:cs="宋体"/>
                  <w:color w:val="auto"/>
                  <w:sz w:val="21"/>
                  <w:szCs w:val="21"/>
                  <w:highlight w:val="none"/>
                  <w:lang w:val="en-US" w:eastAsia="zh-CN"/>
                </w:rPr>
                <w:t>材料</w:t>
              </w:r>
            </w:ins>
            <w:ins w:id="103" w:author="JDZBzheng" w:date="2026-07-01T15:03:09Z">
              <w:r>
                <w:rPr>
                  <w:rFonts w:hint="eastAsia" w:ascii="宋体" w:hAnsi="宋体" w:cs="宋体"/>
                  <w:color w:val="auto"/>
                  <w:sz w:val="21"/>
                  <w:szCs w:val="21"/>
                  <w:highlight w:val="none"/>
                  <w:lang w:val="en-US" w:eastAsia="zh-CN"/>
                </w:rPr>
                <w:t>。</w:t>
              </w:r>
            </w:ins>
            <w:r>
              <w:rPr>
                <w:rFonts w:hint="eastAsia" w:ascii="宋体" w:hAnsi="宋体" w:eastAsia="宋体" w:cs="宋体"/>
                <w:color w:val="auto"/>
                <w:sz w:val="21"/>
                <w:szCs w:val="21"/>
                <w:highlight w:val="none"/>
              </w:rPr>
              <w:t>）</w:t>
            </w:r>
          </w:p>
          <w:p w14:paraId="31E52F8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18.趋势线的纵轴设置区间：-200~200，横轴设置区间：5min-24h；</w:t>
            </w:r>
          </w:p>
          <w:p w14:paraId="4E6EF4C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19.具备界面合并功能，切换大字体显示时，可显示所有参数波形。</w:t>
            </w:r>
          </w:p>
          <w:p w14:paraId="1BF49ACE">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20.具备不同通道的数据波形在同一个数轴内显示。（提供设备界面证明）</w:t>
            </w:r>
          </w:p>
          <w:p w14:paraId="7A17AD6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21.连续监测时间≥5000小时，储存刷新率≤2秒；可存储≥200万条病人数据；</w:t>
            </w:r>
          </w:p>
          <w:p w14:paraId="5E6FCA09">
            <w:pPr>
              <w:wordWrap w:val="0"/>
              <w:spacing w:line="440" w:lineRule="exact"/>
              <w:rPr>
                <w:ins w:id="104" w:author="JDZBzheng" w:date="2026-06-30T19:01:47Z"/>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22.具备皮肤检查功能，自检时长可设置为1-12小时。</w:t>
            </w:r>
          </w:p>
          <w:p w14:paraId="03272D7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23.备用电源：内置可充电锂电池，无需工具拆装，工作时间≥5小时；</w:t>
            </w:r>
          </w:p>
          <w:p w14:paraId="32EB41A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24.设备内置交流电适配器，使用年限10年。</w:t>
            </w:r>
          </w:p>
          <w:p w14:paraId="0854211D">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其他要求</w:t>
            </w:r>
          </w:p>
          <w:p w14:paraId="7569AE49">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1.电源：</w:t>
            </w:r>
            <w:r>
              <w:rPr>
                <w:rFonts w:hint="eastAsia" w:ascii="宋体" w:hAnsi="宋体" w:eastAsia="宋体" w:cs="宋体"/>
                <w:color w:val="auto"/>
                <w:sz w:val="21"/>
                <w:szCs w:val="21"/>
                <w:highlight w:val="none"/>
              </w:rPr>
              <w:t>外部交流电源：</w:t>
            </w:r>
            <w:r>
              <w:rPr>
                <w:rFonts w:hint="eastAsia" w:ascii="宋体" w:hAnsi="宋体" w:eastAsia="宋体" w:cs="宋体"/>
                <w:color w:val="auto"/>
                <w:sz w:val="21"/>
                <w:szCs w:val="21"/>
                <w:highlight w:val="none"/>
                <w:lang w:val="en-US" w:eastAsia="zh-CN"/>
              </w:rPr>
              <w:t>AC:220V</w:t>
            </w:r>
          </w:p>
          <w:p w14:paraId="2EE640E3">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2.使用年限：不少于10年。</w:t>
            </w:r>
            <w:bookmarkEnd w:id="101"/>
            <w:bookmarkEnd w:id="102"/>
          </w:p>
        </w:tc>
      </w:tr>
      <w:tr w14:paraId="408BE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24565716">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19</w:t>
            </w:r>
          </w:p>
        </w:tc>
        <w:tc>
          <w:tcPr>
            <w:tcW w:w="1190" w:type="dxa"/>
            <w:noWrap w:val="0"/>
            <w:vAlign w:val="center"/>
          </w:tcPr>
          <w:p w14:paraId="617203BC">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多导睡眠呼吸监测仪</w:t>
            </w:r>
          </w:p>
        </w:tc>
        <w:tc>
          <w:tcPr>
            <w:tcW w:w="504" w:type="dxa"/>
            <w:tcBorders>
              <w:right w:val="single" w:color="auto" w:sz="4" w:space="0"/>
            </w:tcBorders>
            <w:noWrap w:val="0"/>
            <w:vAlign w:val="center"/>
          </w:tcPr>
          <w:p w14:paraId="3B7F4A9A">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1</w:t>
            </w:r>
          </w:p>
        </w:tc>
        <w:tc>
          <w:tcPr>
            <w:tcW w:w="507" w:type="dxa"/>
            <w:noWrap w:val="0"/>
            <w:vAlign w:val="center"/>
          </w:tcPr>
          <w:p w14:paraId="62DB0180">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台</w:t>
            </w:r>
          </w:p>
        </w:tc>
        <w:tc>
          <w:tcPr>
            <w:tcW w:w="1265" w:type="dxa"/>
            <w:shd w:val="clear" w:color="auto" w:fill="auto"/>
            <w:noWrap w:val="0"/>
            <w:vAlign w:val="center"/>
          </w:tcPr>
          <w:p w14:paraId="38E78DB7">
            <w:pPr>
              <w:widowControl/>
              <w:jc w:val="center"/>
              <w:rPr>
                <w:rFonts w:hint="default" w:ascii="宋体" w:hAnsi="宋体" w:eastAsia="宋体" w:cs="宋体"/>
                <w:i w:val="0"/>
                <w:iCs w:val="0"/>
                <w:color w:val="auto"/>
                <w:sz w:val="22"/>
                <w:szCs w:val="22"/>
                <w:highlight w:val="none"/>
                <w:u w:val="none"/>
                <w:lang w:val="en-US" w:eastAsia="zh-CN" w:bidi="ar"/>
              </w:rPr>
            </w:pPr>
            <w:ins w:id="105" w:author="JDZBzheng" w:date="2026-06-30T12:25:38Z">
              <w:r>
                <w:rPr>
                  <w:rFonts w:hint="eastAsia" w:ascii="宋体" w:hAnsi="宋体" w:cs="宋体"/>
                  <w:i w:val="0"/>
                  <w:iCs w:val="0"/>
                  <w:color w:val="auto"/>
                  <w:sz w:val="22"/>
                  <w:szCs w:val="22"/>
                  <w:highlight w:val="none"/>
                  <w:u w:val="none"/>
                  <w:lang w:val="en-US" w:eastAsia="zh-CN" w:bidi="ar"/>
                </w:rPr>
                <w:t>2</w:t>
              </w:r>
            </w:ins>
            <w:ins w:id="106" w:author="JDZBzheng" w:date="2026-06-30T12:25:39Z">
              <w:r>
                <w:rPr>
                  <w:rFonts w:hint="eastAsia" w:ascii="宋体" w:hAnsi="宋体" w:cs="宋体"/>
                  <w:i w:val="0"/>
                  <w:iCs w:val="0"/>
                  <w:color w:val="auto"/>
                  <w:sz w:val="22"/>
                  <w:szCs w:val="22"/>
                  <w:highlight w:val="none"/>
                  <w:u w:val="none"/>
                  <w:lang w:val="en-US" w:eastAsia="zh-CN" w:bidi="ar"/>
                </w:rPr>
                <w:t>5000</w:t>
              </w:r>
            </w:ins>
            <w:ins w:id="107" w:author="JDZBzheng" w:date="2026-06-30T12:25:40Z">
              <w:r>
                <w:rPr>
                  <w:rFonts w:hint="eastAsia" w:ascii="宋体" w:hAnsi="宋体" w:cs="宋体"/>
                  <w:i w:val="0"/>
                  <w:iCs w:val="0"/>
                  <w:color w:val="auto"/>
                  <w:sz w:val="22"/>
                  <w:szCs w:val="22"/>
                  <w:highlight w:val="none"/>
                  <w:u w:val="none"/>
                  <w:lang w:val="en-US" w:eastAsia="zh-CN" w:bidi="ar"/>
                </w:rPr>
                <w:t>0.00</w:t>
              </w:r>
            </w:ins>
          </w:p>
        </w:tc>
        <w:tc>
          <w:tcPr>
            <w:tcW w:w="670" w:type="dxa"/>
            <w:shd w:val="clear" w:color="auto" w:fill="auto"/>
            <w:noWrap w:val="0"/>
            <w:vAlign w:val="center"/>
          </w:tcPr>
          <w:p w14:paraId="5B48D6CE">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465" w:type="dxa"/>
            <w:noWrap w:val="0"/>
            <w:vAlign w:val="center"/>
          </w:tcPr>
          <w:p w14:paraId="70C9D42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1.系统通道数：包括心电、体位、脑电、眼动电、下颌肌电、腿动、脉率、血氧饱和度、呼吸、体动、鼾声等。</w:t>
            </w:r>
          </w:p>
          <w:p w14:paraId="5A550564">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2.连接方式：非接触式生物雷达或导联式，支持无线数据传输。 </w:t>
            </w:r>
          </w:p>
          <w:p w14:paraId="634DFCB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3.设备需具备多通道生理信号同步采集能力，支持同时监测脑电、心电、眼动电、下颌肌电、腿动、呼吸体动及脉搏血氧等不少于7种生理指标，且各传感器支持一体化集成或便捷组合包装。</w:t>
            </w:r>
          </w:p>
          <w:p w14:paraId="5119A333">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4.长程连续监测与供电能力：核心监测模块（如脑电、脉搏血氧等）需具备独立供电能力（如内置电池），支持不少于24小时的连续体征数据采集和历史数据展示</w:t>
            </w:r>
            <w:ins w:id="108" w:author="JDZBzheng" w:date="2026-06-30T11:21:45Z">
              <w:r>
                <w:rPr>
                  <w:rFonts w:hint="eastAsia" w:ascii="宋体" w:hAnsi="宋体" w:eastAsia="宋体" w:cs="宋体"/>
                  <w:color w:val="auto"/>
                  <w:sz w:val="21"/>
                  <w:szCs w:val="21"/>
                  <w:highlight w:val="none"/>
                  <w:lang w:eastAsia="zh-CN"/>
                </w:rPr>
                <w:t>。</w:t>
              </w:r>
            </w:ins>
          </w:p>
          <w:p w14:paraId="0B578781">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5.无耗材，贴片式生物传感器按需配置，无导联线。</w:t>
            </w:r>
          </w:p>
          <w:p w14:paraId="790D8CB5">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6.脉搏血氧传感器：可穿戴指环形态，无导联线，无线连接。</w:t>
            </w:r>
          </w:p>
          <w:p w14:paraId="47B692B6">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7.呼吸体动传感器：非接触生物雷达设计，无导联线；无线连接，支持实时数据传输。呼吸测量误差：</w:t>
            </w:r>
            <w:r>
              <w:rPr>
                <w:rFonts w:hint="eastAsia" w:ascii="宋体" w:hAnsi="宋体" w:eastAsia="宋体" w:cs="宋体"/>
                <w:color w:val="auto"/>
                <w:sz w:val="21"/>
                <w:szCs w:val="21"/>
                <w:highlight w:val="none"/>
                <w:lang w:val="en-US" w:eastAsia="zh-CN"/>
              </w:rPr>
              <w:t>15次</w:t>
            </w:r>
            <w:r>
              <w:rPr>
                <w:rFonts w:hint="eastAsia" w:ascii="宋体" w:hAnsi="宋体" w:eastAsia="宋体" w:cs="宋体"/>
                <w:color w:val="auto"/>
                <w:sz w:val="21"/>
                <w:szCs w:val="21"/>
                <w:highlight w:val="none"/>
              </w:rPr>
              <w:t>/分—20次/分范围内，误差为±1次/分；9次/分—14次/分、21次/分—60次/分范围内，误差为±2次/分。</w:t>
            </w:r>
          </w:p>
          <w:p w14:paraId="2824A32A">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8.具备儿童、成人两种分析系统。</w:t>
            </w:r>
          </w:p>
          <w:p w14:paraId="35345C8F">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▲9.采集分析并自动出具睡眠报告，包括心电、体位、脑电、眼动电、下颌肌电、腿动、脉率、血氧饱和度、呼吸、体动、鼾声等不少于11种睡眠分析数据。</w:t>
            </w:r>
          </w:p>
          <w:p w14:paraId="490A30BC">
            <w:pPr>
              <w:wordWrap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▲10.可自动对微觉醒进行分类，并具备统计微觉醒在各睡眠期发生的次数、微觉醒事件、多发小睡、刺激觉醒等内容。具备睡眠期和清醒期、REM和NREM的独立分析功能。</w:t>
            </w:r>
          </w:p>
          <w:p w14:paraId="563AD14A">
            <w:pPr>
              <w:keepNext w:val="0"/>
              <w:keepLines w:val="0"/>
              <w:suppressLineNumbers w:val="0"/>
              <w:wordWrap w:val="0"/>
              <w:spacing w:before="0" w:beforeAutospacing="0" w:after="0" w:afterAutospacing="0" w:line="44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11.正常医院通用电源即可满足设备所需，设备使用年限不少于5年。</w:t>
            </w:r>
          </w:p>
        </w:tc>
      </w:tr>
      <w:tr w14:paraId="6E7B5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jc w:val="center"/>
        </w:trPr>
        <w:tc>
          <w:tcPr>
            <w:tcW w:w="11087" w:type="dxa"/>
            <w:gridSpan w:val="7"/>
            <w:noWrap w:val="0"/>
            <w:vAlign w:val="center"/>
          </w:tcPr>
          <w:p w14:paraId="791BED86">
            <w:pPr>
              <w:pStyle w:val="54"/>
              <w:spacing w:after="0" w:line="360" w:lineRule="auto"/>
              <w:ind w:firstLine="0"/>
              <w:rPr>
                <w:rFonts w:hint="eastAsia"/>
                <w:color w:val="auto"/>
                <w:szCs w:val="21"/>
                <w:highlight w:val="none"/>
              </w:rPr>
            </w:pPr>
            <w:r>
              <w:rPr>
                <w:rFonts w:hint="eastAsia"/>
                <w:color w:val="auto"/>
                <w:szCs w:val="21"/>
                <w:highlight w:val="none"/>
              </w:rPr>
              <w:t>注：</w:t>
            </w:r>
          </w:p>
          <w:p w14:paraId="04AA7B57">
            <w:pPr>
              <w:pStyle w:val="54"/>
              <w:spacing w:after="0" w:line="360" w:lineRule="auto"/>
              <w:ind w:firstLine="210"/>
              <w:rPr>
                <w:rFonts w:hint="eastAsia"/>
                <w:b/>
                <w:bCs/>
                <w:color w:val="auto"/>
                <w:szCs w:val="21"/>
                <w:highlight w:val="none"/>
              </w:rPr>
            </w:pPr>
            <w:r>
              <w:rPr>
                <w:rFonts w:hint="eastAsia"/>
                <w:color w:val="auto"/>
                <w:szCs w:val="21"/>
                <w:highlight w:val="none"/>
              </w:rPr>
              <w:t>1、所属行业标明“/”的采购标的，无需在中小企业声明函中填写。</w:t>
            </w:r>
          </w:p>
        </w:tc>
      </w:tr>
    </w:tbl>
    <w:p w14:paraId="13A4318E">
      <w:pPr>
        <w:spacing w:line="360" w:lineRule="auto"/>
        <w:rPr>
          <w:rFonts w:hint="eastAsia" w:ascii="黑体" w:hAnsi="黑体" w:eastAsia="黑体" w:cs="Arial"/>
          <w:b/>
          <w:color w:val="auto"/>
          <w:sz w:val="28"/>
          <w:szCs w:val="28"/>
          <w:highlight w:val="none"/>
        </w:rPr>
      </w:pPr>
    </w:p>
    <w:p w14:paraId="5779A263">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三、商务要求</w:t>
      </w:r>
    </w:p>
    <w:tbl>
      <w:tblPr>
        <w:tblStyle w:val="57"/>
        <w:tblW w:w="10487" w:type="dxa"/>
        <w:tblInd w:w="-5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6"/>
        <w:gridCol w:w="8001"/>
      </w:tblGrid>
      <w:tr w14:paraId="1CEA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86" w:type="dxa"/>
            <w:noWrap w:val="0"/>
            <w:vAlign w:val="center"/>
          </w:tcPr>
          <w:p w14:paraId="17A9CA07">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1．报价要求</w:t>
            </w:r>
          </w:p>
          <w:p w14:paraId="64A72A25">
            <w:pPr>
              <w:spacing w:line="360" w:lineRule="auto"/>
              <w:jc w:val="center"/>
              <w:rPr>
                <w:rFonts w:hint="eastAsia" w:ascii="宋体" w:hAnsi="宋体" w:eastAsia="宋体" w:cs="宋体"/>
                <w:b/>
                <w:color w:val="auto"/>
                <w:sz w:val="21"/>
                <w:szCs w:val="21"/>
                <w:highlight w:val="none"/>
                <w:vertAlign w:val="baseline"/>
              </w:rPr>
            </w:pPr>
          </w:p>
        </w:tc>
        <w:tc>
          <w:tcPr>
            <w:tcW w:w="8001" w:type="dxa"/>
            <w:noWrap w:val="0"/>
            <w:vAlign w:val="center"/>
          </w:tcPr>
          <w:p w14:paraId="5353EACB">
            <w:pPr>
              <w:spacing w:line="360" w:lineRule="auto"/>
              <w:jc w:val="both"/>
              <w:rPr>
                <w:rFonts w:hint="eastAsia" w:ascii="宋体" w:hAnsi="宋体" w:eastAsia="宋体" w:cs="宋体"/>
                <w:b/>
                <w:color w:val="auto"/>
                <w:sz w:val="21"/>
                <w:szCs w:val="21"/>
                <w:highlight w:val="none"/>
                <w:vertAlign w:val="baseline"/>
              </w:rPr>
            </w:pPr>
            <w:r>
              <w:rPr>
                <w:rFonts w:hint="eastAsia" w:ascii="宋体" w:hAnsi="宋体" w:eastAsia="宋体" w:cs="宋体"/>
                <w:color w:val="auto"/>
                <w:sz w:val="21"/>
                <w:szCs w:val="21"/>
                <w:highlight w:val="none"/>
              </w:rPr>
              <w:t>本次报价须为人民币报价，包括：（1）货物的价格；（2）货物的标准附件、备品备件、专用工具的价格；（3）运输、调试、培训、技术支持、售后服务等费用；（4）安装费用；（5）系统对接费；（6）必要的保险费用和各项税费。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tc>
      </w:tr>
      <w:tr w14:paraId="7B59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2486" w:type="dxa"/>
            <w:noWrap w:val="0"/>
            <w:vAlign w:val="center"/>
          </w:tcPr>
          <w:p w14:paraId="5227A238">
            <w:pPr>
              <w:spacing w:line="360" w:lineRule="auto"/>
              <w:jc w:val="center"/>
              <w:rPr>
                <w:rFonts w:hint="eastAsia" w:ascii="宋体" w:hAnsi="宋体" w:eastAsia="宋体" w:cs="宋体"/>
                <w:b/>
                <w:color w:val="auto"/>
                <w:sz w:val="21"/>
                <w:szCs w:val="21"/>
                <w:highlight w:val="none"/>
                <w:vertAlign w:val="baseline"/>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合同履行期限及地点</w:t>
            </w:r>
          </w:p>
        </w:tc>
        <w:tc>
          <w:tcPr>
            <w:tcW w:w="8001" w:type="dxa"/>
            <w:noWrap w:val="0"/>
            <w:vAlign w:val="center"/>
          </w:tcPr>
          <w:p w14:paraId="43E5A9AF">
            <w:pPr>
              <w:tabs>
                <w:tab w:val="left" w:pos="840"/>
                <w:tab w:val="right" w:leader="dot" w:pos="8296"/>
              </w:tabs>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1、合同履行期限：自签订合同之日起30日内全部安装调试合格并交付使用。</w:t>
            </w:r>
          </w:p>
          <w:p w14:paraId="3F3946E9">
            <w:pPr>
              <w:tabs>
                <w:tab w:val="left" w:pos="840"/>
                <w:tab w:val="right" w:leader="dot" w:pos="8296"/>
              </w:tabs>
              <w:spacing w:line="360" w:lineRule="auto"/>
              <w:jc w:val="left"/>
              <w:rPr>
                <w:rFonts w:hint="eastAsia" w:ascii="宋体" w:hAnsi="宋体" w:eastAsia="宋体" w:cs="宋体"/>
                <w:b/>
                <w:color w:val="auto"/>
                <w:sz w:val="21"/>
                <w:szCs w:val="21"/>
                <w:highlight w:val="none"/>
                <w:vertAlign w:val="baseline"/>
              </w:rPr>
            </w:pPr>
            <w:r>
              <w:rPr>
                <w:rFonts w:hint="eastAsia" w:ascii="宋体" w:hAnsi="宋体" w:eastAsia="宋体" w:cs="宋体"/>
                <w:color w:val="auto"/>
                <w:sz w:val="21"/>
                <w:szCs w:val="21"/>
                <w:highlight w:val="none"/>
              </w:rPr>
              <w:t>2、合同履行地点：北海市采购人指定地点。</w:t>
            </w:r>
          </w:p>
        </w:tc>
      </w:tr>
      <w:tr w14:paraId="0D6E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486" w:type="dxa"/>
            <w:noWrap w:val="0"/>
            <w:vAlign w:val="center"/>
          </w:tcPr>
          <w:p w14:paraId="7B1B60CC">
            <w:pPr>
              <w:spacing w:line="360" w:lineRule="auto"/>
              <w:jc w:val="center"/>
              <w:rPr>
                <w:rFonts w:hint="eastAsia" w:ascii="宋体" w:hAnsi="宋体" w:eastAsia="宋体" w:cs="宋体"/>
                <w:b/>
                <w:color w:val="auto"/>
                <w:sz w:val="21"/>
                <w:szCs w:val="21"/>
                <w:highlight w:val="none"/>
                <w:vertAlign w:val="baseline"/>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合同签订期</w:t>
            </w:r>
          </w:p>
        </w:tc>
        <w:tc>
          <w:tcPr>
            <w:tcW w:w="8001" w:type="dxa"/>
            <w:noWrap w:val="0"/>
            <w:vAlign w:val="center"/>
          </w:tcPr>
          <w:p w14:paraId="382E9311">
            <w:pPr>
              <w:spacing w:line="360" w:lineRule="auto"/>
              <w:rPr>
                <w:rFonts w:hint="eastAsia" w:ascii="宋体" w:hAnsi="宋体" w:eastAsia="宋体" w:cs="宋体"/>
                <w:b/>
                <w:color w:val="auto"/>
                <w:sz w:val="21"/>
                <w:szCs w:val="21"/>
                <w:highlight w:val="none"/>
                <w:vertAlign w:val="baseline"/>
              </w:rPr>
            </w:pPr>
            <w:r>
              <w:rPr>
                <w:rFonts w:hint="eastAsia" w:ascii="宋体" w:hAnsi="宋体" w:eastAsia="宋体" w:cs="宋体"/>
                <w:color w:val="auto"/>
                <w:sz w:val="21"/>
                <w:szCs w:val="21"/>
                <w:highlight w:val="none"/>
              </w:rPr>
              <w:t>中标通知书发出之日起25日内。</w:t>
            </w:r>
          </w:p>
        </w:tc>
      </w:tr>
      <w:tr w14:paraId="06AE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6" w:type="dxa"/>
            <w:noWrap w:val="0"/>
            <w:vAlign w:val="center"/>
          </w:tcPr>
          <w:p w14:paraId="28EC03A4">
            <w:pPr>
              <w:spacing w:line="360" w:lineRule="auto"/>
              <w:jc w:val="center"/>
              <w:rPr>
                <w:rFonts w:hint="eastAsia" w:ascii="宋体" w:hAnsi="宋体" w:eastAsia="宋体" w:cs="宋体"/>
                <w:b/>
                <w:color w:val="auto"/>
                <w:sz w:val="21"/>
                <w:szCs w:val="21"/>
                <w:highlight w:val="none"/>
                <w:vertAlign w:val="baseline"/>
              </w:rPr>
            </w:pPr>
            <w:r>
              <w:rPr>
                <w:rFonts w:hint="eastAsia" w:ascii="方正楷体_GB2312" w:hAnsi="方正楷体_GB2312" w:eastAsia="方正楷体_GB2312" w:cs="方正楷体_GB2312"/>
                <w:b w:val="0"/>
                <w:bCs/>
                <w:color w:val="auto"/>
                <w:sz w:val="21"/>
                <w:szCs w:val="21"/>
                <w:highlight w:val="none"/>
              </w:rPr>
              <w:t>▲</w:t>
            </w:r>
            <w:r>
              <w:rPr>
                <w:rFonts w:hint="eastAsia" w:ascii="方正楷体_GB2312" w:hAnsi="方正楷体_GB2312" w:eastAsia="方正楷体_GB2312" w:cs="方正楷体_GB2312"/>
                <w:b w:val="0"/>
                <w:bCs/>
                <w:color w:val="auto"/>
                <w:sz w:val="21"/>
                <w:szCs w:val="21"/>
                <w:highlight w:val="none"/>
                <w:lang w:val="en-US" w:eastAsia="zh-CN"/>
              </w:rPr>
              <w:t>4.</w:t>
            </w:r>
            <w:r>
              <w:rPr>
                <w:rFonts w:hint="eastAsia" w:ascii="方正楷体_GB2312" w:hAnsi="方正楷体_GB2312" w:eastAsia="方正楷体_GB2312" w:cs="方正楷体_GB2312"/>
                <w:b w:val="0"/>
                <w:bCs/>
                <w:color w:val="auto"/>
                <w:sz w:val="21"/>
                <w:szCs w:val="21"/>
                <w:highlight w:val="none"/>
              </w:rPr>
              <w:t>付款条件</w:t>
            </w:r>
          </w:p>
        </w:tc>
        <w:tc>
          <w:tcPr>
            <w:tcW w:w="8001" w:type="dxa"/>
            <w:noWrap w:val="0"/>
            <w:vAlign w:val="center"/>
          </w:tcPr>
          <w:p w14:paraId="14E95880">
            <w:pPr>
              <w:tabs>
                <w:tab w:val="left" w:pos="840"/>
                <w:tab w:val="right" w:leader="dot" w:pos="8296"/>
              </w:tabs>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(1)第一期:合同生效以及具备实施条件后10个工作日内采购人向中标人支付合同款30%作为预付款:</w:t>
            </w:r>
          </w:p>
          <w:p w14:paraId="3ECF51F1">
            <w:pPr>
              <w:tabs>
                <w:tab w:val="left" w:pos="840"/>
                <w:tab w:val="right" w:leader="dot" w:pos="8296"/>
              </w:tabs>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(2)第二期:全部货物到达指定地点、安装调试并验收合格后，凭双方签署验收合格报告，采购人支付至合同总金额的80%（如中标人为中小企业的则为100%)。</w:t>
            </w:r>
          </w:p>
          <w:p w14:paraId="38C47D4C">
            <w:pPr>
              <w:tabs>
                <w:tab w:val="left" w:pos="840"/>
                <w:tab w:val="right" w:leader="dot" w:pos="8296"/>
              </w:tabs>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（3）第三期：3年内支付合同总金额10%。</w:t>
            </w:r>
          </w:p>
          <w:p w14:paraId="29E8BE84">
            <w:pPr>
              <w:tabs>
                <w:tab w:val="left" w:pos="840"/>
                <w:tab w:val="right" w:leader="dot" w:pos="8296"/>
              </w:tabs>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（4）第四期：第4年支付合同总金额5%。</w:t>
            </w:r>
          </w:p>
          <w:p w14:paraId="2F434A0F">
            <w:pPr>
              <w:tabs>
                <w:tab w:val="left" w:pos="840"/>
                <w:tab w:val="right" w:leader="dot" w:pos="8296"/>
              </w:tabs>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（5）第五期：第5年支付剩余5%尾款。</w:t>
            </w:r>
          </w:p>
          <w:p w14:paraId="1E8EF387">
            <w:pPr>
              <w:tabs>
                <w:tab w:val="left" w:pos="840"/>
                <w:tab w:val="right" w:leader="dot" w:pos="8296"/>
              </w:tabs>
              <w:spacing w:line="360" w:lineRule="auto"/>
              <w:jc w:val="left"/>
              <w:rPr>
                <w:rFonts w:hint="eastAsia" w:ascii="宋体" w:hAnsi="宋体" w:eastAsia="宋体" w:cs="宋体"/>
                <w:b/>
                <w:color w:val="auto"/>
                <w:sz w:val="21"/>
                <w:szCs w:val="21"/>
                <w:highlight w:val="none"/>
                <w:vertAlign w:val="baseline"/>
              </w:rPr>
            </w:pPr>
            <w:r>
              <w:rPr>
                <w:rFonts w:hint="eastAsia" w:ascii="宋体" w:hAnsi="宋体" w:eastAsia="宋体" w:cs="宋体"/>
                <w:color w:val="auto"/>
                <w:sz w:val="21"/>
                <w:szCs w:val="21"/>
                <w:highlight w:val="none"/>
                <w:lang w:val="en-US" w:eastAsia="zh-CN"/>
              </w:rPr>
              <w:t>2.转账前中标人需向采购人提供合法的等额发票。</w:t>
            </w:r>
          </w:p>
        </w:tc>
      </w:tr>
      <w:tr w14:paraId="3DD2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486" w:type="dxa"/>
            <w:noWrap w:val="0"/>
            <w:vAlign w:val="center"/>
          </w:tcPr>
          <w:p w14:paraId="0390D128">
            <w:pPr>
              <w:spacing w:line="360" w:lineRule="auto"/>
              <w:jc w:val="center"/>
              <w:rPr>
                <w:rFonts w:hint="eastAsia" w:ascii="宋体" w:hAnsi="宋体" w:eastAsia="宋体" w:cs="宋体"/>
                <w:b/>
                <w:color w:val="auto"/>
                <w:sz w:val="21"/>
                <w:szCs w:val="21"/>
                <w:highlight w:val="none"/>
                <w:vertAlign w:val="baseline"/>
              </w:rPr>
            </w:pP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验收标准</w:t>
            </w:r>
          </w:p>
        </w:tc>
        <w:tc>
          <w:tcPr>
            <w:tcW w:w="8001" w:type="dxa"/>
            <w:noWrap w:val="0"/>
            <w:vAlign w:val="center"/>
          </w:tcPr>
          <w:p w14:paraId="1114B4F1">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验收工作由采购人和中标人负责安装的技术人员严格按照国家质量验收规范合格标准及招标文件要求、合同及中标人承诺的技术要求和质量标准逐条进行验收，验收过程中所产生的一切费用均由中标人承担，报价时应考虑相关费用。</w:t>
            </w:r>
          </w:p>
          <w:p w14:paraId="1690472E">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2.中标人向采购人提供的货物必须是全新的原装产品；中标人所提供的所有设备必须是签订合同之日前1年内生产的机型。</w:t>
            </w:r>
          </w:p>
          <w:p w14:paraId="6761AD65">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货物验收由采购单位对照招标文件功能、全部技术指标逐项核验，验收标准须同时满足国家相关法规、合同约定、原厂技术资料及招标文件全部参数要求。若货物技术参数不满足招标文件需求，或中标人存在虚假承诺，采购单位有权作退货处理，并追究中标人违约责任，全部相关费用、损失由中标人承担；参数不符致使无法完成验收的，采购人可单方面解除合同，同时保留向中标人进一步追责的权利。</w:t>
            </w:r>
          </w:p>
          <w:p w14:paraId="4D344C86">
            <w:pPr>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b/>
                <w:color w:val="auto"/>
                <w:sz w:val="21"/>
                <w:szCs w:val="21"/>
                <w:highlight w:val="none"/>
                <w:vertAlign w:val="baseline"/>
              </w:rPr>
            </w:pPr>
            <w:r>
              <w:rPr>
                <w:rFonts w:hint="eastAsia" w:ascii="宋体" w:hAnsi="宋体" w:eastAsia="宋体" w:cs="宋体"/>
                <w:color w:val="auto"/>
                <w:kern w:val="0"/>
                <w:sz w:val="21"/>
                <w:szCs w:val="21"/>
                <w:highlight w:val="none"/>
              </w:rPr>
              <w:t>4.国家相关法律、法规、标准和规范等。</w:t>
            </w:r>
          </w:p>
        </w:tc>
      </w:tr>
      <w:tr w14:paraId="01AC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6" w:type="dxa"/>
            <w:noWrap w:val="0"/>
            <w:vAlign w:val="center"/>
          </w:tcPr>
          <w:p w14:paraId="3B00F642">
            <w:pPr>
              <w:spacing w:line="360" w:lineRule="auto"/>
              <w:jc w:val="center"/>
              <w:rPr>
                <w:rFonts w:hint="eastAsia" w:ascii="宋体" w:hAnsi="宋体" w:eastAsia="宋体" w:cs="宋体"/>
                <w:b/>
                <w:color w:val="auto"/>
                <w:sz w:val="21"/>
                <w:szCs w:val="21"/>
                <w:highlight w:val="none"/>
                <w:vertAlign w:val="baseline"/>
              </w:rPr>
            </w:pP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rPr>
              <w:t>设备售后要求</w:t>
            </w:r>
          </w:p>
        </w:tc>
        <w:tc>
          <w:tcPr>
            <w:tcW w:w="8001" w:type="dxa"/>
            <w:noWrap w:val="0"/>
            <w:vAlign w:val="center"/>
          </w:tcPr>
          <w:p w14:paraId="16539F5A">
            <w:pPr>
              <w:keepNext w:val="0"/>
              <w:keepLines w:val="0"/>
              <w:pageBreakBefore w:val="0"/>
              <w:tabs>
                <w:tab w:val="left" w:pos="180"/>
                <w:tab w:val="left" w:pos="1620"/>
              </w:tabs>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1、免费质保期：按国家有关产品三包”规定执行“三包”，所有产品整机原厂不少于5年上门免费保修；保修期内因故障原因，保修期时间顺延。免费保修期自验收合格之日起计算。</w:t>
            </w:r>
          </w:p>
          <w:p w14:paraId="017B1035">
            <w:pPr>
              <w:keepNext w:val="0"/>
              <w:keepLines w:val="0"/>
              <w:pageBreakBefore w:val="0"/>
              <w:tabs>
                <w:tab w:val="left" w:pos="180"/>
                <w:tab w:val="left" w:pos="1620"/>
              </w:tabs>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2、服务响应时间：7×24小时提供服务。电话报修要求2小时内响应，如果合同设备停机且需要现场服务，工程师应在24小时内到达维修现场。若停机超过48小时则提供临时替代方案或同档次产品给采购人备用，后者需征得采购人同意。</w:t>
            </w:r>
          </w:p>
          <w:p w14:paraId="76986865">
            <w:pPr>
              <w:keepNext w:val="0"/>
              <w:keepLines w:val="0"/>
              <w:pageBreakBefore w:val="0"/>
              <w:tabs>
                <w:tab w:val="left" w:pos="180"/>
                <w:tab w:val="left" w:pos="1620"/>
              </w:tabs>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3.定期免费上门维护检查设备运行情况，每年至少2次。</w:t>
            </w:r>
          </w:p>
          <w:p w14:paraId="28CDAA40">
            <w:pPr>
              <w:keepNext w:val="0"/>
              <w:keepLines w:val="0"/>
              <w:pageBreakBefore w:val="0"/>
              <w:tabs>
                <w:tab w:val="left" w:pos="180"/>
                <w:tab w:val="left" w:pos="1620"/>
              </w:tabs>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4、备品备件要求：维修设备时更换问题部件，并负责备件的运输，具体包括：</w:t>
            </w:r>
          </w:p>
          <w:p w14:paraId="458600CE">
            <w:pPr>
              <w:keepNext w:val="0"/>
              <w:keepLines w:val="0"/>
              <w:pageBreakBefore w:val="0"/>
              <w:tabs>
                <w:tab w:val="left" w:pos="180"/>
                <w:tab w:val="left" w:pos="1620"/>
              </w:tabs>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（1）提供保修所需的备件供应要及时、充足。</w:t>
            </w:r>
          </w:p>
          <w:p w14:paraId="39D3E1D7">
            <w:pPr>
              <w:keepNext w:val="0"/>
              <w:keepLines w:val="0"/>
              <w:pageBreakBefore w:val="0"/>
              <w:tabs>
                <w:tab w:val="left" w:pos="180"/>
                <w:tab w:val="left" w:pos="1620"/>
              </w:tabs>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（2）备件必须是原厂提供的未拆封原装备件。</w:t>
            </w:r>
          </w:p>
          <w:p w14:paraId="0FA89D1F">
            <w:pPr>
              <w:keepNext w:val="0"/>
              <w:keepLines w:val="0"/>
              <w:pageBreakBefore w:val="0"/>
              <w:tabs>
                <w:tab w:val="left" w:pos="180"/>
                <w:tab w:val="left" w:pos="1620"/>
              </w:tabs>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5.免费送货上门、免费安装调试合格。</w:t>
            </w:r>
          </w:p>
          <w:p w14:paraId="43562607">
            <w:pPr>
              <w:keepNext w:val="0"/>
              <w:keepLines w:val="0"/>
              <w:pageBreakBefore w:val="0"/>
              <w:tabs>
                <w:tab w:val="left" w:pos="180"/>
                <w:tab w:val="left" w:pos="1620"/>
              </w:tabs>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6、培训条款：</w:t>
            </w:r>
          </w:p>
          <w:p w14:paraId="418862CD">
            <w:pPr>
              <w:keepNext w:val="0"/>
              <w:keepLines w:val="0"/>
              <w:pageBreakBefore w:val="0"/>
              <w:tabs>
                <w:tab w:val="left" w:pos="180"/>
                <w:tab w:val="left" w:pos="1620"/>
              </w:tabs>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（1）由生产厂家为用户提供使用技术培训，使用培训为验收要件之一，没有经过培训，视为没能完成验收。</w:t>
            </w:r>
          </w:p>
          <w:p w14:paraId="54FE4E2D">
            <w:pPr>
              <w:keepNext w:val="0"/>
              <w:keepLines w:val="0"/>
              <w:pageBreakBefore w:val="0"/>
              <w:tabs>
                <w:tab w:val="left" w:pos="180"/>
                <w:tab w:val="left" w:pos="1620"/>
              </w:tabs>
              <w:kinsoku/>
              <w:wordWrap/>
              <w:overflowPunct/>
              <w:topLinePunct w:val="0"/>
              <w:bidi w:val="0"/>
              <w:adjustRightInd/>
              <w:snapToGrid/>
              <w:spacing w:line="360"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（2）提供不少于2次现场集中培训，每次不少于4小时，培训人数≥10人，培训内容包括设备操作、日常保养、简易故障判断，并提供书面教材及操作视频。</w:t>
            </w:r>
          </w:p>
          <w:p w14:paraId="0BD8F62A">
            <w:pPr>
              <w:keepNext w:val="0"/>
              <w:keepLines w:val="0"/>
              <w:pageBreakBefore w:val="0"/>
              <w:tabs>
                <w:tab w:val="left" w:pos="180"/>
                <w:tab w:val="left" w:pos="1620"/>
              </w:tabs>
              <w:kinsoku/>
              <w:wordWrap/>
              <w:overflowPunct/>
              <w:topLinePunct w:val="0"/>
              <w:bidi w:val="0"/>
              <w:adjustRightInd/>
              <w:snapToGrid/>
              <w:spacing w:line="360" w:lineRule="auto"/>
              <w:textAlignment w:val="auto"/>
              <w:rPr>
                <w:rFonts w:hint="eastAsia" w:ascii="宋体" w:hAnsi="宋体" w:eastAsia="宋体" w:cs="宋体"/>
                <w:b/>
                <w:color w:val="auto"/>
                <w:sz w:val="21"/>
                <w:szCs w:val="21"/>
                <w:highlight w:val="none"/>
                <w:vertAlign w:val="baseline"/>
              </w:rPr>
            </w:pPr>
            <w:r>
              <w:rPr>
                <w:rFonts w:hint="eastAsia" w:ascii="宋体" w:hAnsi="宋体" w:eastAsia="宋体" w:cs="宋体"/>
                <w:color w:val="auto"/>
                <w:kern w:val="0"/>
                <w:sz w:val="21"/>
                <w:szCs w:val="21"/>
                <w:highlight w:val="none"/>
                <w:lang w:eastAsia="zh-CN"/>
              </w:rPr>
              <w:t>7.要求在售后服务承诺书中提供售后服务联系人及电话。</w:t>
            </w:r>
          </w:p>
        </w:tc>
      </w:tr>
      <w:tr w14:paraId="120B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6" w:type="dxa"/>
            <w:noWrap w:val="0"/>
            <w:vAlign w:val="center"/>
          </w:tcPr>
          <w:p w14:paraId="53DA6EE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包装和运输要求</w:t>
            </w:r>
          </w:p>
        </w:tc>
        <w:tc>
          <w:tcPr>
            <w:tcW w:w="8001" w:type="dxa"/>
            <w:noWrap w:val="0"/>
            <w:vAlign w:val="center"/>
          </w:tcPr>
          <w:p w14:paraId="544A5715">
            <w:pPr>
              <w:keepNext w:val="0"/>
              <w:keepLines w:val="0"/>
              <w:pageBreakBefore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1.原厂原包装，包装完好、完整无破损、未开封。</w:t>
            </w:r>
          </w:p>
          <w:p w14:paraId="69626A0A">
            <w:pPr>
              <w:keepNext w:val="0"/>
              <w:keepLines w:val="0"/>
              <w:pageBreakBefore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2.包装及运输方式应综合考虑运输距离、防潮、防震、防锈和防破损装卸等要求。</w:t>
            </w:r>
          </w:p>
          <w:p w14:paraId="2BC64314">
            <w:pPr>
              <w:keepNext w:val="0"/>
              <w:keepLines w:val="0"/>
              <w:pageBreakBefore w:val="0"/>
              <w:kinsoku/>
              <w:wordWrap/>
              <w:overflowPunct/>
              <w:topLinePunct w:val="0"/>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3.国家对包装及运输有相关强制性标准或要求的，中标人应当执行。</w:t>
            </w:r>
          </w:p>
          <w:p w14:paraId="739BF5C0">
            <w:pPr>
              <w:keepNext w:val="0"/>
              <w:keepLines w:val="0"/>
              <w:pageBreakBefore w:val="0"/>
              <w:kinsoku/>
              <w:wordWrap/>
              <w:overflowPunct/>
              <w:topLinePunct w:val="0"/>
              <w:bidi w:val="0"/>
              <w:adjustRightInd/>
              <w:snapToGrid/>
              <w:spacing w:line="36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4.产品（含包装）运抵采购人指定交付地点前发生损坏的，相关损失由中标人自行承担。</w:t>
            </w:r>
          </w:p>
        </w:tc>
      </w:tr>
    </w:tbl>
    <w:p w14:paraId="7725A22D">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四、其他要求</w:t>
      </w:r>
    </w:p>
    <w:p w14:paraId="05249BE2">
      <w:pPr>
        <w:spacing w:line="360" w:lineRule="auto"/>
        <w:rPr>
          <w:rFonts w:hint="eastAsia"/>
          <w:b/>
          <w:bCs/>
          <w:color w:val="auto"/>
          <w:highlight w:val="none"/>
        </w:rPr>
      </w:pPr>
      <w:r>
        <w:rPr>
          <w:rFonts w:hint="eastAsia"/>
          <w:b/>
          <w:bCs/>
          <w:color w:val="auto"/>
          <w:highlight w:val="none"/>
        </w:rPr>
        <w:t>▲</w:t>
      </w:r>
      <w:r>
        <w:rPr>
          <w:rFonts w:hint="eastAsia"/>
          <w:b/>
          <w:bCs/>
          <w:color w:val="auto"/>
          <w:highlight w:val="none"/>
          <w:lang w:val="en-US" w:eastAsia="zh-CN"/>
        </w:rPr>
        <w:t>1.</w:t>
      </w:r>
      <w:r>
        <w:rPr>
          <w:rFonts w:hint="eastAsia"/>
          <w:b/>
          <w:bCs/>
          <w:color w:val="auto"/>
          <w:highlight w:val="none"/>
        </w:rPr>
        <w:t>要求投标人在投标文件中必须提供以上所投产品（除第16项“手术麻醉系统”外）相应、有效、完整的《医疗器械产品注册证》或产品所属类别的医疗器械产品备案凭证复印件或扫描件（加盖投标人公章），否则投标无效。</w:t>
      </w:r>
    </w:p>
    <w:p w14:paraId="3794E209">
      <w:pPr>
        <w:rPr>
          <w:rFonts w:hint="eastAsia"/>
          <w:color w:val="auto"/>
          <w:highlight w:val="none"/>
        </w:rPr>
      </w:pPr>
      <w:r>
        <w:rPr>
          <w:rFonts w:hint="eastAsia"/>
          <w:color w:val="auto"/>
          <w:highlight w:val="none"/>
        </w:rPr>
        <w:br w:type="page" w:clear="all"/>
      </w:r>
    </w:p>
    <w:p w14:paraId="4CB3314A">
      <w:pPr>
        <w:rPr>
          <w:rFonts w:hint="eastAsia" w:ascii="Times New Roman" w:hAnsi="Times New Roman" w:cs="Times New Roman"/>
          <w:b/>
          <w:bCs/>
          <w:color w:val="auto"/>
          <w:sz w:val="28"/>
          <w:szCs w:val="28"/>
          <w:highlight w:val="none"/>
          <w:lang w:eastAsia="zh-CN"/>
        </w:rPr>
      </w:pPr>
    </w:p>
    <w:p w14:paraId="488BDFF5">
      <w:pPr>
        <w:spacing w:line="528" w:lineRule="exact"/>
        <w:ind w:firstLine="280"/>
        <w:rPr>
          <w:color w:val="auto"/>
          <w:sz w:val="28"/>
          <w:szCs w:val="28"/>
          <w:highlight w:val="none"/>
        </w:rPr>
      </w:pPr>
      <w:r>
        <w:rPr>
          <w:rFonts w:hint="eastAsia"/>
          <w:color w:val="auto"/>
          <w:sz w:val="28"/>
          <w:szCs w:val="28"/>
          <w:highlight w:val="none"/>
        </w:rPr>
        <w:t xml:space="preserve">附件1： </w:t>
      </w:r>
      <w:r>
        <w:rPr>
          <w:color w:val="auto"/>
          <w:sz w:val="28"/>
          <w:szCs w:val="28"/>
          <w:highlight w:val="none"/>
        </w:rPr>
        <w:t xml:space="preserve">                             </w:t>
      </w:r>
    </w:p>
    <w:p w14:paraId="559ED44E">
      <w:pPr>
        <w:spacing w:line="528" w:lineRule="exact"/>
        <w:ind w:firstLine="280"/>
        <w:jc w:val="center"/>
        <w:rPr>
          <w:color w:val="auto"/>
          <w:sz w:val="28"/>
          <w:szCs w:val="28"/>
          <w:highlight w:val="none"/>
        </w:rPr>
      </w:pPr>
      <w:r>
        <w:rPr>
          <w:rFonts w:hint="eastAsia"/>
          <w:color w:val="auto"/>
          <w:sz w:val="28"/>
          <w:szCs w:val="28"/>
          <w:highlight w:val="none"/>
        </w:rPr>
        <w:t>中小微企业划型标准</w:t>
      </w:r>
    </w:p>
    <w:tbl>
      <w:tblPr>
        <w:tblStyle w:val="56"/>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4084CF92">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36A0F126">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2EF1B835">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3E86C7B2">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AF002D2">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19E6058A">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380AF801">
            <w:pPr>
              <w:widowControl/>
              <w:jc w:val="left"/>
              <w:rPr>
                <w:color w:val="auto"/>
                <w:szCs w:val="21"/>
                <w:highlight w:val="none"/>
              </w:rPr>
            </w:pPr>
            <w:r>
              <w:rPr>
                <w:rFonts w:hint="eastAsia"/>
                <w:color w:val="auto"/>
                <w:szCs w:val="21"/>
                <w:highlight w:val="none"/>
              </w:rPr>
              <w:t>微型</w:t>
            </w:r>
          </w:p>
        </w:tc>
      </w:tr>
      <w:tr w14:paraId="5A1572CC">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24DB6487">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39AB80C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6728A4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AEF3705">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53A54631">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231DD4CC">
            <w:pPr>
              <w:widowControl/>
              <w:jc w:val="left"/>
              <w:rPr>
                <w:color w:val="auto"/>
                <w:szCs w:val="21"/>
                <w:highlight w:val="none"/>
              </w:rPr>
            </w:pPr>
            <w:r>
              <w:rPr>
                <w:rFonts w:hint="eastAsia"/>
                <w:color w:val="auto"/>
                <w:szCs w:val="21"/>
                <w:highlight w:val="none"/>
              </w:rPr>
              <w:t>Y＜50</w:t>
            </w:r>
          </w:p>
        </w:tc>
      </w:tr>
      <w:tr w14:paraId="083067E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80122AB">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4D40140">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E3529C0">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3294BE1">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84C950D">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3B345E48">
            <w:pPr>
              <w:widowControl/>
              <w:jc w:val="left"/>
              <w:rPr>
                <w:color w:val="auto"/>
                <w:szCs w:val="21"/>
                <w:highlight w:val="none"/>
              </w:rPr>
            </w:pPr>
            <w:r>
              <w:rPr>
                <w:rFonts w:hint="eastAsia"/>
                <w:color w:val="auto"/>
                <w:szCs w:val="21"/>
                <w:highlight w:val="none"/>
              </w:rPr>
              <w:t>X＜20</w:t>
            </w:r>
          </w:p>
        </w:tc>
      </w:tr>
      <w:tr w14:paraId="2204C80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895C4BA">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701045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34EA97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AA3AF2F">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54600BAD">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01BF13FC">
            <w:pPr>
              <w:widowControl/>
              <w:jc w:val="left"/>
              <w:rPr>
                <w:color w:val="auto"/>
                <w:szCs w:val="21"/>
                <w:highlight w:val="none"/>
              </w:rPr>
            </w:pPr>
            <w:r>
              <w:rPr>
                <w:rFonts w:hint="eastAsia"/>
                <w:color w:val="auto"/>
                <w:szCs w:val="21"/>
                <w:highlight w:val="none"/>
              </w:rPr>
              <w:t>Y＜300</w:t>
            </w:r>
          </w:p>
        </w:tc>
      </w:tr>
      <w:tr w14:paraId="059B44D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97CD863">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817F775">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59C410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FC3D661">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611DD717">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2C2E3120">
            <w:pPr>
              <w:widowControl/>
              <w:jc w:val="left"/>
              <w:rPr>
                <w:color w:val="auto"/>
                <w:szCs w:val="21"/>
                <w:highlight w:val="none"/>
              </w:rPr>
            </w:pPr>
            <w:r>
              <w:rPr>
                <w:rFonts w:hint="eastAsia"/>
                <w:color w:val="auto"/>
                <w:szCs w:val="21"/>
                <w:highlight w:val="none"/>
              </w:rPr>
              <w:t>Y＜300</w:t>
            </w:r>
          </w:p>
        </w:tc>
      </w:tr>
      <w:tr w14:paraId="33B5365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BE3F18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832F495">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D66A43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0580C18">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1115382B">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1B639DA5">
            <w:pPr>
              <w:widowControl/>
              <w:jc w:val="left"/>
              <w:rPr>
                <w:color w:val="auto"/>
                <w:szCs w:val="21"/>
                <w:highlight w:val="none"/>
              </w:rPr>
            </w:pPr>
            <w:r>
              <w:rPr>
                <w:rFonts w:hint="eastAsia"/>
                <w:color w:val="auto"/>
                <w:szCs w:val="21"/>
                <w:highlight w:val="none"/>
              </w:rPr>
              <w:t>Z＜300</w:t>
            </w:r>
          </w:p>
        </w:tc>
      </w:tr>
      <w:tr w14:paraId="1B52454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B4E17E3">
            <w:pPr>
              <w:widowControl/>
              <w:ind w:firstLine="315"/>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37DABE3C">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9E482E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4EACF71">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757212A8">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021A317C">
            <w:pPr>
              <w:widowControl/>
              <w:jc w:val="left"/>
              <w:rPr>
                <w:color w:val="auto"/>
                <w:szCs w:val="21"/>
                <w:highlight w:val="none"/>
              </w:rPr>
            </w:pPr>
            <w:r>
              <w:rPr>
                <w:rFonts w:hint="eastAsia"/>
                <w:color w:val="auto"/>
                <w:szCs w:val="21"/>
                <w:highlight w:val="none"/>
              </w:rPr>
              <w:t>X＜5</w:t>
            </w:r>
          </w:p>
        </w:tc>
      </w:tr>
      <w:tr w14:paraId="4D1194C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B8524BD">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4D9916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492782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FEC3CAC">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B8D5F1B">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4EF3A604">
            <w:pPr>
              <w:widowControl/>
              <w:jc w:val="left"/>
              <w:rPr>
                <w:color w:val="auto"/>
                <w:szCs w:val="21"/>
                <w:highlight w:val="none"/>
              </w:rPr>
            </w:pPr>
            <w:r>
              <w:rPr>
                <w:rFonts w:hint="eastAsia"/>
                <w:color w:val="auto"/>
                <w:szCs w:val="21"/>
                <w:highlight w:val="none"/>
              </w:rPr>
              <w:t>Y＜1000</w:t>
            </w:r>
          </w:p>
        </w:tc>
      </w:tr>
      <w:tr w14:paraId="4613405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DF36182">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7846882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3C2FBF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00BDFDE">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1B45149F">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583822C4">
            <w:pPr>
              <w:widowControl/>
              <w:jc w:val="left"/>
              <w:rPr>
                <w:color w:val="auto"/>
                <w:szCs w:val="21"/>
                <w:highlight w:val="none"/>
              </w:rPr>
            </w:pPr>
            <w:r>
              <w:rPr>
                <w:rFonts w:hint="eastAsia"/>
                <w:color w:val="auto"/>
                <w:szCs w:val="21"/>
                <w:highlight w:val="none"/>
              </w:rPr>
              <w:t>X＜10</w:t>
            </w:r>
          </w:p>
        </w:tc>
      </w:tr>
      <w:tr w14:paraId="4C499A2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B54EF0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61AFD92">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FB1D1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E714670">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0F3EAD5">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3E03329A">
            <w:pPr>
              <w:widowControl/>
              <w:jc w:val="left"/>
              <w:rPr>
                <w:color w:val="auto"/>
                <w:szCs w:val="21"/>
                <w:highlight w:val="none"/>
              </w:rPr>
            </w:pPr>
            <w:r>
              <w:rPr>
                <w:rFonts w:hint="eastAsia"/>
                <w:color w:val="auto"/>
                <w:szCs w:val="21"/>
                <w:highlight w:val="none"/>
              </w:rPr>
              <w:t>Y＜100</w:t>
            </w:r>
          </w:p>
        </w:tc>
      </w:tr>
      <w:tr w14:paraId="0403128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08BF279">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44C0A70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F65F5E9">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8386520">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5C8DC71">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3A547758">
            <w:pPr>
              <w:widowControl/>
              <w:jc w:val="left"/>
              <w:rPr>
                <w:color w:val="auto"/>
                <w:szCs w:val="21"/>
                <w:highlight w:val="none"/>
              </w:rPr>
            </w:pPr>
            <w:r>
              <w:rPr>
                <w:rFonts w:hint="eastAsia"/>
                <w:color w:val="auto"/>
                <w:szCs w:val="21"/>
                <w:highlight w:val="none"/>
              </w:rPr>
              <w:t>X＜20</w:t>
            </w:r>
          </w:p>
        </w:tc>
      </w:tr>
      <w:tr w14:paraId="33F190D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C1DD7D6">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F8E23F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97159D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704F755">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4C359848">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516AFE8D">
            <w:pPr>
              <w:widowControl/>
              <w:jc w:val="left"/>
              <w:rPr>
                <w:color w:val="auto"/>
                <w:szCs w:val="21"/>
                <w:highlight w:val="none"/>
              </w:rPr>
            </w:pPr>
            <w:r>
              <w:rPr>
                <w:rFonts w:hint="eastAsia"/>
                <w:color w:val="auto"/>
                <w:szCs w:val="21"/>
                <w:highlight w:val="none"/>
              </w:rPr>
              <w:t>Y＜200</w:t>
            </w:r>
          </w:p>
        </w:tc>
      </w:tr>
      <w:tr w14:paraId="3C46450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B5B7717">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14B8E32F">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03D4CA3">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BA454D4">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00465C04">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27A63684">
            <w:pPr>
              <w:widowControl/>
              <w:jc w:val="left"/>
              <w:rPr>
                <w:color w:val="auto"/>
                <w:szCs w:val="21"/>
                <w:highlight w:val="none"/>
              </w:rPr>
            </w:pPr>
            <w:r>
              <w:rPr>
                <w:rFonts w:hint="eastAsia"/>
                <w:color w:val="auto"/>
                <w:szCs w:val="21"/>
                <w:highlight w:val="none"/>
              </w:rPr>
              <w:t>X＜20</w:t>
            </w:r>
          </w:p>
        </w:tc>
      </w:tr>
      <w:tr w14:paraId="47BFC86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FD4A2F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B289065">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D10E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F467D53">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59BCE48F">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7DADE704">
            <w:pPr>
              <w:widowControl/>
              <w:jc w:val="left"/>
              <w:rPr>
                <w:color w:val="auto"/>
                <w:szCs w:val="21"/>
                <w:highlight w:val="none"/>
              </w:rPr>
            </w:pPr>
            <w:r>
              <w:rPr>
                <w:rFonts w:hint="eastAsia"/>
                <w:color w:val="auto"/>
                <w:szCs w:val="21"/>
                <w:highlight w:val="none"/>
              </w:rPr>
              <w:t>Y＜100</w:t>
            </w:r>
          </w:p>
        </w:tc>
      </w:tr>
      <w:tr w14:paraId="42CC894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EC3FAAF">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3C82299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1D3531F">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B5105CD">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8C2A9AF">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18AC5E21">
            <w:pPr>
              <w:widowControl/>
              <w:jc w:val="left"/>
              <w:rPr>
                <w:color w:val="auto"/>
                <w:szCs w:val="21"/>
                <w:highlight w:val="none"/>
              </w:rPr>
            </w:pPr>
            <w:r>
              <w:rPr>
                <w:rFonts w:hint="eastAsia"/>
                <w:color w:val="auto"/>
                <w:szCs w:val="21"/>
                <w:highlight w:val="none"/>
              </w:rPr>
              <w:t>X＜20</w:t>
            </w:r>
          </w:p>
        </w:tc>
      </w:tr>
      <w:tr w14:paraId="7D76E2D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C0BD636">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BAA22E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13FD63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BC50A01">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74E8E9C">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AF0E6CF">
            <w:pPr>
              <w:widowControl/>
              <w:jc w:val="left"/>
              <w:rPr>
                <w:color w:val="auto"/>
                <w:szCs w:val="21"/>
                <w:highlight w:val="none"/>
              </w:rPr>
            </w:pPr>
            <w:r>
              <w:rPr>
                <w:rFonts w:hint="eastAsia"/>
                <w:color w:val="auto"/>
                <w:szCs w:val="21"/>
                <w:highlight w:val="none"/>
              </w:rPr>
              <w:t>Y＜100</w:t>
            </w:r>
          </w:p>
        </w:tc>
      </w:tr>
      <w:tr w14:paraId="75765A8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EB1DBA9">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3D0568C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4A9C0C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7D8C086">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F38C8C2">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B5D88F1">
            <w:pPr>
              <w:widowControl/>
              <w:jc w:val="left"/>
              <w:rPr>
                <w:color w:val="auto"/>
                <w:szCs w:val="21"/>
                <w:highlight w:val="none"/>
              </w:rPr>
            </w:pPr>
            <w:r>
              <w:rPr>
                <w:rFonts w:hint="eastAsia"/>
                <w:color w:val="auto"/>
                <w:szCs w:val="21"/>
                <w:highlight w:val="none"/>
              </w:rPr>
              <w:t>X＜10</w:t>
            </w:r>
          </w:p>
        </w:tc>
      </w:tr>
      <w:tr w14:paraId="395027A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0C6B3E8">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726BF1C">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227FD0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B57FB02">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131EB1BE">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0D61BD4">
            <w:pPr>
              <w:widowControl/>
              <w:jc w:val="left"/>
              <w:rPr>
                <w:color w:val="auto"/>
                <w:szCs w:val="21"/>
                <w:highlight w:val="none"/>
              </w:rPr>
            </w:pPr>
            <w:r>
              <w:rPr>
                <w:rFonts w:hint="eastAsia"/>
                <w:color w:val="auto"/>
                <w:szCs w:val="21"/>
                <w:highlight w:val="none"/>
              </w:rPr>
              <w:t>Y＜100</w:t>
            </w:r>
          </w:p>
        </w:tc>
      </w:tr>
      <w:tr w14:paraId="336A857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B10FD16">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7014CA97">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DA3D05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5B0DD6A">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5534F0C">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0D4E188B">
            <w:pPr>
              <w:widowControl/>
              <w:jc w:val="left"/>
              <w:rPr>
                <w:color w:val="auto"/>
                <w:szCs w:val="21"/>
                <w:highlight w:val="none"/>
              </w:rPr>
            </w:pPr>
            <w:r>
              <w:rPr>
                <w:rFonts w:hint="eastAsia"/>
                <w:color w:val="auto"/>
                <w:szCs w:val="21"/>
                <w:highlight w:val="none"/>
              </w:rPr>
              <w:t>X＜10</w:t>
            </w:r>
          </w:p>
        </w:tc>
      </w:tr>
      <w:tr w14:paraId="42FD410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942E48D">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4F247A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D9940D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5721D11">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0B4D1B6E">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510B9B28">
            <w:pPr>
              <w:widowControl/>
              <w:jc w:val="left"/>
              <w:rPr>
                <w:color w:val="auto"/>
                <w:szCs w:val="21"/>
                <w:highlight w:val="none"/>
              </w:rPr>
            </w:pPr>
            <w:r>
              <w:rPr>
                <w:rFonts w:hint="eastAsia"/>
                <w:color w:val="auto"/>
                <w:szCs w:val="21"/>
                <w:highlight w:val="none"/>
              </w:rPr>
              <w:t>Y＜100</w:t>
            </w:r>
          </w:p>
        </w:tc>
      </w:tr>
      <w:tr w14:paraId="04FAD16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A832836">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18797EF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8CFBA6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27725490">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07756383">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11C3A1F">
            <w:pPr>
              <w:widowControl/>
              <w:jc w:val="left"/>
              <w:rPr>
                <w:color w:val="auto"/>
                <w:szCs w:val="21"/>
                <w:highlight w:val="none"/>
              </w:rPr>
            </w:pPr>
            <w:r>
              <w:rPr>
                <w:rFonts w:hint="eastAsia"/>
                <w:color w:val="auto"/>
                <w:szCs w:val="21"/>
                <w:highlight w:val="none"/>
              </w:rPr>
              <w:t>X＜10</w:t>
            </w:r>
          </w:p>
        </w:tc>
      </w:tr>
      <w:tr w14:paraId="1713937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A4B9140">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5D33B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D75E3A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1B67B64">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7C2916EB">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1454CDC6">
            <w:pPr>
              <w:widowControl/>
              <w:jc w:val="left"/>
              <w:rPr>
                <w:color w:val="auto"/>
                <w:szCs w:val="21"/>
                <w:highlight w:val="none"/>
              </w:rPr>
            </w:pPr>
            <w:r>
              <w:rPr>
                <w:rFonts w:hint="eastAsia"/>
                <w:color w:val="auto"/>
                <w:szCs w:val="21"/>
                <w:highlight w:val="none"/>
              </w:rPr>
              <w:t>Y＜100</w:t>
            </w:r>
          </w:p>
        </w:tc>
      </w:tr>
      <w:tr w14:paraId="1FABE97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C5377A5">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5197002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6981F7D">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53C1A79">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E153E65">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5CEB89E2">
            <w:pPr>
              <w:widowControl/>
              <w:jc w:val="left"/>
              <w:rPr>
                <w:color w:val="auto"/>
                <w:szCs w:val="21"/>
                <w:highlight w:val="none"/>
              </w:rPr>
            </w:pPr>
            <w:r>
              <w:rPr>
                <w:rFonts w:hint="eastAsia"/>
                <w:color w:val="auto"/>
                <w:szCs w:val="21"/>
                <w:highlight w:val="none"/>
              </w:rPr>
              <w:t>X＜10</w:t>
            </w:r>
          </w:p>
        </w:tc>
      </w:tr>
      <w:tr w14:paraId="69A2FC9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8908D5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6C1529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08D4E6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0725014">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36F2024D">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55CC46ED">
            <w:pPr>
              <w:widowControl/>
              <w:jc w:val="left"/>
              <w:rPr>
                <w:color w:val="auto"/>
                <w:szCs w:val="21"/>
                <w:highlight w:val="none"/>
              </w:rPr>
            </w:pPr>
            <w:r>
              <w:rPr>
                <w:rFonts w:hint="eastAsia"/>
                <w:color w:val="auto"/>
                <w:szCs w:val="21"/>
                <w:highlight w:val="none"/>
              </w:rPr>
              <w:t>Y＜50</w:t>
            </w:r>
          </w:p>
        </w:tc>
      </w:tr>
      <w:tr w14:paraId="5876DA8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0246435">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10A43FF1">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343B9E4">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D93DA1A">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500E10A">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4B38953">
            <w:pPr>
              <w:widowControl/>
              <w:jc w:val="left"/>
              <w:rPr>
                <w:color w:val="auto"/>
                <w:szCs w:val="21"/>
                <w:highlight w:val="none"/>
              </w:rPr>
            </w:pPr>
            <w:r>
              <w:rPr>
                <w:rFonts w:hint="eastAsia"/>
                <w:color w:val="auto"/>
                <w:szCs w:val="21"/>
                <w:highlight w:val="none"/>
              </w:rPr>
              <w:t>X＜100</w:t>
            </w:r>
          </w:p>
        </w:tc>
      </w:tr>
      <w:tr w14:paraId="7FBD691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6EDA43F">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6166434">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03A6309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807645A">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EE5BDF1">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4E1E1D8F">
            <w:pPr>
              <w:widowControl/>
              <w:jc w:val="left"/>
              <w:rPr>
                <w:color w:val="auto"/>
                <w:szCs w:val="21"/>
                <w:highlight w:val="none"/>
              </w:rPr>
            </w:pPr>
            <w:r>
              <w:rPr>
                <w:rFonts w:hint="eastAsia"/>
                <w:color w:val="auto"/>
                <w:szCs w:val="21"/>
                <w:highlight w:val="none"/>
              </w:rPr>
              <w:t>Y＜2000</w:t>
            </w:r>
          </w:p>
        </w:tc>
      </w:tr>
      <w:tr w14:paraId="3D0BA02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D27765D">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39BD137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916C474">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1E17891">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E87B7B6">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7A5BDBD2">
            <w:pPr>
              <w:widowControl/>
              <w:jc w:val="left"/>
              <w:rPr>
                <w:color w:val="auto"/>
                <w:szCs w:val="21"/>
                <w:highlight w:val="none"/>
              </w:rPr>
            </w:pPr>
            <w:r>
              <w:rPr>
                <w:rFonts w:hint="eastAsia"/>
                <w:color w:val="auto"/>
                <w:szCs w:val="21"/>
                <w:highlight w:val="none"/>
              </w:rPr>
              <w:t>X＜100</w:t>
            </w:r>
          </w:p>
        </w:tc>
      </w:tr>
      <w:tr w14:paraId="07C467C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6E19E94">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081A281">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42E71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86000E0">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4067A2B4">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178CDA13">
            <w:pPr>
              <w:widowControl/>
              <w:jc w:val="left"/>
              <w:rPr>
                <w:color w:val="auto"/>
                <w:szCs w:val="21"/>
                <w:highlight w:val="none"/>
              </w:rPr>
            </w:pPr>
            <w:r>
              <w:rPr>
                <w:rFonts w:hint="eastAsia"/>
                <w:color w:val="auto"/>
                <w:szCs w:val="21"/>
                <w:highlight w:val="none"/>
              </w:rPr>
              <w:t>Y＜500</w:t>
            </w:r>
          </w:p>
        </w:tc>
      </w:tr>
      <w:tr w14:paraId="2DA447B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69254E2">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12D2B39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735F5DF">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3960E88">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1FF7B81">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B322986">
            <w:pPr>
              <w:widowControl/>
              <w:jc w:val="left"/>
              <w:rPr>
                <w:color w:val="auto"/>
                <w:szCs w:val="21"/>
                <w:highlight w:val="none"/>
              </w:rPr>
            </w:pPr>
            <w:r>
              <w:rPr>
                <w:rFonts w:hint="eastAsia"/>
                <w:color w:val="auto"/>
                <w:szCs w:val="21"/>
                <w:highlight w:val="none"/>
              </w:rPr>
              <w:t>X＜10</w:t>
            </w:r>
          </w:p>
        </w:tc>
      </w:tr>
      <w:tr w14:paraId="1FED498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6F20BC3">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1638AA9">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64E369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13AC90">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476DBA29">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78211995">
            <w:pPr>
              <w:widowControl/>
              <w:jc w:val="left"/>
              <w:rPr>
                <w:color w:val="auto"/>
                <w:szCs w:val="21"/>
                <w:highlight w:val="none"/>
              </w:rPr>
            </w:pPr>
            <w:r>
              <w:rPr>
                <w:rFonts w:hint="eastAsia"/>
                <w:color w:val="auto"/>
                <w:szCs w:val="21"/>
                <w:highlight w:val="none"/>
              </w:rPr>
              <w:t>Y＜100</w:t>
            </w:r>
          </w:p>
        </w:tc>
      </w:tr>
      <w:tr w14:paraId="2A1E6B94">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AC53E16">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2B69E20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C9F3A7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F41D1D8">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E4DC24F">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55C7B118">
            <w:pPr>
              <w:widowControl/>
              <w:jc w:val="left"/>
              <w:rPr>
                <w:color w:val="auto"/>
                <w:szCs w:val="21"/>
                <w:highlight w:val="none"/>
              </w:rPr>
            </w:pPr>
            <w:r>
              <w:rPr>
                <w:rFonts w:hint="eastAsia"/>
                <w:color w:val="auto"/>
                <w:szCs w:val="21"/>
                <w:highlight w:val="none"/>
              </w:rPr>
              <w:t>X＜10</w:t>
            </w:r>
          </w:p>
        </w:tc>
      </w:tr>
    </w:tbl>
    <w:p w14:paraId="1ACF8388">
      <w:pPr>
        <w:spacing w:line="360" w:lineRule="auto"/>
        <w:ind w:firstLine="525"/>
        <w:rPr>
          <w:color w:val="auto"/>
          <w:szCs w:val="21"/>
          <w:highlight w:val="none"/>
        </w:rPr>
      </w:pPr>
      <w:r>
        <w:rPr>
          <w:rFonts w:hint="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32D9FD9D">
      <w:pPr>
        <w:rPr>
          <w:rFonts w:hint="eastAsia"/>
          <w:color w:val="auto"/>
          <w:sz w:val="28"/>
          <w:szCs w:val="28"/>
          <w:highlight w:val="none"/>
        </w:rPr>
      </w:pPr>
      <w:r>
        <w:rPr>
          <w:rFonts w:hint="eastAsia"/>
          <w:color w:val="auto"/>
          <w:sz w:val="28"/>
          <w:szCs w:val="28"/>
          <w:highlight w:val="none"/>
        </w:rPr>
        <w:br w:type="page" w:clear="all"/>
      </w:r>
    </w:p>
    <w:p w14:paraId="4A91AF69">
      <w:pPr>
        <w:spacing w:line="360" w:lineRule="auto"/>
        <w:rPr>
          <w:color w:val="auto"/>
          <w:sz w:val="28"/>
          <w:szCs w:val="28"/>
          <w:highlight w:val="none"/>
        </w:rPr>
      </w:pPr>
      <w:r>
        <w:rPr>
          <w:rFonts w:hint="eastAsia"/>
          <w:color w:val="auto"/>
          <w:sz w:val="28"/>
          <w:szCs w:val="28"/>
          <w:highlight w:val="none"/>
        </w:rPr>
        <w:t>附件2：</w:t>
      </w:r>
    </w:p>
    <w:p w14:paraId="36345DD1">
      <w:pPr>
        <w:rPr>
          <w:rFonts w:hint="eastAsia"/>
          <w:color w:val="auto"/>
          <w:sz w:val="28"/>
          <w:szCs w:val="28"/>
          <w:highlight w:val="none"/>
        </w:rPr>
      </w:pPr>
      <w:r>
        <w:rPr>
          <w:rFonts w:ascii="宋体" w:hAnsi="宋体" w:cs="宋体"/>
          <w:color w:val="auto"/>
          <w:position w:val="-335"/>
          <w:sz w:val="20"/>
          <w:szCs w:val="20"/>
          <w:highlight w:val="none"/>
        </w:rPr>
        <w:drawing>
          <wp:anchor distT="0" distB="0" distL="114300" distR="114300" simplePos="0" relativeHeight="251660288" behindDoc="0" locked="0" layoutInCell="1" allowOverlap="1">
            <wp:simplePos x="0" y="0"/>
            <wp:positionH relativeFrom="column">
              <wp:posOffset>1905</wp:posOffset>
            </wp:positionH>
            <wp:positionV relativeFrom="paragraph">
              <wp:posOffset>204470</wp:posOffset>
            </wp:positionV>
            <wp:extent cx="5573395" cy="8125460"/>
            <wp:effectExtent l="0" t="0" r="4445" b="12700"/>
            <wp:wrapSquare wrapText="bothSides"/>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5573394" cy="8125460"/>
                    </a:xfrm>
                    <a:prstGeom prst="rect">
                      <a:avLst/>
                    </a:prstGeom>
                    <a:noFill/>
                  </pic:spPr>
                </pic:pic>
              </a:graphicData>
            </a:graphic>
          </wp:anchor>
        </w:drawing>
      </w:r>
      <w:r>
        <w:rPr>
          <w:color w:val="auto"/>
          <w:szCs w:val="21"/>
          <w:highlight w:val="none"/>
        </w:rPr>
        <w:br w:type="page" w:clear="all"/>
      </w:r>
    </w:p>
    <w:p w14:paraId="05B54336">
      <w:pPr>
        <w:spacing w:line="360" w:lineRule="auto"/>
        <w:rPr>
          <w:color w:val="auto"/>
          <w:sz w:val="28"/>
          <w:szCs w:val="28"/>
          <w:highlight w:val="none"/>
        </w:rPr>
      </w:pPr>
      <w:r>
        <w:rPr>
          <w:rFonts w:hint="eastAsia"/>
          <w:color w:val="auto"/>
          <w:sz w:val="28"/>
          <w:szCs w:val="28"/>
          <w:highlight w:val="none"/>
        </w:rPr>
        <w:t>附件3：</w:t>
      </w:r>
    </w:p>
    <w:p w14:paraId="13AF0CDF">
      <w:pPr>
        <w:spacing w:line="528" w:lineRule="exact"/>
        <w:ind w:firstLine="280"/>
        <w:jc w:val="center"/>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节能产品政府采购品目清单</w:t>
      </w:r>
    </w:p>
    <w:p w14:paraId="0EEFFB91">
      <w:pPr>
        <w:spacing w:line="151" w:lineRule="exact"/>
        <w:rPr>
          <w:color w:val="auto"/>
          <w:highlight w:val="none"/>
        </w:rPr>
      </w:pPr>
    </w:p>
    <w:tbl>
      <w:tblPr>
        <w:tblStyle w:val="385"/>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6F16B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noWrap w:val="0"/>
            <w:vAlign w:val="top"/>
          </w:tcPr>
          <w:p w14:paraId="60067AC5">
            <w:pPr>
              <w:pStyle w:val="382"/>
              <w:spacing w:before="128" w:line="224" w:lineRule="auto"/>
              <w:ind w:left="91"/>
              <w:rPr>
                <w:color w:val="auto"/>
                <w:sz w:val="22"/>
                <w:szCs w:val="22"/>
                <w:highlight w:val="none"/>
              </w:rPr>
            </w:pPr>
            <w:r>
              <w:rPr>
                <w:b/>
                <w:bCs/>
                <w:color w:val="auto"/>
                <w:spacing w:val="-9"/>
                <w:sz w:val="22"/>
                <w:szCs w:val="22"/>
                <w:highlight w:val="none"/>
              </w:rPr>
              <w:t>品目</w:t>
            </w:r>
          </w:p>
          <w:p w14:paraId="05412F4F">
            <w:pPr>
              <w:pStyle w:val="382"/>
              <w:spacing w:before="45" w:line="222" w:lineRule="auto"/>
              <w:ind w:left="72"/>
              <w:rPr>
                <w:color w:val="auto"/>
                <w:sz w:val="22"/>
                <w:szCs w:val="22"/>
                <w:highlight w:val="none"/>
              </w:rPr>
            </w:pPr>
            <w:r>
              <w:rPr>
                <w:b/>
                <w:bCs/>
                <w:color w:val="auto"/>
                <w:spacing w:val="-4"/>
                <w:sz w:val="22"/>
                <w:szCs w:val="22"/>
                <w:highlight w:val="none"/>
              </w:rPr>
              <w:t>序号</w:t>
            </w:r>
          </w:p>
        </w:tc>
        <w:tc>
          <w:tcPr>
            <w:tcW w:w="4879" w:type="dxa"/>
            <w:gridSpan w:val="3"/>
            <w:noWrap w:val="0"/>
            <w:vAlign w:val="top"/>
          </w:tcPr>
          <w:p w14:paraId="4E81AE0E">
            <w:pPr>
              <w:pStyle w:val="382"/>
              <w:spacing w:before="285" w:line="223" w:lineRule="auto"/>
              <w:ind w:left="2226"/>
              <w:rPr>
                <w:color w:val="auto"/>
                <w:sz w:val="22"/>
                <w:szCs w:val="22"/>
                <w:highlight w:val="none"/>
              </w:rPr>
            </w:pPr>
            <w:r>
              <w:rPr>
                <w:b/>
                <w:bCs/>
                <w:color w:val="auto"/>
                <w:spacing w:val="-5"/>
                <w:sz w:val="22"/>
                <w:szCs w:val="22"/>
                <w:highlight w:val="none"/>
              </w:rPr>
              <w:t>名称</w:t>
            </w:r>
          </w:p>
        </w:tc>
        <w:tc>
          <w:tcPr>
            <w:tcW w:w="2969" w:type="dxa"/>
            <w:noWrap w:val="0"/>
            <w:vAlign w:val="top"/>
          </w:tcPr>
          <w:p w14:paraId="0844C5EA">
            <w:pPr>
              <w:pStyle w:val="382"/>
              <w:spacing w:before="285" w:line="220" w:lineRule="auto"/>
              <w:ind w:left="939"/>
              <w:rPr>
                <w:color w:val="auto"/>
                <w:sz w:val="22"/>
                <w:szCs w:val="22"/>
                <w:highlight w:val="none"/>
              </w:rPr>
            </w:pPr>
            <w:r>
              <w:rPr>
                <w:b/>
                <w:bCs/>
                <w:color w:val="auto"/>
                <w:spacing w:val="-4"/>
                <w:sz w:val="22"/>
                <w:szCs w:val="22"/>
                <w:highlight w:val="none"/>
              </w:rPr>
              <w:t>依据的标准</w:t>
            </w:r>
          </w:p>
        </w:tc>
      </w:tr>
      <w:tr w14:paraId="22948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78" w:type="dxa"/>
            <w:vMerge w:val="restart"/>
            <w:tcBorders>
              <w:bottom w:val="nil"/>
            </w:tcBorders>
            <w:noWrap w:val="0"/>
            <w:vAlign w:val="top"/>
          </w:tcPr>
          <w:p w14:paraId="7A23CA00">
            <w:pPr>
              <w:spacing w:line="246" w:lineRule="auto"/>
              <w:rPr>
                <w:rFonts w:ascii="Arial"/>
                <w:color w:val="auto"/>
                <w:sz w:val="21"/>
                <w:highlight w:val="none"/>
              </w:rPr>
            </w:pPr>
          </w:p>
          <w:p w14:paraId="77E74FB9">
            <w:pPr>
              <w:spacing w:line="247" w:lineRule="auto"/>
              <w:rPr>
                <w:rFonts w:ascii="Arial"/>
                <w:color w:val="auto"/>
                <w:sz w:val="21"/>
                <w:highlight w:val="none"/>
              </w:rPr>
            </w:pPr>
          </w:p>
          <w:p w14:paraId="1F96FC53">
            <w:pPr>
              <w:spacing w:line="247" w:lineRule="auto"/>
              <w:rPr>
                <w:rFonts w:ascii="Arial"/>
                <w:color w:val="auto"/>
                <w:sz w:val="21"/>
                <w:highlight w:val="none"/>
              </w:rPr>
            </w:pPr>
          </w:p>
          <w:p w14:paraId="7766CA2A">
            <w:pPr>
              <w:spacing w:line="247" w:lineRule="auto"/>
              <w:rPr>
                <w:rFonts w:ascii="Arial"/>
                <w:color w:val="auto"/>
                <w:sz w:val="21"/>
                <w:highlight w:val="none"/>
              </w:rPr>
            </w:pPr>
          </w:p>
          <w:p w14:paraId="7FF2C381">
            <w:pPr>
              <w:pStyle w:val="382"/>
              <w:spacing w:before="62" w:line="258" w:lineRule="exact"/>
              <w:ind w:left="257"/>
              <w:rPr>
                <w:color w:val="auto"/>
                <w:highlight w:val="none"/>
              </w:rPr>
            </w:pPr>
            <w:r>
              <w:rPr>
                <w:color w:val="auto"/>
                <w:position w:val="1"/>
                <w:highlight w:val="none"/>
              </w:rPr>
              <w:t>1</w:t>
            </w:r>
          </w:p>
        </w:tc>
        <w:tc>
          <w:tcPr>
            <w:tcW w:w="1166" w:type="dxa"/>
            <w:vMerge w:val="restart"/>
            <w:tcBorders>
              <w:bottom w:val="nil"/>
            </w:tcBorders>
            <w:noWrap w:val="0"/>
            <w:vAlign w:val="top"/>
          </w:tcPr>
          <w:p w14:paraId="207D5972">
            <w:pPr>
              <w:spacing w:line="277" w:lineRule="auto"/>
              <w:rPr>
                <w:rFonts w:ascii="Arial"/>
                <w:color w:val="auto"/>
                <w:sz w:val="21"/>
                <w:highlight w:val="none"/>
              </w:rPr>
            </w:pPr>
          </w:p>
          <w:p w14:paraId="239944DB">
            <w:pPr>
              <w:spacing w:line="277" w:lineRule="auto"/>
              <w:rPr>
                <w:rFonts w:ascii="Arial"/>
                <w:color w:val="auto"/>
                <w:sz w:val="21"/>
                <w:highlight w:val="none"/>
              </w:rPr>
            </w:pPr>
          </w:p>
          <w:p w14:paraId="372C6874">
            <w:pPr>
              <w:spacing w:line="278" w:lineRule="auto"/>
              <w:rPr>
                <w:rFonts w:ascii="Arial"/>
                <w:color w:val="auto"/>
                <w:sz w:val="21"/>
                <w:highlight w:val="none"/>
              </w:rPr>
            </w:pPr>
          </w:p>
          <w:p w14:paraId="42C985E5">
            <w:pPr>
              <w:pStyle w:val="382"/>
              <w:spacing w:before="62" w:line="304" w:lineRule="auto"/>
              <w:ind w:left="14" w:right="8" w:hanging="5"/>
              <w:rPr>
                <w:color w:val="auto"/>
                <w:highlight w:val="none"/>
              </w:rPr>
            </w:pPr>
            <w:r>
              <w:rPr>
                <w:color w:val="auto"/>
                <w:spacing w:val="5"/>
                <w:highlight w:val="none"/>
              </w:rPr>
              <w:t>A020101</w:t>
            </w:r>
            <w:r>
              <w:rPr>
                <w:color w:val="auto"/>
                <w:spacing w:val="-43"/>
                <w:highlight w:val="none"/>
              </w:rPr>
              <w:t xml:space="preserve"> </w:t>
            </w:r>
            <w:r>
              <w:rPr>
                <w:color w:val="auto"/>
                <w:spacing w:val="5"/>
                <w:highlight w:val="none"/>
              </w:rPr>
              <w:t>计算</w:t>
            </w:r>
            <w:r>
              <w:rPr>
                <w:color w:val="auto"/>
                <w:highlight w:val="none"/>
              </w:rPr>
              <w:t xml:space="preserve"> </w:t>
            </w:r>
            <w:r>
              <w:rPr>
                <w:color w:val="auto"/>
                <w:spacing w:val="6"/>
                <w:highlight w:val="none"/>
              </w:rPr>
              <w:t>机设备</w:t>
            </w:r>
          </w:p>
        </w:tc>
        <w:tc>
          <w:tcPr>
            <w:tcW w:w="1799" w:type="dxa"/>
            <w:noWrap w:val="0"/>
            <w:vAlign w:val="top"/>
          </w:tcPr>
          <w:p w14:paraId="6D473995">
            <w:pPr>
              <w:pStyle w:val="382"/>
              <w:spacing w:before="155" w:line="304" w:lineRule="auto"/>
              <w:ind w:left="17" w:right="10" w:firstLine="1"/>
              <w:rPr>
                <w:color w:val="auto"/>
                <w:highlight w:val="none"/>
              </w:rPr>
            </w:pPr>
            <w:r>
              <w:rPr>
                <w:color w:val="auto"/>
                <w:spacing w:val="3"/>
                <w:highlight w:val="none"/>
              </w:rPr>
              <w:t>★A02010104 台式计</w:t>
            </w:r>
            <w:r>
              <w:rPr>
                <w:color w:val="auto"/>
                <w:spacing w:val="4"/>
                <w:highlight w:val="none"/>
              </w:rPr>
              <w:t>算机</w:t>
            </w:r>
          </w:p>
        </w:tc>
        <w:tc>
          <w:tcPr>
            <w:tcW w:w="1914" w:type="dxa"/>
            <w:noWrap w:val="0"/>
            <w:vAlign w:val="top"/>
          </w:tcPr>
          <w:p w14:paraId="2DB310C1">
            <w:pPr>
              <w:rPr>
                <w:rFonts w:ascii="Arial"/>
                <w:color w:val="auto"/>
                <w:sz w:val="21"/>
                <w:highlight w:val="none"/>
              </w:rPr>
            </w:pPr>
          </w:p>
        </w:tc>
        <w:tc>
          <w:tcPr>
            <w:tcW w:w="2969" w:type="dxa"/>
            <w:noWrap w:val="0"/>
            <w:vAlign w:val="top"/>
          </w:tcPr>
          <w:p w14:paraId="054EFCCF">
            <w:pPr>
              <w:pStyle w:val="382"/>
              <w:spacing w:before="156" w:line="304"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00755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78" w:type="dxa"/>
            <w:vMerge w:val="continue"/>
            <w:tcBorders>
              <w:top w:val="nil"/>
              <w:bottom w:val="nil"/>
            </w:tcBorders>
            <w:noWrap w:val="0"/>
            <w:vAlign w:val="top"/>
          </w:tcPr>
          <w:p w14:paraId="61AA7047">
            <w:pPr>
              <w:rPr>
                <w:rFonts w:ascii="Arial"/>
                <w:color w:val="auto"/>
                <w:sz w:val="21"/>
                <w:highlight w:val="none"/>
              </w:rPr>
            </w:pPr>
          </w:p>
        </w:tc>
        <w:tc>
          <w:tcPr>
            <w:tcW w:w="1166" w:type="dxa"/>
            <w:vMerge w:val="continue"/>
            <w:tcBorders>
              <w:top w:val="nil"/>
              <w:bottom w:val="nil"/>
            </w:tcBorders>
            <w:noWrap w:val="0"/>
            <w:vAlign w:val="top"/>
          </w:tcPr>
          <w:p w14:paraId="35BD6611">
            <w:pPr>
              <w:rPr>
                <w:rFonts w:ascii="Arial"/>
                <w:color w:val="auto"/>
                <w:sz w:val="21"/>
                <w:highlight w:val="none"/>
              </w:rPr>
            </w:pPr>
          </w:p>
        </w:tc>
        <w:tc>
          <w:tcPr>
            <w:tcW w:w="1799" w:type="dxa"/>
            <w:noWrap w:val="0"/>
            <w:vAlign w:val="top"/>
          </w:tcPr>
          <w:p w14:paraId="6ED077C4">
            <w:pPr>
              <w:pStyle w:val="382"/>
              <w:spacing w:before="108" w:line="293" w:lineRule="auto"/>
              <w:ind w:left="15" w:right="10" w:firstLine="3"/>
              <w:rPr>
                <w:color w:val="auto"/>
                <w:highlight w:val="none"/>
              </w:rPr>
            </w:pPr>
            <w:r>
              <w:rPr>
                <w:color w:val="auto"/>
                <w:spacing w:val="3"/>
                <w:highlight w:val="none"/>
              </w:rPr>
              <w:t>★A02010105 便携式</w:t>
            </w:r>
            <w:r>
              <w:rPr>
                <w:color w:val="auto"/>
                <w:spacing w:val="12"/>
                <w:highlight w:val="none"/>
              </w:rPr>
              <w:t xml:space="preserve"> </w:t>
            </w:r>
            <w:r>
              <w:rPr>
                <w:color w:val="auto"/>
                <w:spacing w:val="6"/>
                <w:highlight w:val="none"/>
              </w:rPr>
              <w:t>计算机</w:t>
            </w:r>
          </w:p>
        </w:tc>
        <w:tc>
          <w:tcPr>
            <w:tcW w:w="1914" w:type="dxa"/>
            <w:noWrap w:val="0"/>
            <w:vAlign w:val="top"/>
          </w:tcPr>
          <w:p w14:paraId="41EB0E9D">
            <w:pPr>
              <w:rPr>
                <w:rFonts w:ascii="Arial"/>
                <w:color w:val="auto"/>
                <w:sz w:val="21"/>
                <w:highlight w:val="none"/>
              </w:rPr>
            </w:pPr>
          </w:p>
        </w:tc>
        <w:tc>
          <w:tcPr>
            <w:tcW w:w="2969" w:type="dxa"/>
            <w:noWrap w:val="0"/>
            <w:vAlign w:val="top"/>
          </w:tcPr>
          <w:p w14:paraId="07BD2C1B">
            <w:pPr>
              <w:pStyle w:val="382"/>
              <w:spacing w:before="108" w:line="293"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0AD2D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578" w:type="dxa"/>
            <w:vMerge w:val="continue"/>
            <w:tcBorders>
              <w:top w:val="nil"/>
            </w:tcBorders>
            <w:noWrap w:val="0"/>
            <w:vAlign w:val="top"/>
          </w:tcPr>
          <w:p w14:paraId="6A0D755B">
            <w:pPr>
              <w:rPr>
                <w:rFonts w:ascii="Arial"/>
                <w:color w:val="auto"/>
                <w:sz w:val="21"/>
                <w:highlight w:val="none"/>
              </w:rPr>
            </w:pPr>
          </w:p>
        </w:tc>
        <w:tc>
          <w:tcPr>
            <w:tcW w:w="1166" w:type="dxa"/>
            <w:vMerge w:val="continue"/>
            <w:tcBorders>
              <w:top w:val="nil"/>
            </w:tcBorders>
            <w:noWrap w:val="0"/>
            <w:vAlign w:val="top"/>
          </w:tcPr>
          <w:p w14:paraId="6AA6BC42">
            <w:pPr>
              <w:rPr>
                <w:rFonts w:ascii="Arial"/>
                <w:color w:val="auto"/>
                <w:sz w:val="21"/>
                <w:highlight w:val="none"/>
              </w:rPr>
            </w:pPr>
          </w:p>
        </w:tc>
        <w:tc>
          <w:tcPr>
            <w:tcW w:w="1799" w:type="dxa"/>
            <w:noWrap w:val="0"/>
            <w:vAlign w:val="top"/>
          </w:tcPr>
          <w:p w14:paraId="15F8E7D8">
            <w:pPr>
              <w:pStyle w:val="382"/>
              <w:spacing w:before="128" w:line="301" w:lineRule="auto"/>
              <w:ind w:left="15" w:right="10" w:firstLine="3"/>
              <w:rPr>
                <w:color w:val="auto"/>
                <w:highlight w:val="none"/>
              </w:rPr>
            </w:pPr>
            <w:r>
              <w:rPr>
                <w:color w:val="auto"/>
                <w:spacing w:val="3"/>
                <w:highlight w:val="none"/>
              </w:rPr>
              <w:t>★A02010107 平板式</w:t>
            </w:r>
            <w:r>
              <w:rPr>
                <w:color w:val="auto"/>
                <w:spacing w:val="12"/>
                <w:highlight w:val="none"/>
              </w:rPr>
              <w:t xml:space="preserve"> </w:t>
            </w:r>
            <w:r>
              <w:rPr>
                <w:color w:val="auto"/>
                <w:spacing w:val="8"/>
                <w:highlight w:val="none"/>
              </w:rPr>
              <w:t>微型计算机</w:t>
            </w:r>
          </w:p>
        </w:tc>
        <w:tc>
          <w:tcPr>
            <w:tcW w:w="1914" w:type="dxa"/>
            <w:noWrap w:val="0"/>
            <w:vAlign w:val="top"/>
          </w:tcPr>
          <w:p w14:paraId="1582323B">
            <w:pPr>
              <w:rPr>
                <w:rFonts w:ascii="Arial"/>
                <w:color w:val="auto"/>
                <w:sz w:val="21"/>
                <w:highlight w:val="none"/>
              </w:rPr>
            </w:pPr>
          </w:p>
        </w:tc>
        <w:tc>
          <w:tcPr>
            <w:tcW w:w="2969" w:type="dxa"/>
            <w:noWrap w:val="0"/>
            <w:vAlign w:val="top"/>
          </w:tcPr>
          <w:p w14:paraId="5A1EDBAF">
            <w:pPr>
              <w:pStyle w:val="382"/>
              <w:spacing w:before="128" w:line="301"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70E38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restart"/>
            <w:tcBorders>
              <w:bottom w:val="nil"/>
            </w:tcBorders>
            <w:noWrap w:val="0"/>
            <w:vAlign w:val="top"/>
          </w:tcPr>
          <w:p w14:paraId="4719BC3A">
            <w:pPr>
              <w:spacing w:line="250" w:lineRule="auto"/>
              <w:rPr>
                <w:rFonts w:ascii="Arial"/>
                <w:color w:val="auto"/>
                <w:sz w:val="21"/>
                <w:highlight w:val="none"/>
              </w:rPr>
            </w:pPr>
          </w:p>
          <w:p w14:paraId="44F22B60">
            <w:pPr>
              <w:spacing w:line="251" w:lineRule="auto"/>
              <w:rPr>
                <w:rFonts w:ascii="Arial"/>
                <w:color w:val="auto"/>
                <w:sz w:val="21"/>
                <w:highlight w:val="none"/>
              </w:rPr>
            </w:pPr>
          </w:p>
          <w:p w14:paraId="73A96DEE">
            <w:pPr>
              <w:spacing w:line="251" w:lineRule="auto"/>
              <w:rPr>
                <w:rFonts w:ascii="Arial"/>
                <w:color w:val="auto"/>
                <w:sz w:val="21"/>
                <w:highlight w:val="none"/>
              </w:rPr>
            </w:pPr>
          </w:p>
          <w:p w14:paraId="22D93015">
            <w:pPr>
              <w:spacing w:line="251" w:lineRule="auto"/>
              <w:rPr>
                <w:rFonts w:ascii="Arial"/>
                <w:color w:val="auto"/>
                <w:sz w:val="21"/>
                <w:highlight w:val="none"/>
              </w:rPr>
            </w:pPr>
          </w:p>
          <w:p w14:paraId="3017900F">
            <w:pPr>
              <w:spacing w:line="251" w:lineRule="auto"/>
              <w:rPr>
                <w:rFonts w:ascii="Arial"/>
                <w:color w:val="auto"/>
                <w:sz w:val="21"/>
                <w:highlight w:val="none"/>
              </w:rPr>
            </w:pPr>
          </w:p>
          <w:p w14:paraId="3C1C61B2">
            <w:pPr>
              <w:spacing w:line="251" w:lineRule="auto"/>
              <w:rPr>
                <w:rFonts w:ascii="Arial"/>
                <w:color w:val="auto"/>
                <w:sz w:val="21"/>
                <w:highlight w:val="none"/>
              </w:rPr>
            </w:pPr>
          </w:p>
          <w:p w14:paraId="51F9D485">
            <w:pPr>
              <w:spacing w:line="251" w:lineRule="auto"/>
              <w:rPr>
                <w:rFonts w:ascii="Arial"/>
                <w:color w:val="auto"/>
                <w:sz w:val="21"/>
                <w:highlight w:val="none"/>
              </w:rPr>
            </w:pPr>
          </w:p>
          <w:p w14:paraId="7BC193A0">
            <w:pPr>
              <w:spacing w:line="251" w:lineRule="auto"/>
              <w:rPr>
                <w:rFonts w:ascii="Arial"/>
                <w:color w:val="auto"/>
                <w:sz w:val="21"/>
                <w:highlight w:val="none"/>
              </w:rPr>
            </w:pPr>
          </w:p>
          <w:p w14:paraId="58789A18">
            <w:pPr>
              <w:pStyle w:val="382"/>
              <w:spacing w:before="61" w:line="258" w:lineRule="exact"/>
              <w:ind w:left="245"/>
              <w:rPr>
                <w:color w:val="auto"/>
                <w:highlight w:val="none"/>
              </w:rPr>
            </w:pPr>
            <w:r>
              <w:rPr>
                <w:color w:val="auto"/>
                <w:position w:val="1"/>
                <w:highlight w:val="none"/>
              </w:rPr>
              <w:t>2</w:t>
            </w:r>
          </w:p>
        </w:tc>
        <w:tc>
          <w:tcPr>
            <w:tcW w:w="1166" w:type="dxa"/>
            <w:vMerge w:val="restart"/>
            <w:tcBorders>
              <w:bottom w:val="nil"/>
            </w:tcBorders>
            <w:noWrap w:val="0"/>
            <w:vAlign w:val="top"/>
          </w:tcPr>
          <w:p w14:paraId="70174474">
            <w:pPr>
              <w:spacing w:line="264" w:lineRule="auto"/>
              <w:rPr>
                <w:rFonts w:ascii="Arial"/>
                <w:color w:val="auto"/>
                <w:sz w:val="21"/>
                <w:highlight w:val="none"/>
              </w:rPr>
            </w:pPr>
          </w:p>
          <w:p w14:paraId="30A2E12E">
            <w:pPr>
              <w:spacing w:line="264" w:lineRule="auto"/>
              <w:rPr>
                <w:rFonts w:ascii="Arial"/>
                <w:color w:val="auto"/>
                <w:sz w:val="21"/>
                <w:highlight w:val="none"/>
              </w:rPr>
            </w:pPr>
          </w:p>
          <w:p w14:paraId="26C09FC6">
            <w:pPr>
              <w:spacing w:line="264" w:lineRule="auto"/>
              <w:rPr>
                <w:rFonts w:ascii="Arial"/>
                <w:color w:val="auto"/>
                <w:sz w:val="21"/>
                <w:highlight w:val="none"/>
              </w:rPr>
            </w:pPr>
          </w:p>
          <w:p w14:paraId="1E726C88">
            <w:pPr>
              <w:spacing w:line="265" w:lineRule="auto"/>
              <w:rPr>
                <w:rFonts w:ascii="Arial"/>
                <w:color w:val="auto"/>
                <w:sz w:val="21"/>
                <w:highlight w:val="none"/>
              </w:rPr>
            </w:pPr>
          </w:p>
          <w:p w14:paraId="320E3693">
            <w:pPr>
              <w:spacing w:line="265" w:lineRule="auto"/>
              <w:rPr>
                <w:rFonts w:ascii="Arial"/>
                <w:color w:val="auto"/>
                <w:sz w:val="21"/>
                <w:highlight w:val="none"/>
              </w:rPr>
            </w:pPr>
          </w:p>
          <w:p w14:paraId="35630D5B">
            <w:pPr>
              <w:spacing w:line="265" w:lineRule="auto"/>
              <w:rPr>
                <w:rFonts w:ascii="Arial"/>
                <w:color w:val="auto"/>
                <w:sz w:val="21"/>
                <w:highlight w:val="none"/>
              </w:rPr>
            </w:pPr>
          </w:p>
          <w:p w14:paraId="27B22D4E">
            <w:pPr>
              <w:spacing w:line="265" w:lineRule="auto"/>
              <w:rPr>
                <w:rFonts w:ascii="Arial"/>
                <w:color w:val="auto"/>
                <w:sz w:val="21"/>
                <w:highlight w:val="none"/>
              </w:rPr>
            </w:pPr>
          </w:p>
          <w:p w14:paraId="21D2BFF0">
            <w:pPr>
              <w:pStyle w:val="382"/>
              <w:spacing w:before="62" w:line="304" w:lineRule="auto"/>
              <w:ind w:left="14" w:right="8" w:hanging="5"/>
              <w:rPr>
                <w:color w:val="auto"/>
                <w:highlight w:val="none"/>
              </w:rPr>
            </w:pPr>
            <w:r>
              <w:rPr>
                <w:color w:val="auto"/>
                <w:spacing w:val="5"/>
                <w:highlight w:val="none"/>
              </w:rPr>
              <w:t>A020106</w:t>
            </w:r>
            <w:r>
              <w:rPr>
                <w:color w:val="auto"/>
                <w:spacing w:val="-43"/>
                <w:highlight w:val="none"/>
              </w:rPr>
              <w:t xml:space="preserve"> </w:t>
            </w:r>
            <w:r>
              <w:rPr>
                <w:color w:val="auto"/>
                <w:spacing w:val="5"/>
                <w:highlight w:val="none"/>
              </w:rPr>
              <w:t>输入</w:t>
            </w:r>
            <w:r>
              <w:rPr>
                <w:color w:val="auto"/>
                <w:highlight w:val="none"/>
              </w:rPr>
              <w:t xml:space="preserve"> </w:t>
            </w:r>
            <w:r>
              <w:rPr>
                <w:color w:val="auto"/>
                <w:spacing w:val="7"/>
                <w:highlight w:val="none"/>
              </w:rPr>
              <w:t>输出设备</w:t>
            </w:r>
          </w:p>
        </w:tc>
        <w:tc>
          <w:tcPr>
            <w:tcW w:w="1799" w:type="dxa"/>
            <w:vMerge w:val="restart"/>
            <w:tcBorders>
              <w:bottom w:val="nil"/>
            </w:tcBorders>
            <w:noWrap w:val="0"/>
            <w:vAlign w:val="top"/>
          </w:tcPr>
          <w:p w14:paraId="6FFE241F">
            <w:pPr>
              <w:spacing w:line="315" w:lineRule="auto"/>
              <w:rPr>
                <w:rFonts w:ascii="Arial"/>
                <w:color w:val="auto"/>
                <w:sz w:val="21"/>
                <w:highlight w:val="none"/>
              </w:rPr>
            </w:pPr>
          </w:p>
          <w:p w14:paraId="3562CD07">
            <w:pPr>
              <w:spacing w:line="315" w:lineRule="auto"/>
              <w:rPr>
                <w:rFonts w:ascii="Arial"/>
                <w:color w:val="auto"/>
                <w:sz w:val="21"/>
                <w:highlight w:val="none"/>
              </w:rPr>
            </w:pPr>
          </w:p>
          <w:p w14:paraId="7BBB2AA3">
            <w:pPr>
              <w:spacing w:line="315" w:lineRule="auto"/>
              <w:rPr>
                <w:rFonts w:ascii="Arial"/>
                <w:color w:val="auto"/>
                <w:sz w:val="21"/>
                <w:highlight w:val="none"/>
              </w:rPr>
            </w:pPr>
          </w:p>
          <w:p w14:paraId="1C08C605">
            <w:pPr>
              <w:pStyle w:val="382"/>
              <w:spacing w:before="62" w:line="229" w:lineRule="auto"/>
              <w:ind w:left="9"/>
              <w:rPr>
                <w:color w:val="auto"/>
                <w:highlight w:val="none"/>
              </w:rPr>
            </w:pPr>
            <w:r>
              <w:rPr>
                <w:color w:val="auto"/>
                <w:spacing w:val="5"/>
                <w:highlight w:val="none"/>
              </w:rPr>
              <w:t>A02010601</w:t>
            </w:r>
            <w:r>
              <w:rPr>
                <w:color w:val="auto"/>
                <w:spacing w:val="-28"/>
                <w:highlight w:val="none"/>
              </w:rPr>
              <w:t xml:space="preserve"> </w:t>
            </w:r>
            <w:r>
              <w:rPr>
                <w:color w:val="auto"/>
                <w:spacing w:val="5"/>
                <w:highlight w:val="none"/>
              </w:rPr>
              <w:t>打印设备</w:t>
            </w:r>
          </w:p>
        </w:tc>
        <w:tc>
          <w:tcPr>
            <w:tcW w:w="1914" w:type="dxa"/>
            <w:noWrap w:val="0"/>
            <w:vAlign w:val="top"/>
          </w:tcPr>
          <w:p w14:paraId="186ED85A">
            <w:pPr>
              <w:pStyle w:val="382"/>
              <w:spacing w:before="114" w:line="297" w:lineRule="auto"/>
              <w:ind w:left="31" w:right="8" w:hanging="21"/>
              <w:rPr>
                <w:color w:val="auto"/>
                <w:highlight w:val="none"/>
              </w:rPr>
            </w:pPr>
            <w:r>
              <w:rPr>
                <w:color w:val="auto"/>
                <w:spacing w:val="3"/>
                <w:highlight w:val="none"/>
              </w:rPr>
              <w:t>A0201060101</w:t>
            </w:r>
            <w:r>
              <w:rPr>
                <w:color w:val="auto"/>
                <w:spacing w:val="50"/>
                <w:highlight w:val="none"/>
              </w:rPr>
              <w:t xml:space="preserve"> </w:t>
            </w:r>
            <w:r>
              <w:rPr>
                <w:color w:val="auto"/>
                <w:spacing w:val="3"/>
                <w:highlight w:val="none"/>
              </w:rPr>
              <w:t>喷</w:t>
            </w:r>
            <w:r>
              <w:rPr>
                <w:color w:val="auto"/>
                <w:spacing w:val="-51"/>
                <w:highlight w:val="none"/>
              </w:rPr>
              <w:t xml:space="preserve"> </w:t>
            </w:r>
            <w:r>
              <w:rPr>
                <w:color w:val="auto"/>
                <w:spacing w:val="3"/>
                <w:highlight w:val="none"/>
              </w:rPr>
              <w:t>墨</w:t>
            </w:r>
            <w:r>
              <w:rPr>
                <w:color w:val="auto"/>
                <w:spacing w:val="-53"/>
                <w:highlight w:val="none"/>
              </w:rPr>
              <w:t xml:space="preserve"> </w:t>
            </w:r>
            <w:r>
              <w:rPr>
                <w:color w:val="auto"/>
                <w:spacing w:val="3"/>
                <w:highlight w:val="none"/>
              </w:rPr>
              <w:t>打</w:t>
            </w:r>
            <w:r>
              <w:rPr>
                <w:color w:val="auto"/>
                <w:highlight w:val="none"/>
              </w:rPr>
              <w:t xml:space="preserve"> </w:t>
            </w:r>
            <w:r>
              <w:rPr>
                <w:color w:val="auto"/>
                <w:spacing w:val="-2"/>
                <w:highlight w:val="none"/>
              </w:rPr>
              <w:t>印机</w:t>
            </w:r>
          </w:p>
        </w:tc>
        <w:tc>
          <w:tcPr>
            <w:tcW w:w="2969" w:type="dxa"/>
            <w:noWrap w:val="0"/>
            <w:vAlign w:val="top"/>
          </w:tcPr>
          <w:p w14:paraId="2039F3FD">
            <w:pPr>
              <w:pStyle w:val="382"/>
              <w:spacing w:before="114" w:line="297"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30900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noWrap w:val="0"/>
            <w:vAlign w:val="top"/>
          </w:tcPr>
          <w:p w14:paraId="366FA5CA">
            <w:pPr>
              <w:rPr>
                <w:rFonts w:ascii="Arial"/>
                <w:color w:val="auto"/>
                <w:sz w:val="21"/>
                <w:highlight w:val="none"/>
              </w:rPr>
            </w:pPr>
          </w:p>
        </w:tc>
        <w:tc>
          <w:tcPr>
            <w:tcW w:w="1166" w:type="dxa"/>
            <w:vMerge w:val="continue"/>
            <w:tcBorders>
              <w:top w:val="nil"/>
              <w:bottom w:val="nil"/>
            </w:tcBorders>
            <w:noWrap w:val="0"/>
            <w:vAlign w:val="top"/>
          </w:tcPr>
          <w:p w14:paraId="7370370F">
            <w:pPr>
              <w:rPr>
                <w:rFonts w:ascii="Arial"/>
                <w:color w:val="auto"/>
                <w:sz w:val="21"/>
                <w:highlight w:val="none"/>
              </w:rPr>
            </w:pPr>
          </w:p>
        </w:tc>
        <w:tc>
          <w:tcPr>
            <w:tcW w:w="1799" w:type="dxa"/>
            <w:vMerge w:val="continue"/>
            <w:tcBorders>
              <w:top w:val="nil"/>
              <w:bottom w:val="nil"/>
            </w:tcBorders>
            <w:noWrap w:val="0"/>
            <w:vAlign w:val="top"/>
          </w:tcPr>
          <w:p w14:paraId="130FD74D">
            <w:pPr>
              <w:rPr>
                <w:rFonts w:ascii="Arial"/>
                <w:color w:val="auto"/>
                <w:sz w:val="21"/>
                <w:highlight w:val="none"/>
              </w:rPr>
            </w:pPr>
          </w:p>
        </w:tc>
        <w:tc>
          <w:tcPr>
            <w:tcW w:w="1914" w:type="dxa"/>
            <w:noWrap w:val="0"/>
            <w:vAlign w:val="top"/>
          </w:tcPr>
          <w:p w14:paraId="66A280A6">
            <w:pPr>
              <w:pStyle w:val="382"/>
              <w:spacing w:before="116" w:line="296" w:lineRule="auto"/>
              <w:ind w:left="19" w:right="8"/>
              <w:rPr>
                <w:color w:val="auto"/>
                <w:highlight w:val="none"/>
              </w:rPr>
            </w:pPr>
            <w:r>
              <w:rPr>
                <w:color w:val="auto"/>
                <w:spacing w:val="3"/>
                <w:highlight w:val="none"/>
              </w:rPr>
              <w:t>★</w:t>
            </w:r>
            <w:r>
              <w:rPr>
                <w:color w:val="auto"/>
                <w:spacing w:val="-50"/>
                <w:highlight w:val="none"/>
              </w:rPr>
              <w:t xml:space="preserve"> </w:t>
            </w:r>
            <w:r>
              <w:rPr>
                <w:color w:val="auto"/>
                <w:spacing w:val="3"/>
                <w:highlight w:val="none"/>
              </w:rPr>
              <w:t>A0201060102</w:t>
            </w:r>
            <w:r>
              <w:rPr>
                <w:color w:val="auto"/>
                <w:spacing w:val="41"/>
                <w:highlight w:val="none"/>
              </w:rPr>
              <w:t xml:space="preserve"> </w:t>
            </w:r>
            <w:r>
              <w:rPr>
                <w:color w:val="auto"/>
                <w:spacing w:val="3"/>
                <w:highlight w:val="none"/>
              </w:rPr>
              <w:t>激</w:t>
            </w:r>
            <w:r>
              <w:rPr>
                <w:color w:val="auto"/>
                <w:spacing w:val="-54"/>
                <w:highlight w:val="none"/>
              </w:rPr>
              <w:t xml:space="preserve"> </w:t>
            </w:r>
            <w:r>
              <w:rPr>
                <w:color w:val="auto"/>
                <w:spacing w:val="3"/>
                <w:highlight w:val="none"/>
              </w:rPr>
              <w:t>光</w:t>
            </w:r>
            <w:r>
              <w:rPr>
                <w:color w:val="auto"/>
                <w:highlight w:val="none"/>
              </w:rPr>
              <w:t xml:space="preserve"> </w:t>
            </w:r>
            <w:r>
              <w:rPr>
                <w:color w:val="auto"/>
                <w:spacing w:val="5"/>
                <w:highlight w:val="none"/>
              </w:rPr>
              <w:t>打印机</w:t>
            </w:r>
          </w:p>
        </w:tc>
        <w:tc>
          <w:tcPr>
            <w:tcW w:w="2969" w:type="dxa"/>
            <w:noWrap w:val="0"/>
            <w:vAlign w:val="top"/>
          </w:tcPr>
          <w:p w14:paraId="4E2AB49D">
            <w:pPr>
              <w:pStyle w:val="382"/>
              <w:spacing w:before="116" w:line="296"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1E905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noWrap w:val="0"/>
            <w:vAlign w:val="top"/>
          </w:tcPr>
          <w:p w14:paraId="4F64FB49">
            <w:pPr>
              <w:rPr>
                <w:rFonts w:ascii="Arial"/>
                <w:color w:val="auto"/>
                <w:sz w:val="21"/>
                <w:highlight w:val="none"/>
              </w:rPr>
            </w:pPr>
          </w:p>
        </w:tc>
        <w:tc>
          <w:tcPr>
            <w:tcW w:w="1166" w:type="dxa"/>
            <w:vMerge w:val="continue"/>
            <w:tcBorders>
              <w:top w:val="nil"/>
              <w:bottom w:val="nil"/>
            </w:tcBorders>
            <w:noWrap w:val="0"/>
            <w:vAlign w:val="top"/>
          </w:tcPr>
          <w:p w14:paraId="3D435467">
            <w:pPr>
              <w:rPr>
                <w:rFonts w:ascii="Arial"/>
                <w:color w:val="auto"/>
                <w:sz w:val="21"/>
                <w:highlight w:val="none"/>
              </w:rPr>
            </w:pPr>
          </w:p>
        </w:tc>
        <w:tc>
          <w:tcPr>
            <w:tcW w:w="1799" w:type="dxa"/>
            <w:vMerge w:val="continue"/>
            <w:tcBorders>
              <w:top w:val="nil"/>
            </w:tcBorders>
            <w:noWrap w:val="0"/>
            <w:vAlign w:val="top"/>
          </w:tcPr>
          <w:p w14:paraId="5F04F82D">
            <w:pPr>
              <w:rPr>
                <w:rFonts w:ascii="Arial"/>
                <w:color w:val="auto"/>
                <w:sz w:val="21"/>
                <w:highlight w:val="none"/>
              </w:rPr>
            </w:pPr>
          </w:p>
        </w:tc>
        <w:tc>
          <w:tcPr>
            <w:tcW w:w="1914" w:type="dxa"/>
            <w:noWrap w:val="0"/>
            <w:vAlign w:val="top"/>
          </w:tcPr>
          <w:p w14:paraId="7005BDEB">
            <w:pPr>
              <w:pStyle w:val="382"/>
              <w:spacing w:before="116" w:line="296" w:lineRule="auto"/>
              <w:ind w:left="19" w:right="8"/>
              <w:rPr>
                <w:color w:val="auto"/>
                <w:highlight w:val="none"/>
              </w:rPr>
            </w:pPr>
            <w:r>
              <w:rPr>
                <w:color w:val="auto"/>
                <w:spacing w:val="3"/>
                <w:highlight w:val="none"/>
              </w:rPr>
              <w:t>★</w:t>
            </w:r>
            <w:r>
              <w:rPr>
                <w:color w:val="auto"/>
                <w:spacing w:val="-54"/>
                <w:highlight w:val="none"/>
              </w:rPr>
              <w:t xml:space="preserve"> </w:t>
            </w:r>
            <w:r>
              <w:rPr>
                <w:color w:val="auto"/>
                <w:spacing w:val="3"/>
                <w:highlight w:val="none"/>
              </w:rPr>
              <w:t>A0201060104</w:t>
            </w:r>
            <w:r>
              <w:rPr>
                <w:color w:val="auto"/>
                <w:spacing w:val="43"/>
                <w:highlight w:val="none"/>
              </w:rPr>
              <w:t xml:space="preserve"> </w:t>
            </w:r>
            <w:r>
              <w:rPr>
                <w:color w:val="auto"/>
                <w:spacing w:val="3"/>
                <w:highlight w:val="none"/>
              </w:rPr>
              <w:t>针</w:t>
            </w:r>
            <w:r>
              <w:rPr>
                <w:color w:val="auto"/>
                <w:spacing w:val="-52"/>
                <w:highlight w:val="none"/>
              </w:rPr>
              <w:t xml:space="preserve"> </w:t>
            </w:r>
            <w:r>
              <w:rPr>
                <w:color w:val="auto"/>
                <w:spacing w:val="3"/>
                <w:highlight w:val="none"/>
              </w:rPr>
              <w:t>式</w:t>
            </w:r>
            <w:r>
              <w:rPr>
                <w:color w:val="auto"/>
                <w:highlight w:val="none"/>
              </w:rPr>
              <w:t xml:space="preserve"> </w:t>
            </w:r>
            <w:r>
              <w:rPr>
                <w:color w:val="auto"/>
                <w:spacing w:val="5"/>
                <w:highlight w:val="none"/>
              </w:rPr>
              <w:t>打印机</w:t>
            </w:r>
          </w:p>
        </w:tc>
        <w:tc>
          <w:tcPr>
            <w:tcW w:w="2969" w:type="dxa"/>
            <w:noWrap w:val="0"/>
            <w:vAlign w:val="top"/>
          </w:tcPr>
          <w:p w14:paraId="7A56D032">
            <w:pPr>
              <w:pStyle w:val="382"/>
              <w:spacing w:before="116" w:line="296"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631FB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578" w:type="dxa"/>
            <w:vMerge w:val="continue"/>
            <w:tcBorders>
              <w:top w:val="nil"/>
              <w:bottom w:val="nil"/>
            </w:tcBorders>
            <w:noWrap w:val="0"/>
            <w:vAlign w:val="top"/>
          </w:tcPr>
          <w:p w14:paraId="54EC8CA7">
            <w:pPr>
              <w:rPr>
                <w:rFonts w:ascii="Arial"/>
                <w:color w:val="auto"/>
                <w:sz w:val="21"/>
                <w:highlight w:val="none"/>
              </w:rPr>
            </w:pPr>
          </w:p>
        </w:tc>
        <w:tc>
          <w:tcPr>
            <w:tcW w:w="1166" w:type="dxa"/>
            <w:vMerge w:val="continue"/>
            <w:tcBorders>
              <w:top w:val="nil"/>
              <w:bottom w:val="nil"/>
            </w:tcBorders>
            <w:noWrap w:val="0"/>
            <w:vAlign w:val="top"/>
          </w:tcPr>
          <w:p w14:paraId="1070C04C">
            <w:pPr>
              <w:rPr>
                <w:rFonts w:ascii="Arial"/>
                <w:color w:val="auto"/>
                <w:sz w:val="21"/>
                <w:highlight w:val="none"/>
              </w:rPr>
            </w:pPr>
          </w:p>
        </w:tc>
        <w:tc>
          <w:tcPr>
            <w:tcW w:w="1799" w:type="dxa"/>
            <w:noWrap w:val="0"/>
            <w:vAlign w:val="top"/>
          </w:tcPr>
          <w:p w14:paraId="5E9F485A">
            <w:pPr>
              <w:pStyle w:val="382"/>
              <w:spacing w:before="290" w:line="230" w:lineRule="auto"/>
              <w:ind w:left="9"/>
              <w:rPr>
                <w:color w:val="auto"/>
                <w:highlight w:val="none"/>
              </w:rPr>
            </w:pPr>
            <w:r>
              <w:rPr>
                <w:color w:val="auto"/>
                <w:spacing w:val="5"/>
                <w:highlight w:val="none"/>
              </w:rPr>
              <w:t>A02010604</w:t>
            </w:r>
            <w:r>
              <w:rPr>
                <w:color w:val="auto"/>
                <w:spacing w:val="-28"/>
                <w:highlight w:val="none"/>
              </w:rPr>
              <w:t xml:space="preserve"> </w:t>
            </w:r>
            <w:r>
              <w:rPr>
                <w:color w:val="auto"/>
                <w:spacing w:val="5"/>
                <w:highlight w:val="none"/>
              </w:rPr>
              <w:t>显示设备</w:t>
            </w:r>
          </w:p>
        </w:tc>
        <w:tc>
          <w:tcPr>
            <w:tcW w:w="1914" w:type="dxa"/>
            <w:noWrap w:val="0"/>
            <w:vAlign w:val="top"/>
          </w:tcPr>
          <w:p w14:paraId="22181435">
            <w:pPr>
              <w:pStyle w:val="382"/>
              <w:spacing w:before="133" w:line="303" w:lineRule="auto"/>
              <w:ind w:left="20" w:right="8" w:hanging="1"/>
              <w:rPr>
                <w:color w:val="auto"/>
                <w:highlight w:val="none"/>
              </w:rPr>
            </w:pPr>
            <w:r>
              <w:rPr>
                <w:color w:val="auto"/>
                <w:spacing w:val="2"/>
                <w:highlight w:val="none"/>
              </w:rPr>
              <w:t>★</w:t>
            </w:r>
            <w:r>
              <w:rPr>
                <w:color w:val="auto"/>
                <w:spacing w:val="-54"/>
                <w:highlight w:val="none"/>
              </w:rPr>
              <w:t xml:space="preserve"> </w:t>
            </w:r>
            <w:r>
              <w:rPr>
                <w:color w:val="auto"/>
                <w:spacing w:val="2"/>
                <w:highlight w:val="none"/>
              </w:rPr>
              <w:t>A0201060401</w:t>
            </w:r>
            <w:r>
              <w:rPr>
                <w:color w:val="auto"/>
                <w:spacing w:val="44"/>
                <w:highlight w:val="none"/>
              </w:rPr>
              <w:t xml:space="preserve"> </w:t>
            </w:r>
            <w:r>
              <w:rPr>
                <w:color w:val="auto"/>
                <w:spacing w:val="2"/>
                <w:highlight w:val="none"/>
              </w:rPr>
              <w:t>液</w:t>
            </w:r>
            <w:r>
              <w:rPr>
                <w:color w:val="auto"/>
                <w:spacing w:val="-39"/>
                <w:highlight w:val="none"/>
              </w:rPr>
              <w:t xml:space="preserve"> </w:t>
            </w:r>
            <w:r>
              <w:rPr>
                <w:color w:val="auto"/>
                <w:spacing w:val="2"/>
                <w:highlight w:val="none"/>
              </w:rPr>
              <w:t>晶</w:t>
            </w:r>
            <w:r>
              <w:rPr>
                <w:color w:val="auto"/>
                <w:highlight w:val="none"/>
              </w:rPr>
              <w:t xml:space="preserve"> </w:t>
            </w:r>
            <w:r>
              <w:rPr>
                <w:color w:val="auto"/>
                <w:spacing w:val="5"/>
                <w:highlight w:val="none"/>
              </w:rPr>
              <w:t>显示器</w:t>
            </w:r>
          </w:p>
        </w:tc>
        <w:tc>
          <w:tcPr>
            <w:tcW w:w="2969" w:type="dxa"/>
            <w:noWrap w:val="0"/>
            <w:vAlign w:val="top"/>
          </w:tcPr>
          <w:p w14:paraId="032CB09A">
            <w:pPr>
              <w:pStyle w:val="382"/>
              <w:spacing w:before="133" w:line="303" w:lineRule="auto"/>
              <w:ind w:left="22" w:right="11"/>
              <w:rPr>
                <w:color w:val="auto"/>
                <w:highlight w:val="none"/>
              </w:rPr>
            </w:pPr>
            <w:r>
              <w:rPr>
                <w:color w:val="auto"/>
                <w:spacing w:val="19"/>
                <w:highlight w:val="none"/>
              </w:rPr>
              <w:t>《计算机显示器能效限定值及能</w:t>
            </w:r>
            <w:r>
              <w:rPr>
                <w:color w:val="auto"/>
                <w:spacing w:val="2"/>
                <w:highlight w:val="none"/>
              </w:rPr>
              <w:t xml:space="preserve"> </w:t>
            </w:r>
            <w:r>
              <w:rPr>
                <w:color w:val="auto"/>
                <w:spacing w:val="6"/>
                <w:highlight w:val="none"/>
              </w:rPr>
              <w:t>效等级》（</w:t>
            </w:r>
            <w:r>
              <w:rPr>
                <w:color w:val="auto"/>
                <w:highlight w:val="none"/>
              </w:rPr>
              <w:t>GB</w:t>
            </w:r>
            <w:r>
              <w:rPr>
                <w:color w:val="auto"/>
                <w:spacing w:val="6"/>
                <w:highlight w:val="none"/>
              </w:rPr>
              <w:t xml:space="preserve"> 21520）</w:t>
            </w:r>
          </w:p>
        </w:tc>
      </w:tr>
      <w:tr w14:paraId="703E8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578" w:type="dxa"/>
            <w:vMerge w:val="continue"/>
            <w:tcBorders>
              <w:top w:val="nil"/>
            </w:tcBorders>
            <w:noWrap w:val="0"/>
            <w:vAlign w:val="top"/>
          </w:tcPr>
          <w:p w14:paraId="72094BA1">
            <w:pPr>
              <w:rPr>
                <w:rFonts w:ascii="Arial"/>
                <w:color w:val="auto"/>
                <w:sz w:val="21"/>
                <w:highlight w:val="none"/>
              </w:rPr>
            </w:pPr>
          </w:p>
        </w:tc>
        <w:tc>
          <w:tcPr>
            <w:tcW w:w="1166" w:type="dxa"/>
            <w:vMerge w:val="continue"/>
            <w:tcBorders>
              <w:top w:val="nil"/>
            </w:tcBorders>
            <w:noWrap w:val="0"/>
            <w:vAlign w:val="top"/>
          </w:tcPr>
          <w:p w14:paraId="256DBB50">
            <w:pPr>
              <w:rPr>
                <w:rFonts w:ascii="Arial"/>
                <w:color w:val="auto"/>
                <w:sz w:val="21"/>
                <w:highlight w:val="none"/>
              </w:rPr>
            </w:pPr>
          </w:p>
        </w:tc>
        <w:tc>
          <w:tcPr>
            <w:tcW w:w="1799" w:type="dxa"/>
            <w:noWrap w:val="0"/>
            <w:vAlign w:val="top"/>
          </w:tcPr>
          <w:p w14:paraId="3504CA85">
            <w:pPr>
              <w:spacing w:line="364" w:lineRule="auto"/>
              <w:rPr>
                <w:rFonts w:ascii="Arial"/>
                <w:color w:val="auto"/>
                <w:sz w:val="21"/>
                <w:highlight w:val="none"/>
              </w:rPr>
            </w:pPr>
          </w:p>
          <w:p w14:paraId="7A28CDD1">
            <w:pPr>
              <w:pStyle w:val="382"/>
              <w:spacing w:before="62" w:line="304" w:lineRule="auto"/>
              <w:ind w:left="14" w:right="10" w:hanging="5"/>
              <w:rPr>
                <w:color w:val="auto"/>
                <w:highlight w:val="none"/>
              </w:rPr>
            </w:pPr>
            <w:r>
              <w:rPr>
                <w:color w:val="auto"/>
                <w:spacing w:val="4"/>
                <w:highlight w:val="none"/>
              </w:rPr>
              <w:t>A02010609 图形图像</w:t>
            </w:r>
            <w:r>
              <w:rPr>
                <w:color w:val="auto"/>
                <w:spacing w:val="7"/>
                <w:highlight w:val="none"/>
              </w:rPr>
              <w:t xml:space="preserve"> 输入设备</w:t>
            </w:r>
          </w:p>
        </w:tc>
        <w:tc>
          <w:tcPr>
            <w:tcW w:w="1914" w:type="dxa"/>
            <w:noWrap w:val="0"/>
            <w:vAlign w:val="top"/>
          </w:tcPr>
          <w:p w14:paraId="240A5C17">
            <w:pPr>
              <w:spacing w:line="259" w:lineRule="auto"/>
              <w:rPr>
                <w:rFonts w:ascii="Arial"/>
                <w:color w:val="auto"/>
                <w:sz w:val="21"/>
                <w:highlight w:val="none"/>
              </w:rPr>
            </w:pPr>
          </w:p>
          <w:p w14:paraId="076CAEC6">
            <w:pPr>
              <w:spacing w:line="260" w:lineRule="auto"/>
              <w:rPr>
                <w:rFonts w:ascii="Arial"/>
                <w:color w:val="auto"/>
                <w:sz w:val="21"/>
                <w:highlight w:val="none"/>
              </w:rPr>
            </w:pPr>
          </w:p>
          <w:p w14:paraId="02844454">
            <w:pPr>
              <w:pStyle w:val="382"/>
              <w:spacing w:before="61" w:line="229" w:lineRule="auto"/>
              <w:ind w:left="10"/>
              <w:rPr>
                <w:color w:val="auto"/>
                <w:highlight w:val="none"/>
              </w:rPr>
            </w:pPr>
            <w:r>
              <w:rPr>
                <w:color w:val="auto"/>
                <w:spacing w:val="5"/>
                <w:highlight w:val="none"/>
              </w:rPr>
              <w:t>A0201060901</w:t>
            </w:r>
            <w:r>
              <w:rPr>
                <w:color w:val="auto"/>
                <w:spacing w:val="-34"/>
                <w:highlight w:val="none"/>
              </w:rPr>
              <w:t xml:space="preserve"> </w:t>
            </w:r>
            <w:r>
              <w:rPr>
                <w:color w:val="auto"/>
                <w:spacing w:val="5"/>
                <w:highlight w:val="none"/>
              </w:rPr>
              <w:t>扫描仪</w:t>
            </w:r>
          </w:p>
        </w:tc>
        <w:tc>
          <w:tcPr>
            <w:tcW w:w="2969" w:type="dxa"/>
            <w:noWrap w:val="0"/>
            <w:vAlign w:val="top"/>
          </w:tcPr>
          <w:p w14:paraId="6F926EBD">
            <w:pPr>
              <w:pStyle w:val="382"/>
              <w:spacing w:before="114" w:line="299" w:lineRule="auto"/>
              <w:ind w:left="22" w:hanging="3"/>
              <w:jc w:val="both"/>
              <w:rPr>
                <w:color w:val="auto"/>
                <w:highlight w:val="none"/>
              </w:rPr>
            </w:pPr>
            <w:r>
              <w:rPr>
                <w:color w:val="auto"/>
                <w:highlight w:val="none"/>
              </w:rPr>
              <w:t>参照《复印机、打印机和传真机能</w:t>
            </w:r>
            <w:r>
              <w:rPr>
                <w:color w:val="auto"/>
                <w:spacing w:val="3"/>
                <w:highlight w:val="none"/>
              </w:rPr>
              <w:t xml:space="preserve">  </w:t>
            </w:r>
            <w:r>
              <w:rPr>
                <w:color w:val="auto"/>
                <w:spacing w:val="-4"/>
                <w:highlight w:val="none"/>
              </w:rPr>
              <w:t>效限定值及能效等级》（GB</w:t>
            </w:r>
            <w:r>
              <w:rPr>
                <w:color w:val="auto"/>
                <w:spacing w:val="-24"/>
                <w:highlight w:val="none"/>
              </w:rPr>
              <w:t xml:space="preserve"> </w:t>
            </w:r>
            <w:r>
              <w:rPr>
                <w:color w:val="auto"/>
                <w:spacing w:val="-4"/>
                <w:highlight w:val="none"/>
              </w:rPr>
              <w:t>21521）</w:t>
            </w:r>
            <w:r>
              <w:rPr>
                <w:color w:val="auto"/>
                <w:highlight w:val="none"/>
              </w:rPr>
              <w:t xml:space="preserve"> </w:t>
            </w:r>
            <w:r>
              <w:rPr>
                <w:color w:val="auto"/>
                <w:spacing w:val="4"/>
                <w:highlight w:val="none"/>
              </w:rPr>
              <w:t>中打印速度为</w:t>
            </w:r>
            <w:r>
              <w:rPr>
                <w:color w:val="auto"/>
                <w:spacing w:val="38"/>
                <w:highlight w:val="none"/>
              </w:rPr>
              <w:t xml:space="preserve"> </w:t>
            </w:r>
            <w:r>
              <w:rPr>
                <w:color w:val="auto"/>
                <w:spacing w:val="4"/>
                <w:highlight w:val="none"/>
              </w:rPr>
              <w:t>15 页/分的针式打</w:t>
            </w:r>
            <w:r>
              <w:rPr>
                <w:color w:val="auto"/>
                <w:highlight w:val="none"/>
              </w:rPr>
              <w:t xml:space="preserve">  </w:t>
            </w:r>
            <w:r>
              <w:rPr>
                <w:color w:val="auto"/>
                <w:spacing w:val="2"/>
                <w:highlight w:val="none"/>
              </w:rPr>
              <w:t>印机相关要求</w:t>
            </w:r>
          </w:p>
        </w:tc>
      </w:tr>
      <w:tr w14:paraId="4D28C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578" w:type="dxa"/>
            <w:noWrap w:val="0"/>
            <w:vAlign w:val="top"/>
          </w:tcPr>
          <w:p w14:paraId="3AB48A04">
            <w:pPr>
              <w:pStyle w:val="382"/>
              <w:spacing w:before="246" w:line="256" w:lineRule="exact"/>
              <w:ind w:left="246"/>
              <w:rPr>
                <w:color w:val="auto"/>
                <w:highlight w:val="none"/>
              </w:rPr>
            </w:pPr>
            <w:r>
              <w:rPr>
                <w:color w:val="auto"/>
                <w:position w:val="1"/>
                <w:highlight w:val="none"/>
              </w:rPr>
              <w:t>3</w:t>
            </w:r>
          </w:p>
        </w:tc>
        <w:tc>
          <w:tcPr>
            <w:tcW w:w="1166" w:type="dxa"/>
            <w:noWrap w:val="0"/>
            <w:vAlign w:val="top"/>
          </w:tcPr>
          <w:p w14:paraId="770807E9">
            <w:pPr>
              <w:pStyle w:val="382"/>
              <w:spacing w:before="90" w:line="281" w:lineRule="auto"/>
              <w:ind w:left="15" w:right="8" w:hanging="6"/>
              <w:rPr>
                <w:color w:val="auto"/>
                <w:highlight w:val="none"/>
              </w:rPr>
            </w:pPr>
            <w:r>
              <w:rPr>
                <w:color w:val="auto"/>
                <w:spacing w:val="4"/>
                <w:highlight w:val="none"/>
              </w:rPr>
              <w:t>A020202</w:t>
            </w:r>
            <w:r>
              <w:rPr>
                <w:color w:val="auto"/>
                <w:spacing w:val="-34"/>
                <w:highlight w:val="none"/>
              </w:rPr>
              <w:t xml:space="preserve"> </w:t>
            </w:r>
            <w:r>
              <w:rPr>
                <w:color w:val="auto"/>
                <w:spacing w:val="4"/>
                <w:highlight w:val="none"/>
              </w:rPr>
              <w:t>投影</w:t>
            </w:r>
            <w:r>
              <w:rPr>
                <w:color w:val="auto"/>
                <w:highlight w:val="none"/>
              </w:rPr>
              <w:t xml:space="preserve"> 仪</w:t>
            </w:r>
          </w:p>
        </w:tc>
        <w:tc>
          <w:tcPr>
            <w:tcW w:w="1799" w:type="dxa"/>
            <w:noWrap w:val="0"/>
            <w:vAlign w:val="top"/>
          </w:tcPr>
          <w:p w14:paraId="7F9AC987">
            <w:pPr>
              <w:rPr>
                <w:rFonts w:ascii="Arial"/>
                <w:color w:val="auto"/>
                <w:sz w:val="21"/>
                <w:highlight w:val="none"/>
              </w:rPr>
            </w:pPr>
          </w:p>
        </w:tc>
        <w:tc>
          <w:tcPr>
            <w:tcW w:w="1914" w:type="dxa"/>
            <w:noWrap w:val="0"/>
            <w:vAlign w:val="top"/>
          </w:tcPr>
          <w:p w14:paraId="78608B6D">
            <w:pPr>
              <w:rPr>
                <w:rFonts w:ascii="Arial"/>
                <w:color w:val="auto"/>
                <w:sz w:val="21"/>
                <w:highlight w:val="none"/>
              </w:rPr>
            </w:pPr>
          </w:p>
        </w:tc>
        <w:tc>
          <w:tcPr>
            <w:tcW w:w="2969" w:type="dxa"/>
            <w:noWrap w:val="0"/>
            <w:vAlign w:val="top"/>
          </w:tcPr>
          <w:p w14:paraId="3E53EEFE">
            <w:pPr>
              <w:pStyle w:val="382"/>
              <w:spacing w:before="90" w:line="281" w:lineRule="auto"/>
              <w:ind w:left="27" w:hanging="4"/>
              <w:rPr>
                <w:color w:val="auto"/>
                <w:highlight w:val="none"/>
              </w:rPr>
            </w:pPr>
            <w:r>
              <w:rPr>
                <w:color w:val="auto"/>
                <w:spacing w:val="6"/>
                <w:highlight w:val="none"/>
              </w:rPr>
              <w:t>《投影机能效限定值及能效等级》</w:t>
            </w:r>
            <w:r>
              <w:rPr>
                <w:color w:val="auto"/>
                <w:highlight w:val="none"/>
              </w:rPr>
              <w:t xml:space="preserve"> （GB</w:t>
            </w:r>
            <w:r>
              <w:rPr>
                <w:color w:val="auto"/>
                <w:spacing w:val="22"/>
                <w:highlight w:val="none"/>
              </w:rPr>
              <w:t xml:space="preserve"> </w:t>
            </w:r>
            <w:r>
              <w:rPr>
                <w:color w:val="auto"/>
                <w:highlight w:val="none"/>
              </w:rPr>
              <w:t>32028）</w:t>
            </w:r>
          </w:p>
        </w:tc>
      </w:tr>
      <w:tr w14:paraId="4CD28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578" w:type="dxa"/>
            <w:noWrap w:val="0"/>
            <w:vAlign w:val="top"/>
          </w:tcPr>
          <w:p w14:paraId="75DE525D">
            <w:pPr>
              <w:pStyle w:val="382"/>
              <w:spacing w:before="289" w:line="258" w:lineRule="exact"/>
              <w:ind w:left="242"/>
              <w:rPr>
                <w:color w:val="auto"/>
                <w:highlight w:val="none"/>
              </w:rPr>
            </w:pPr>
            <w:r>
              <w:rPr>
                <w:color w:val="auto"/>
                <w:position w:val="1"/>
                <w:highlight w:val="none"/>
              </w:rPr>
              <w:t>4</w:t>
            </w:r>
          </w:p>
        </w:tc>
        <w:tc>
          <w:tcPr>
            <w:tcW w:w="1166" w:type="dxa"/>
            <w:noWrap w:val="0"/>
            <w:vAlign w:val="top"/>
          </w:tcPr>
          <w:p w14:paraId="7D8D8BE6">
            <w:pPr>
              <w:pStyle w:val="382"/>
              <w:spacing w:before="134" w:line="230" w:lineRule="auto"/>
              <w:ind w:left="9"/>
              <w:rPr>
                <w:color w:val="auto"/>
                <w:highlight w:val="none"/>
              </w:rPr>
            </w:pPr>
            <w:r>
              <w:rPr>
                <w:color w:val="auto"/>
                <w:spacing w:val="4"/>
                <w:highlight w:val="none"/>
              </w:rPr>
              <w:t>A020204</w:t>
            </w:r>
            <w:r>
              <w:rPr>
                <w:color w:val="auto"/>
                <w:spacing w:val="-34"/>
                <w:highlight w:val="none"/>
              </w:rPr>
              <w:t xml:space="preserve"> </w:t>
            </w:r>
            <w:r>
              <w:rPr>
                <w:color w:val="auto"/>
                <w:spacing w:val="4"/>
                <w:highlight w:val="none"/>
              </w:rPr>
              <w:t>多功</w:t>
            </w:r>
          </w:p>
          <w:p w14:paraId="50ECEE1A">
            <w:pPr>
              <w:pStyle w:val="382"/>
              <w:spacing w:before="75" w:line="228" w:lineRule="auto"/>
              <w:ind w:left="23"/>
              <w:rPr>
                <w:color w:val="auto"/>
                <w:highlight w:val="none"/>
              </w:rPr>
            </w:pPr>
            <w:r>
              <w:rPr>
                <w:color w:val="auto"/>
                <w:spacing w:val="5"/>
                <w:highlight w:val="none"/>
              </w:rPr>
              <w:t>能一体机</w:t>
            </w:r>
          </w:p>
        </w:tc>
        <w:tc>
          <w:tcPr>
            <w:tcW w:w="1799" w:type="dxa"/>
            <w:noWrap w:val="0"/>
            <w:vAlign w:val="top"/>
          </w:tcPr>
          <w:p w14:paraId="4486DA98">
            <w:pPr>
              <w:rPr>
                <w:rFonts w:ascii="Arial"/>
                <w:color w:val="auto"/>
                <w:sz w:val="21"/>
                <w:highlight w:val="none"/>
              </w:rPr>
            </w:pPr>
          </w:p>
        </w:tc>
        <w:tc>
          <w:tcPr>
            <w:tcW w:w="1914" w:type="dxa"/>
            <w:noWrap w:val="0"/>
            <w:vAlign w:val="top"/>
          </w:tcPr>
          <w:p w14:paraId="4092ED42">
            <w:pPr>
              <w:rPr>
                <w:rFonts w:ascii="Arial"/>
                <w:color w:val="auto"/>
                <w:sz w:val="21"/>
                <w:highlight w:val="none"/>
              </w:rPr>
            </w:pPr>
          </w:p>
        </w:tc>
        <w:tc>
          <w:tcPr>
            <w:tcW w:w="2969" w:type="dxa"/>
            <w:noWrap w:val="0"/>
            <w:vAlign w:val="top"/>
          </w:tcPr>
          <w:p w14:paraId="60F2ABB5">
            <w:pPr>
              <w:pStyle w:val="382"/>
              <w:spacing w:before="133" w:line="302"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5312D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78" w:type="dxa"/>
            <w:noWrap w:val="0"/>
            <w:vAlign w:val="top"/>
          </w:tcPr>
          <w:p w14:paraId="397C59C4">
            <w:pPr>
              <w:pStyle w:val="382"/>
              <w:spacing w:before="227" w:line="256" w:lineRule="exact"/>
              <w:ind w:left="246"/>
              <w:rPr>
                <w:color w:val="auto"/>
                <w:highlight w:val="none"/>
              </w:rPr>
            </w:pPr>
            <w:r>
              <w:rPr>
                <w:color w:val="auto"/>
                <w:position w:val="1"/>
                <w:highlight w:val="none"/>
              </w:rPr>
              <w:t>5</w:t>
            </w:r>
          </w:p>
        </w:tc>
        <w:tc>
          <w:tcPr>
            <w:tcW w:w="1166" w:type="dxa"/>
            <w:noWrap w:val="0"/>
            <w:vAlign w:val="top"/>
          </w:tcPr>
          <w:p w14:paraId="42547D06">
            <w:pPr>
              <w:pStyle w:val="382"/>
              <w:spacing w:before="227" w:line="229" w:lineRule="auto"/>
              <w:ind w:left="9"/>
              <w:rPr>
                <w:color w:val="auto"/>
                <w:highlight w:val="none"/>
              </w:rPr>
            </w:pPr>
            <w:r>
              <w:rPr>
                <w:color w:val="auto"/>
                <w:spacing w:val="4"/>
                <w:highlight w:val="none"/>
              </w:rPr>
              <w:t>A020519</w:t>
            </w:r>
            <w:r>
              <w:rPr>
                <w:color w:val="auto"/>
                <w:spacing w:val="-32"/>
                <w:highlight w:val="none"/>
              </w:rPr>
              <w:t xml:space="preserve"> </w:t>
            </w:r>
            <w:r>
              <w:rPr>
                <w:color w:val="auto"/>
                <w:spacing w:val="4"/>
                <w:highlight w:val="none"/>
              </w:rPr>
              <w:t>泵</w:t>
            </w:r>
          </w:p>
        </w:tc>
        <w:tc>
          <w:tcPr>
            <w:tcW w:w="1799" w:type="dxa"/>
            <w:noWrap w:val="0"/>
            <w:vAlign w:val="top"/>
          </w:tcPr>
          <w:p w14:paraId="07E8C677">
            <w:pPr>
              <w:pStyle w:val="382"/>
              <w:spacing w:before="227" w:line="229" w:lineRule="auto"/>
              <w:ind w:left="9"/>
              <w:rPr>
                <w:color w:val="auto"/>
                <w:highlight w:val="none"/>
              </w:rPr>
            </w:pPr>
            <w:r>
              <w:rPr>
                <w:color w:val="auto"/>
                <w:spacing w:val="5"/>
                <w:highlight w:val="none"/>
              </w:rPr>
              <w:t>A02051901</w:t>
            </w:r>
            <w:r>
              <w:rPr>
                <w:color w:val="auto"/>
                <w:spacing w:val="-33"/>
                <w:highlight w:val="none"/>
              </w:rPr>
              <w:t xml:space="preserve"> </w:t>
            </w:r>
            <w:r>
              <w:rPr>
                <w:color w:val="auto"/>
                <w:spacing w:val="5"/>
                <w:highlight w:val="none"/>
              </w:rPr>
              <w:t>离心泵</w:t>
            </w:r>
          </w:p>
        </w:tc>
        <w:tc>
          <w:tcPr>
            <w:tcW w:w="1914" w:type="dxa"/>
            <w:noWrap w:val="0"/>
            <w:vAlign w:val="top"/>
          </w:tcPr>
          <w:p w14:paraId="659DF08C">
            <w:pPr>
              <w:rPr>
                <w:rFonts w:ascii="Arial"/>
                <w:color w:val="auto"/>
                <w:sz w:val="21"/>
                <w:highlight w:val="none"/>
              </w:rPr>
            </w:pPr>
          </w:p>
        </w:tc>
        <w:tc>
          <w:tcPr>
            <w:tcW w:w="2969" w:type="dxa"/>
            <w:noWrap w:val="0"/>
            <w:vAlign w:val="top"/>
          </w:tcPr>
          <w:p w14:paraId="7851F720">
            <w:pPr>
              <w:pStyle w:val="382"/>
              <w:spacing w:before="72" w:line="271" w:lineRule="auto"/>
              <w:ind w:left="17" w:right="11" w:firstLine="6"/>
              <w:rPr>
                <w:color w:val="auto"/>
                <w:highlight w:val="none"/>
              </w:rPr>
            </w:pPr>
            <w:r>
              <w:rPr>
                <w:color w:val="auto"/>
                <w:spacing w:val="19"/>
                <w:highlight w:val="none"/>
              </w:rPr>
              <w:t>《清水离心泵能效限定值及节能</w:t>
            </w:r>
            <w:r>
              <w:rPr>
                <w:color w:val="auto"/>
                <w:spacing w:val="2"/>
                <w:highlight w:val="none"/>
              </w:rPr>
              <w:t xml:space="preserve"> </w:t>
            </w:r>
            <w:r>
              <w:rPr>
                <w:color w:val="auto"/>
                <w:spacing w:val="4"/>
                <w:highlight w:val="none"/>
              </w:rPr>
              <w:t>评价值》（</w:t>
            </w:r>
            <w:r>
              <w:rPr>
                <w:color w:val="auto"/>
                <w:highlight w:val="none"/>
              </w:rPr>
              <w:t>GB</w:t>
            </w:r>
            <w:r>
              <w:rPr>
                <w:color w:val="auto"/>
                <w:spacing w:val="39"/>
                <w:highlight w:val="none"/>
              </w:rPr>
              <w:t xml:space="preserve"> </w:t>
            </w:r>
            <w:r>
              <w:rPr>
                <w:color w:val="auto"/>
                <w:spacing w:val="4"/>
                <w:highlight w:val="none"/>
              </w:rPr>
              <w:t>19762）</w:t>
            </w:r>
          </w:p>
        </w:tc>
      </w:tr>
      <w:tr w14:paraId="3AE53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578" w:type="dxa"/>
            <w:vMerge w:val="restart"/>
            <w:tcBorders>
              <w:bottom w:val="nil"/>
            </w:tcBorders>
            <w:noWrap w:val="0"/>
            <w:vAlign w:val="top"/>
          </w:tcPr>
          <w:p w14:paraId="4552C270">
            <w:pPr>
              <w:spacing w:line="290" w:lineRule="auto"/>
              <w:rPr>
                <w:rFonts w:ascii="Arial"/>
                <w:color w:val="auto"/>
                <w:sz w:val="21"/>
                <w:highlight w:val="none"/>
              </w:rPr>
            </w:pPr>
          </w:p>
          <w:p w14:paraId="6AAB0C5B">
            <w:pPr>
              <w:spacing w:line="290" w:lineRule="auto"/>
              <w:rPr>
                <w:rFonts w:ascii="Arial"/>
                <w:color w:val="auto"/>
                <w:sz w:val="21"/>
                <w:highlight w:val="none"/>
              </w:rPr>
            </w:pPr>
          </w:p>
          <w:p w14:paraId="62C35F03">
            <w:pPr>
              <w:spacing w:line="291" w:lineRule="auto"/>
              <w:rPr>
                <w:rFonts w:ascii="Arial"/>
                <w:color w:val="auto"/>
                <w:sz w:val="21"/>
                <w:highlight w:val="none"/>
              </w:rPr>
            </w:pPr>
          </w:p>
          <w:p w14:paraId="0E4C8C45">
            <w:pPr>
              <w:pStyle w:val="382"/>
              <w:spacing w:before="62" w:line="256" w:lineRule="exact"/>
              <w:ind w:left="244"/>
              <w:rPr>
                <w:color w:val="auto"/>
                <w:highlight w:val="none"/>
              </w:rPr>
            </w:pPr>
            <w:r>
              <w:rPr>
                <w:color w:val="auto"/>
                <w:position w:val="1"/>
                <w:highlight w:val="none"/>
              </w:rPr>
              <w:t>6</w:t>
            </w:r>
          </w:p>
        </w:tc>
        <w:tc>
          <w:tcPr>
            <w:tcW w:w="1166" w:type="dxa"/>
            <w:vMerge w:val="restart"/>
            <w:tcBorders>
              <w:bottom w:val="nil"/>
            </w:tcBorders>
            <w:noWrap w:val="0"/>
            <w:vAlign w:val="top"/>
          </w:tcPr>
          <w:p w14:paraId="65A6E17F">
            <w:pPr>
              <w:spacing w:line="358" w:lineRule="auto"/>
              <w:rPr>
                <w:rFonts w:ascii="Arial"/>
                <w:color w:val="auto"/>
                <w:sz w:val="21"/>
                <w:highlight w:val="none"/>
              </w:rPr>
            </w:pPr>
          </w:p>
          <w:p w14:paraId="1A1D6994">
            <w:pPr>
              <w:spacing w:line="358" w:lineRule="auto"/>
              <w:rPr>
                <w:rFonts w:ascii="Arial"/>
                <w:color w:val="auto"/>
                <w:sz w:val="21"/>
                <w:highlight w:val="none"/>
              </w:rPr>
            </w:pPr>
          </w:p>
          <w:p w14:paraId="1CEB2E96">
            <w:pPr>
              <w:pStyle w:val="382"/>
              <w:spacing w:before="61" w:line="230" w:lineRule="auto"/>
              <w:ind w:left="9"/>
              <w:rPr>
                <w:color w:val="auto"/>
                <w:highlight w:val="none"/>
              </w:rPr>
            </w:pPr>
            <w:r>
              <w:rPr>
                <w:color w:val="auto"/>
                <w:spacing w:val="5"/>
                <w:highlight w:val="none"/>
              </w:rPr>
              <w:t>A020523</w:t>
            </w:r>
            <w:r>
              <w:rPr>
                <w:color w:val="auto"/>
                <w:spacing w:val="-43"/>
                <w:highlight w:val="none"/>
              </w:rPr>
              <w:t xml:space="preserve"> </w:t>
            </w:r>
            <w:r>
              <w:rPr>
                <w:color w:val="auto"/>
                <w:spacing w:val="5"/>
                <w:highlight w:val="none"/>
              </w:rPr>
              <w:t>制冷</w:t>
            </w:r>
          </w:p>
          <w:p w14:paraId="3E043035">
            <w:pPr>
              <w:pStyle w:val="382"/>
              <w:spacing w:before="75" w:line="230" w:lineRule="auto"/>
              <w:ind w:left="21"/>
              <w:rPr>
                <w:color w:val="auto"/>
                <w:highlight w:val="none"/>
              </w:rPr>
            </w:pPr>
            <w:r>
              <w:rPr>
                <w:color w:val="auto"/>
                <w:spacing w:val="5"/>
                <w:highlight w:val="none"/>
              </w:rPr>
              <w:t>空调设备</w:t>
            </w:r>
          </w:p>
        </w:tc>
        <w:tc>
          <w:tcPr>
            <w:tcW w:w="1799" w:type="dxa"/>
            <w:vMerge w:val="restart"/>
            <w:tcBorders>
              <w:bottom w:val="nil"/>
            </w:tcBorders>
            <w:noWrap w:val="0"/>
            <w:vAlign w:val="top"/>
          </w:tcPr>
          <w:p w14:paraId="5E485D3F">
            <w:pPr>
              <w:spacing w:line="358" w:lineRule="auto"/>
              <w:rPr>
                <w:rFonts w:ascii="Arial"/>
                <w:color w:val="auto"/>
                <w:sz w:val="21"/>
                <w:highlight w:val="none"/>
              </w:rPr>
            </w:pPr>
          </w:p>
          <w:p w14:paraId="4D963DB1">
            <w:pPr>
              <w:spacing w:line="358" w:lineRule="auto"/>
              <w:rPr>
                <w:rFonts w:ascii="Arial"/>
                <w:color w:val="auto"/>
                <w:sz w:val="21"/>
                <w:highlight w:val="none"/>
              </w:rPr>
            </w:pPr>
          </w:p>
          <w:p w14:paraId="0F3A9A74">
            <w:pPr>
              <w:pStyle w:val="382"/>
              <w:spacing w:before="62" w:line="304" w:lineRule="auto"/>
              <w:ind w:left="15" w:right="10" w:firstLine="3"/>
              <w:rPr>
                <w:color w:val="auto"/>
                <w:highlight w:val="none"/>
              </w:rPr>
            </w:pPr>
            <w:r>
              <w:rPr>
                <w:color w:val="auto"/>
                <w:spacing w:val="3"/>
                <w:highlight w:val="none"/>
              </w:rPr>
              <w:t>★A02052301 制冷压</w:t>
            </w:r>
            <w:r>
              <w:rPr>
                <w:color w:val="auto"/>
                <w:spacing w:val="12"/>
                <w:highlight w:val="none"/>
              </w:rPr>
              <w:t xml:space="preserve"> </w:t>
            </w:r>
            <w:r>
              <w:rPr>
                <w:color w:val="auto"/>
                <w:spacing w:val="5"/>
                <w:highlight w:val="none"/>
              </w:rPr>
              <w:t>缩机</w:t>
            </w:r>
          </w:p>
        </w:tc>
        <w:tc>
          <w:tcPr>
            <w:tcW w:w="1914" w:type="dxa"/>
            <w:noWrap w:val="0"/>
            <w:vAlign w:val="top"/>
          </w:tcPr>
          <w:p w14:paraId="0C6FD70F">
            <w:pPr>
              <w:spacing w:line="251" w:lineRule="auto"/>
              <w:rPr>
                <w:rFonts w:ascii="Arial"/>
                <w:color w:val="auto"/>
                <w:sz w:val="21"/>
                <w:highlight w:val="none"/>
              </w:rPr>
            </w:pPr>
          </w:p>
          <w:p w14:paraId="586E8CC5">
            <w:pPr>
              <w:spacing w:line="251" w:lineRule="auto"/>
              <w:rPr>
                <w:rFonts w:ascii="Arial"/>
                <w:color w:val="auto"/>
                <w:sz w:val="21"/>
                <w:highlight w:val="none"/>
              </w:rPr>
            </w:pPr>
          </w:p>
          <w:p w14:paraId="48FDE32A">
            <w:pPr>
              <w:pStyle w:val="382"/>
              <w:spacing w:before="61" w:line="228" w:lineRule="auto"/>
              <w:ind w:left="18"/>
              <w:rPr>
                <w:color w:val="auto"/>
                <w:highlight w:val="none"/>
              </w:rPr>
            </w:pPr>
            <w:r>
              <w:rPr>
                <w:color w:val="auto"/>
                <w:spacing w:val="6"/>
                <w:highlight w:val="none"/>
              </w:rPr>
              <w:t>冷水机组</w:t>
            </w:r>
          </w:p>
        </w:tc>
        <w:tc>
          <w:tcPr>
            <w:tcW w:w="2969" w:type="dxa"/>
            <w:noWrap w:val="0"/>
            <w:vAlign w:val="top"/>
          </w:tcPr>
          <w:p w14:paraId="073D8620">
            <w:pPr>
              <w:pStyle w:val="382"/>
              <w:spacing w:before="96" w:line="294" w:lineRule="auto"/>
              <w:ind w:left="17" w:right="11" w:firstLine="5"/>
              <w:jc w:val="both"/>
              <w:rPr>
                <w:color w:val="auto"/>
                <w:highlight w:val="none"/>
              </w:rPr>
            </w:pPr>
            <w:r>
              <w:rPr>
                <w:color w:val="auto"/>
                <w:spacing w:val="19"/>
                <w:highlight w:val="none"/>
              </w:rPr>
              <w:t>《冷水机组能效限定值及能效等</w:t>
            </w:r>
            <w:r>
              <w:rPr>
                <w:color w:val="auto"/>
                <w:spacing w:val="2"/>
                <w:highlight w:val="none"/>
              </w:rPr>
              <w:t xml:space="preserve"> </w:t>
            </w:r>
            <w:r>
              <w:rPr>
                <w:color w:val="auto"/>
                <w:spacing w:val="6"/>
                <w:highlight w:val="none"/>
              </w:rPr>
              <w:t>级》（</w:t>
            </w:r>
            <w:r>
              <w:rPr>
                <w:color w:val="auto"/>
                <w:highlight w:val="none"/>
              </w:rPr>
              <w:t>GB</w:t>
            </w:r>
            <w:r>
              <w:rPr>
                <w:color w:val="auto"/>
                <w:spacing w:val="-21"/>
                <w:highlight w:val="none"/>
              </w:rPr>
              <w:t xml:space="preserve"> </w:t>
            </w:r>
            <w:r>
              <w:rPr>
                <w:color w:val="auto"/>
                <w:spacing w:val="6"/>
                <w:highlight w:val="none"/>
              </w:rPr>
              <w:t>19577</w:t>
            </w:r>
            <w:r>
              <w:rPr>
                <w:color w:val="auto"/>
                <w:spacing w:val="9"/>
                <w:highlight w:val="none"/>
              </w:rPr>
              <w:t>），</w:t>
            </w:r>
            <w:r>
              <w:rPr>
                <w:color w:val="auto"/>
                <w:spacing w:val="6"/>
                <w:highlight w:val="none"/>
              </w:rPr>
              <w:t>《低环境温度</w:t>
            </w:r>
            <w:r>
              <w:rPr>
                <w:color w:val="auto"/>
                <w:highlight w:val="none"/>
              </w:rPr>
              <w:t xml:space="preserve"> </w:t>
            </w:r>
            <w:r>
              <w:rPr>
                <w:color w:val="auto"/>
                <w:spacing w:val="5"/>
                <w:highlight w:val="none"/>
              </w:rPr>
              <w:t>空气源热泵（冷水）机组能效限定</w:t>
            </w:r>
            <w:r>
              <w:rPr>
                <w:color w:val="auto"/>
                <w:spacing w:val="6"/>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37480）</w:t>
            </w:r>
          </w:p>
        </w:tc>
      </w:tr>
      <w:tr w14:paraId="36A49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78" w:type="dxa"/>
            <w:vMerge w:val="continue"/>
            <w:tcBorders>
              <w:top w:val="nil"/>
            </w:tcBorders>
            <w:noWrap w:val="0"/>
            <w:vAlign w:val="top"/>
          </w:tcPr>
          <w:p w14:paraId="521FC49A">
            <w:pPr>
              <w:rPr>
                <w:rFonts w:ascii="Arial"/>
                <w:color w:val="auto"/>
                <w:sz w:val="21"/>
                <w:highlight w:val="none"/>
              </w:rPr>
            </w:pPr>
          </w:p>
        </w:tc>
        <w:tc>
          <w:tcPr>
            <w:tcW w:w="1166" w:type="dxa"/>
            <w:vMerge w:val="continue"/>
            <w:tcBorders>
              <w:top w:val="nil"/>
            </w:tcBorders>
            <w:noWrap w:val="0"/>
            <w:vAlign w:val="top"/>
          </w:tcPr>
          <w:p w14:paraId="32B6400D">
            <w:pPr>
              <w:rPr>
                <w:rFonts w:ascii="Arial"/>
                <w:color w:val="auto"/>
                <w:sz w:val="21"/>
                <w:highlight w:val="none"/>
              </w:rPr>
            </w:pPr>
          </w:p>
        </w:tc>
        <w:tc>
          <w:tcPr>
            <w:tcW w:w="1799" w:type="dxa"/>
            <w:vMerge w:val="continue"/>
            <w:tcBorders>
              <w:top w:val="nil"/>
            </w:tcBorders>
            <w:noWrap w:val="0"/>
            <w:vAlign w:val="top"/>
          </w:tcPr>
          <w:p w14:paraId="27488751">
            <w:pPr>
              <w:rPr>
                <w:rFonts w:ascii="Arial"/>
                <w:color w:val="auto"/>
                <w:sz w:val="21"/>
                <w:highlight w:val="none"/>
              </w:rPr>
            </w:pPr>
          </w:p>
        </w:tc>
        <w:tc>
          <w:tcPr>
            <w:tcW w:w="1914" w:type="dxa"/>
            <w:noWrap w:val="0"/>
            <w:vAlign w:val="top"/>
          </w:tcPr>
          <w:p w14:paraId="79049FFE">
            <w:pPr>
              <w:pStyle w:val="382"/>
              <w:spacing w:before="276" w:line="228" w:lineRule="auto"/>
              <w:ind w:left="19"/>
              <w:rPr>
                <w:color w:val="auto"/>
                <w:highlight w:val="none"/>
              </w:rPr>
            </w:pPr>
            <w:r>
              <w:rPr>
                <w:color w:val="auto"/>
                <w:spacing w:val="7"/>
                <w:highlight w:val="none"/>
              </w:rPr>
              <w:t>水源热泵机组</w:t>
            </w:r>
          </w:p>
        </w:tc>
        <w:tc>
          <w:tcPr>
            <w:tcW w:w="2969" w:type="dxa"/>
            <w:noWrap w:val="0"/>
            <w:vAlign w:val="top"/>
          </w:tcPr>
          <w:p w14:paraId="6A57AF7B">
            <w:pPr>
              <w:pStyle w:val="382"/>
              <w:spacing w:before="120" w:line="298" w:lineRule="auto"/>
              <w:ind w:left="17" w:right="13" w:firstLine="6"/>
              <w:rPr>
                <w:color w:val="auto"/>
                <w:highlight w:val="none"/>
              </w:rPr>
            </w:pPr>
            <w:r>
              <w:rPr>
                <w:color w:val="auto"/>
                <w:spacing w:val="5"/>
                <w:highlight w:val="none"/>
              </w:rPr>
              <w:t>《水（地）源热泵机组能效限定值</w:t>
            </w:r>
            <w:r>
              <w:rPr>
                <w:color w:val="auto"/>
                <w:highlight w:val="none"/>
              </w:rPr>
              <w:t xml:space="preserve"> </w:t>
            </w:r>
            <w:r>
              <w:rPr>
                <w:color w:val="auto"/>
                <w:spacing w:val="7"/>
                <w:highlight w:val="none"/>
              </w:rPr>
              <w:t>及能效等级》（</w:t>
            </w:r>
            <w:r>
              <w:rPr>
                <w:color w:val="auto"/>
                <w:highlight w:val="none"/>
              </w:rPr>
              <w:t>GB</w:t>
            </w:r>
            <w:r>
              <w:rPr>
                <w:color w:val="auto"/>
                <w:spacing w:val="7"/>
                <w:highlight w:val="none"/>
              </w:rPr>
              <w:t xml:space="preserve"> 30721）</w:t>
            </w:r>
          </w:p>
        </w:tc>
      </w:tr>
    </w:tbl>
    <w:p w14:paraId="7D8CE00B">
      <w:pPr>
        <w:spacing w:line="91" w:lineRule="auto"/>
        <w:rPr>
          <w:rFonts w:ascii="Arial"/>
          <w:color w:val="auto"/>
          <w:sz w:val="2"/>
          <w:highlight w:val="none"/>
        </w:rPr>
      </w:pPr>
    </w:p>
    <w:tbl>
      <w:tblPr>
        <w:tblStyle w:val="385"/>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7208B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78" w:type="dxa"/>
            <w:vMerge w:val="restart"/>
            <w:tcBorders>
              <w:bottom w:val="nil"/>
            </w:tcBorders>
            <w:noWrap w:val="0"/>
            <w:vAlign w:val="top"/>
          </w:tcPr>
          <w:p w14:paraId="32526A9F">
            <w:pPr>
              <w:rPr>
                <w:rFonts w:ascii="Arial"/>
                <w:color w:val="auto"/>
                <w:sz w:val="21"/>
                <w:highlight w:val="none"/>
              </w:rPr>
            </w:pPr>
          </w:p>
        </w:tc>
        <w:tc>
          <w:tcPr>
            <w:tcW w:w="1166" w:type="dxa"/>
            <w:vMerge w:val="restart"/>
            <w:tcBorders>
              <w:bottom w:val="nil"/>
            </w:tcBorders>
            <w:noWrap w:val="0"/>
            <w:vAlign w:val="top"/>
          </w:tcPr>
          <w:p w14:paraId="7BCB645F">
            <w:pPr>
              <w:rPr>
                <w:rFonts w:ascii="Arial"/>
                <w:color w:val="auto"/>
                <w:sz w:val="21"/>
                <w:highlight w:val="none"/>
              </w:rPr>
            </w:pPr>
          </w:p>
        </w:tc>
        <w:tc>
          <w:tcPr>
            <w:tcW w:w="1799" w:type="dxa"/>
            <w:noWrap w:val="0"/>
            <w:vAlign w:val="top"/>
          </w:tcPr>
          <w:p w14:paraId="74E33EB7">
            <w:pPr>
              <w:rPr>
                <w:rFonts w:ascii="Arial"/>
                <w:color w:val="auto"/>
                <w:sz w:val="21"/>
                <w:highlight w:val="none"/>
              </w:rPr>
            </w:pPr>
          </w:p>
        </w:tc>
        <w:tc>
          <w:tcPr>
            <w:tcW w:w="1914" w:type="dxa"/>
            <w:noWrap w:val="0"/>
            <w:vAlign w:val="top"/>
          </w:tcPr>
          <w:p w14:paraId="582E28F0">
            <w:pPr>
              <w:pStyle w:val="382"/>
              <w:spacing w:before="159" w:line="310" w:lineRule="auto"/>
              <w:ind w:left="19" w:right="11" w:firstLine="1"/>
              <w:rPr>
                <w:color w:val="auto"/>
                <w:highlight w:val="none"/>
              </w:rPr>
            </w:pPr>
            <w:r>
              <w:rPr>
                <w:color w:val="auto"/>
                <w:spacing w:val="18"/>
                <w:highlight w:val="none"/>
              </w:rPr>
              <w:t>溴化锂吸收式冷水机</w:t>
            </w:r>
            <w:r>
              <w:rPr>
                <w:color w:val="auto"/>
                <w:spacing w:val="4"/>
                <w:highlight w:val="none"/>
              </w:rPr>
              <w:t xml:space="preserve"> </w:t>
            </w:r>
            <w:r>
              <w:rPr>
                <w:color w:val="auto"/>
                <w:highlight w:val="none"/>
              </w:rPr>
              <w:t>组</w:t>
            </w:r>
          </w:p>
        </w:tc>
        <w:tc>
          <w:tcPr>
            <w:tcW w:w="2969" w:type="dxa"/>
            <w:noWrap w:val="0"/>
            <w:vAlign w:val="top"/>
          </w:tcPr>
          <w:p w14:paraId="21FCF7BF">
            <w:pPr>
              <w:pStyle w:val="382"/>
              <w:spacing w:before="160" w:line="304" w:lineRule="auto"/>
              <w:ind w:left="22" w:right="11"/>
              <w:rPr>
                <w:color w:val="auto"/>
                <w:highlight w:val="none"/>
              </w:rPr>
            </w:pPr>
            <w:r>
              <w:rPr>
                <w:color w:val="auto"/>
                <w:spacing w:val="19"/>
                <w:highlight w:val="none"/>
              </w:rPr>
              <w:t>《溴化锂吸收式冷水机组能效限</w:t>
            </w:r>
            <w:r>
              <w:rPr>
                <w:color w:val="auto"/>
                <w:spacing w:val="2"/>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29540）</w:t>
            </w:r>
          </w:p>
        </w:tc>
      </w:tr>
      <w:tr w14:paraId="6E968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noWrap w:val="0"/>
            <w:vAlign w:val="top"/>
          </w:tcPr>
          <w:p w14:paraId="69258411">
            <w:pPr>
              <w:rPr>
                <w:rFonts w:ascii="Arial"/>
                <w:color w:val="auto"/>
                <w:sz w:val="21"/>
                <w:highlight w:val="none"/>
              </w:rPr>
            </w:pPr>
          </w:p>
        </w:tc>
        <w:tc>
          <w:tcPr>
            <w:tcW w:w="1166" w:type="dxa"/>
            <w:vMerge w:val="continue"/>
            <w:tcBorders>
              <w:top w:val="nil"/>
              <w:bottom w:val="nil"/>
            </w:tcBorders>
            <w:noWrap w:val="0"/>
            <w:vAlign w:val="top"/>
          </w:tcPr>
          <w:p w14:paraId="6936F8FB">
            <w:pPr>
              <w:rPr>
                <w:rFonts w:ascii="Arial"/>
                <w:color w:val="auto"/>
                <w:sz w:val="21"/>
                <w:highlight w:val="none"/>
              </w:rPr>
            </w:pPr>
          </w:p>
        </w:tc>
        <w:tc>
          <w:tcPr>
            <w:tcW w:w="1799" w:type="dxa"/>
            <w:vMerge w:val="restart"/>
            <w:tcBorders>
              <w:bottom w:val="nil"/>
            </w:tcBorders>
            <w:noWrap w:val="0"/>
            <w:vAlign w:val="top"/>
          </w:tcPr>
          <w:p w14:paraId="475F6C0E">
            <w:pPr>
              <w:spacing w:line="265" w:lineRule="auto"/>
              <w:rPr>
                <w:rFonts w:ascii="Arial"/>
                <w:color w:val="auto"/>
                <w:sz w:val="21"/>
                <w:highlight w:val="none"/>
              </w:rPr>
            </w:pPr>
          </w:p>
          <w:p w14:paraId="404B567A">
            <w:pPr>
              <w:spacing w:line="265" w:lineRule="auto"/>
              <w:rPr>
                <w:rFonts w:ascii="Arial"/>
                <w:color w:val="auto"/>
                <w:sz w:val="21"/>
                <w:highlight w:val="none"/>
              </w:rPr>
            </w:pPr>
          </w:p>
          <w:p w14:paraId="63E46E42">
            <w:pPr>
              <w:spacing w:line="266" w:lineRule="auto"/>
              <w:rPr>
                <w:rFonts w:ascii="Arial"/>
                <w:color w:val="auto"/>
                <w:sz w:val="21"/>
                <w:highlight w:val="none"/>
              </w:rPr>
            </w:pPr>
          </w:p>
          <w:p w14:paraId="01BFBD2D">
            <w:pPr>
              <w:pStyle w:val="382"/>
              <w:spacing w:before="62" w:line="310" w:lineRule="auto"/>
              <w:ind w:left="17" w:right="10"/>
              <w:rPr>
                <w:color w:val="auto"/>
                <w:highlight w:val="none"/>
              </w:rPr>
            </w:pPr>
            <w:r>
              <w:rPr>
                <w:color w:val="auto"/>
                <w:spacing w:val="3"/>
                <w:highlight w:val="none"/>
              </w:rPr>
              <w:t>★A02052305 空调机</w:t>
            </w:r>
            <w:r>
              <w:rPr>
                <w:color w:val="auto"/>
                <w:spacing w:val="12"/>
                <w:highlight w:val="none"/>
              </w:rPr>
              <w:t xml:space="preserve"> </w:t>
            </w:r>
            <w:r>
              <w:rPr>
                <w:color w:val="auto"/>
                <w:highlight w:val="none"/>
              </w:rPr>
              <w:t>组</w:t>
            </w:r>
          </w:p>
        </w:tc>
        <w:tc>
          <w:tcPr>
            <w:tcW w:w="1914" w:type="dxa"/>
            <w:noWrap w:val="0"/>
            <w:vAlign w:val="top"/>
          </w:tcPr>
          <w:p w14:paraId="3626205F">
            <w:pPr>
              <w:pStyle w:val="382"/>
              <w:spacing w:before="65" w:line="284" w:lineRule="auto"/>
              <w:ind w:left="15" w:right="11" w:firstLine="10"/>
              <w:jc w:val="both"/>
              <w:rPr>
                <w:color w:val="auto"/>
                <w:highlight w:val="none"/>
              </w:rPr>
            </w:pPr>
            <w:r>
              <w:rPr>
                <w:color w:val="auto"/>
                <w:spacing w:val="15"/>
                <w:highlight w:val="none"/>
              </w:rPr>
              <w:t>多联式空调（热泵）</w:t>
            </w:r>
            <w:r>
              <w:rPr>
                <w:color w:val="auto"/>
                <w:spacing w:val="7"/>
                <w:highlight w:val="none"/>
              </w:rPr>
              <w:t xml:space="preserve"> </w:t>
            </w:r>
            <w:r>
              <w:rPr>
                <w:color w:val="auto"/>
                <w:spacing w:val="-8"/>
                <w:highlight w:val="none"/>
              </w:rPr>
              <w:t>机</w:t>
            </w:r>
            <w:r>
              <w:rPr>
                <w:color w:val="auto"/>
                <w:spacing w:val="34"/>
                <w:highlight w:val="none"/>
              </w:rPr>
              <w:t xml:space="preserve">  </w:t>
            </w:r>
            <w:r>
              <w:rPr>
                <w:color w:val="auto"/>
                <w:spacing w:val="-8"/>
                <w:highlight w:val="none"/>
              </w:rPr>
              <w:t>组</w:t>
            </w:r>
            <w:r>
              <w:rPr>
                <w:color w:val="auto"/>
                <w:spacing w:val="2"/>
                <w:highlight w:val="none"/>
              </w:rPr>
              <w:t xml:space="preserve">   </w:t>
            </w:r>
            <w:r>
              <w:rPr>
                <w:color w:val="auto"/>
                <w:spacing w:val="-8"/>
                <w:highlight w:val="none"/>
              </w:rPr>
              <w:t>(</w:t>
            </w:r>
            <w:r>
              <w:rPr>
                <w:color w:val="auto"/>
                <w:spacing w:val="33"/>
                <w:highlight w:val="none"/>
              </w:rPr>
              <w:t xml:space="preserve">  </w:t>
            </w:r>
            <w:r>
              <w:rPr>
                <w:color w:val="auto"/>
                <w:spacing w:val="-8"/>
                <w:highlight w:val="none"/>
              </w:rPr>
              <w:t>制</w:t>
            </w:r>
            <w:r>
              <w:rPr>
                <w:color w:val="auto"/>
                <w:spacing w:val="35"/>
                <w:highlight w:val="none"/>
              </w:rPr>
              <w:t xml:space="preserve">  </w:t>
            </w:r>
            <w:r>
              <w:rPr>
                <w:color w:val="auto"/>
                <w:spacing w:val="-8"/>
                <w:highlight w:val="none"/>
              </w:rPr>
              <w:t>冷</w:t>
            </w:r>
            <w:r>
              <w:rPr>
                <w:color w:val="auto"/>
                <w:highlight w:val="none"/>
              </w:rPr>
              <w:t xml:space="preserve"> </w:t>
            </w:r>
            <w:r>
              <w:rPr>
                <w:color w:val="auto"/>
                <w:spacing w:val="5"/>
                <w:highlight w:val="none"/>
              </w:rPr>
              <w:t>量&gt;14000W)</w:t>
            </w:r>
          </w:p>
        </w:tc>
        <w:tc>
          <w:tcPr>
            <w:tcW w:w="2969" w:type="dxa"/>
            <w:noWrap w:val="0"/>
            <w:vAlign w:val="top"/>
          </w:tcPr>
          <w:p w14:paraId="4B037E3A">
            <w:pPr>
              <w:pStyle w:val="382"/>
              <w:spacing w:before="221" w:line="305" w:lineRule="auto"/>
              <w:ind w:left="22"/>
              <w:rPr>
                <w:color w:val="auto"/>
                <w:highlight w:val="none"/>
              </w:rPr>
            </w:pPr>
            <w:r>
              <w:rPr>
                <w:color w:val="auto"/>
                <w:highlight w:val="none"/>
              </w:rPr>
              <w:t>《多联式空调（热泵）机组能效限</w:t>
            </w:r>
            <w:r>
              <w:rPr>
                <w:color w:val="auto"/>
                <w:spacing w:val="2"/>
                <w:highlight w:val="none"/>
              </w:rPr>
              <w:t xml:space="preserve">  </w:t>
            </w:r>
            <w:r>
              <w:rPr>
                <w:color w:val="auto"/>
                <w:spacing w:val="-4"/>
                <w:highlight w:val="none"/>
              </w:rPr>
              <w:t>定值及能源效率等级》（GB</w:t>
            </w:r>
            <w:r>
              <w:rPr>
                <w:color w:val="auto"/>
                <w:spacing w:val="-24"/>
                <w:highlight w:val="none"/>
              </w:rPr>
              <w:t xml:space="preserve"> </w:t>
            </w:r>
            <w:r>
              <w:rPr>
                <w:color w:val="auto"/>
                <w:spacing w:val="-4"/>
                <w:highlight w:val="none"/>
              </w:rPr>
              <w:t>21454）</w:t>
            </w:r>
          </w:p>
        </w:tc>
      </w:tr>
      <w:tr w14:paraId="492E5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578" w:type="dxa"/>
            <w:vMerge w:val="continue"/>
            <w:tcBorders>
              <w:top w:val="nil"/>
              <w:bottom w:val="nil"/>
            </w:tcBorders>
            <w:noWrap w:val="0"/>
            <w:vAlign w:val="top"/>
          </w:tcPr>
          <w:p w14:paraId="2CB167C7">
            <w:pPr>
              <w:rPr>
                <w:rFonts w:ascii="Arial"/>
                <w:color w:val="auto"/>
                <w:sz w:val="21"/>
                <w:highlight w:val="none"/>
              </w:rPr>
            </w:pPr>
          </w:p>
        </w:tc>
        <w:tc>
          <w:tcPr>
            <w:tcW w:w="1166" w:type="dxa"/>
            <w:vMerge w:val="continue"/>
            <w:tcBorders>
              <w:top w:val="nil"/>
              <w:bottom w:val="nil"/>
            </w:tcBorders>
            <w:noWrap w:val="0"/>
            <w:vAlign w:val="top"/>
          </w:tcPr>
          <w:p w14:paraId="10EB476E">
            <w:pPr>
              <w:rPr>
                <w:rFonts w:ascii="Arial"/>
                <w:color w:val="auto"/>
                <w:sz w:val="21"/>
                <w:highlight w:val="none"/>
              </w:rPr>
            </w:pPr>
          </w:p>
        </w:tc>
        <w:tc>
          <w:tcPr>
            <w:tcW w:w="1799" w:type="dxa"/>
            <w:vMerge w:val="continue"/>
            <w:tcBorders>
              <w:top w:val="nil"/>
            </w:tcBorders>
            <w:noWrap w:val="0"/>
            <w:vAlign w:val="top"/>
          </w:tcPr>
          <w:p w14:paraId="0D9A06D4">
            <w:pPr>
              <w:rPr>
                <w:rFonts w:ascii="Arial"/>
                <w:color w:val="auto"/>
                <w:sz w:val="21"/>
                <w:highlight w:val="none"/>
              </w:rPr>
            </w:pPr>
          </w:p>
        </w:tc>
        <w:tc>
          <w:tcPr>
            <w:tcW w:w="1914" w:type="dxa"/>
            <w:noWrap w:val="0"/>
            <w:vAlign w:val="top"/>
          </w:tcPr>
          <w:p w14:paraId="3CDEB546">
            <w:pPr>
              <w:spacing w:line="319" w:lineRule="auto"/>
              <w:rPr>
                <w:rFonts w:ascii="Arial"/>
                <w:color w:val="auto"/>
                <w:sz w:val="21"/>
                <w:highlight w:val="none"/>
              </w:rPr>
            </w:pPr>
          </w:p>
          <w:p w14:paraId="15E7DCF9">
            <w:pPr>
              <w:pStyle w:val="382"/>
              <w:spacing w:before="62" w:line="305" w:lineRule="auto"/>
              <w:ind w:left="51" w:right="11" w:hanging="33"/>
              <w:rPr>
                <w:color w:val="auto"/>
                <w:highlight w:val="none"/>
              </w:rPr>
            </w:pPr>
            <w:r>
              <w:rPr>
                <w:color w:val="auto"/>
                <w:spacing w:val="44"/>
                <w:highlight w:val="none"/>
              </w:rPr>
              <w:t>单元式空气调节机</w:t>
            </w:r>
            <w:r>
              <w:rPr>
                <w:color w:val="auto"/>
                <w:spacing w:val="6"/>
                <w:highlight w:val="none"/>
              </w:rPr>
              <w:t xml:space="preserve"> </w:t>
            </w:r>
            <w:r>
              <w:rPr>
                <w:color w:val="auto"/>
                <w:spacing w:val="2"/>
                <w:highlight w:val="none"/>
              </w:rPr>
              <w:t>(制冷量&gt;14000W)</w:t>
            </w:r>
          </w:p>
        </w:tc>
        <w:tc>
          <w:tcPr>
            <w:tcW w:w="2969" w:type="dxa"/>
            <w:noWrap w:val="0"/>
            <w:vAlign w:val="top"/>
          </w:tcPr>
          <w:p w14:paraId="64636F3A">
            <w:pPr>
              <w:pStyle w:val="382"/>
              <w:spacing w:before="72" w:line="290" w:lineRule="auto"/>
              <w:ind w:left="16" w:right="11" w:firstLine="6"/>
              <w:jc w:val="both"/>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6"/>
                <w:highlight w:val="none"/>
              </w:rPr>
              <w:t>及能效等级》（</w:t>
            </w:r>
            <w:r>
              <w:rPr>
                <w:color w:val="auto"/>
                <w:highlight w:val="none"/>
              </w:rPr>
              <w:t>GB</w:t>
            </w:r>
            <w:r>
              <w:rPr>
                <w:color w:val="auto"/>
                <w:spacing w:val="-13"/>
                <w:highlight w:val="none"/>
              </w:rPr>
              <w:t xml:space="preserve"> </w:t>
            </w:r>
            <w:r>
              <w:rPr>
                <w:color w:val="auto"/>
                <w:spacing w:val="6"/>
                <w:highlight w:val="none"/>
              </w:rPr>
              <w:t>19576）《风管</w:t>
            </w:r>
            <w:r>
              <w:rPr>
                <w:color w:val="auto"/>
                <w:highlight w:val="none"/>
              </w:rPr>
              <w:t xml:space="preserve"> </w:t>
            </w:r>
            <w:r>
              <w:rPr>
                <w:color w:val="auto"/>
                <w:spacing w:val="19"/>
                <w:highlight w:val="none"/>
              </w:rPr>
              <w:t>送风式空调机组能效限定值及能</w:t>
            </w:r>
            <w:r>
              <w:rPr>
                <w:color w:val="auto"/>
                <w:spacing w:val="9"/>
                <w:highlight w:val="none"/>
              </w:rPr>
              <w:t xml:space="preserve"> </w:t>
            </w:r>
            <w:r>
              <w:rPr>
                <w:color w:val="auto"/>
                <w:spacing w:val="7"/>
                <w:highlight w:val="none"/>
              </w:rPr>
              <w:t>效等级》（</w:t>
            </w:r>
            <w:r>
              <w:rPr>
                <w:color w:val="auto"/>
                <w:highlight w:val="none"/>
              </w:rPr>
              <w:t>GB</w:t>
            </w:r>
            <w:r>
              <w:rPr>
                <w:color w:val="auto"/>
                <w:spacing w:val="7"/>
                <w:highlight w:val="none"/>
              </w:rPr>
              <w:t xml:space="preserve"> 37479）</w:t>
            </w:r>
          </w:p>
        </w:tc>
      </w:tr>
      <w:tr w14:paraId="72270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Merge w:val="continue"/>
            <w:tcBorders>
              <w:top w:val="nil"/>
              <w:bottom w:val="nil"/>
            </w:tcBorders>
            <w:noWrap w:val="0"/>
            <w:vAlign w:val="top"/>
          </w:tcPr>
          <w:p w14:paraId="15979588">
            <w:pPr>
              <w:rPr>
                <w:rFonts w:ascii="Arial"/>
                <w:color w:val="auto"/>
                <w:sz w:val="21"/>
                <w:highlight w:val="none"/>
              </w:rPr>
            </w:pPr>
          </w:p>
        </w:tc>
        <w:tc>
          <w:tcPr>
            <w:tcW w:w="1166" w:type="dxa"/>
            <w:vMerge w:val="continue"/>
            <w:tcBorders>
              <w:top w:val="nil"/>
              <w:bottom w:val="nil"/>
            </w:tcBorders>
            <w:noWrap w:val="0"/>
            <w:vAlign w:val="top"/>
          </w:tcPr>
          <w:p w14:paraId="73F7EDB1">
            <w:pPr>
              <w:rPr>
                <w:rFonts w:ascii="Arial"/>
                <w:color w:val="auto"/>
                <w:sz w:val="21"/>
                <w:highlight w:val="none"/>
              </w:rPr>
            </w:pPr>
          </w:p>
        </w:tc>
        <w:tc>
          <w:tcPr>
            <w:tcW w:w="1799" w:type="dxa"/>
            <w:noWrap w:val="0"/>
            <w:vAlign w:val="top"/>
          </w:tcPr>
          <w:p w14:paraId="530A8EB5">
            <w:pPr>
              <w:pStyle w:val="382"/>
              <w:spacing w:before="146" w:line="303" w:lineRule="auto"/>
              <w:ind w:left="17" w:right="10" w:firstLine="1"/>
              <w:rPr>
                <w:color w:val="auto"/>
                <w:highlight w:val="none"/>
              </w:rPr>
            </w:pPr>
            <w:r>
              <w:rPr>
                <w:color w:val="auto"/>
                <w:spacing w:val="3"/>
                <w:highlight w:val="none"/>
              </w:rPr>
              <w:t>★A02052309 专用制</w:t>
            </w:r>
            <w:r>
              <w:rPr>
                <w:color w:val="auto"/>
                <w:spacing w:val="12"/>
                <w:highlight w:val="none"/>
              </w:rPr>
              <w:t xml:space="preserve"> </w:t>
            </w:r>
            <w:r>
              <w:rPr>
                <w:color w:val="auto"/>
                <w:spacing w:val="8"/>
                <w:highlight w:val="none"/>
              </w:rPr>
              <w:t>冷、空调设备</w:t>
            </w:r>
          </w:p>
        </w:tc>
        <w:tc>
          <w:tcPr>
            <w:tcW w:w="1914" w:type="dxa"/>
            <w:noWrap w:val="0"/>
            <w:vAlign w:val="top"/>
          </w:tcPr>
          <w:p w14:paraId="63B79E9A">
            <w:pPr>
              <w:pStyle w:val="382"/>
              <w:spacing w:before="300" w:line="228" w:lineRule="auto"/>
              <w:ind w:left="15"/>
              <w:rPr>
                <w:color w:val="auto"/>
                <w:highlight w:val="none"/>
              </w:rPr>
            </w:pPr>
            <w:r>
              <w:rPr>
                <w:color w:val="auto"/>
                <w:spacing w:val="7"/>
                <w:highlight w:val="none"/>
              </w:rPr>
              <w:t>机房空调</w:t>
            </w:r>
          </w:p>
        </w:tc>
        <w:tc>
          <w:tcPr>
            <w:tcW w:w="2969" w:type="dxa"/>
            <w:noWrap w:val="0"/>
            <w:vAlign w:val="top"/>
          </w:tcPr>
          <w:p w14:paraId="5993169E">
            <w:pPr>
              <w:pStyle w:val="382"/>
              <w:spacing w:before="146" w:line="302" w:lineRule="auto"/>
              <w:ind w:left="17" w:right="11" w:firstLine="6"/>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5"/>
                <w:highlight w:val="none"/>
              </w:rPr>
              <w:t>及能效等级》（</w:t>
            </w:r>
            <w:r>
              <w:rPr>
                <w:color w:val="auto"/>
                <w:highlight w:val="none"/>
              </w:rPr>
              <w:t>GB</w:t>
            </w:r>
            <w:r>
              <w:rPr>
                <w:color w:val="auto"/>
                <w:spacing w:val="39"/>
                <w:highlight w:val="none"/>
              </w:rPr>
              <w:t xml:space="preserve"> </w:t>
            </w:r>
            <w:r>
              <w:rPr>
                <w:color w:val="auto"/>
                <w:spacing w:val="5"/>
                <w:highlight w:val="none"/>
              </w:rPr>
              <w:t>19576）</w:t>
            </w:r>
          </w:p>
        </w:tc>
      </w:tr>
      <w:tr w14:paraId="14DA7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578" w:type="dxa"/>
            <w:vMerge w:val="continue"/>
            <w:tcBorders>
              <w:top w:val="nil"/>
            </w:tcBorders>
            <w:noWrap w:val="0"/>
            <w:vAlign w:val="top"/>
          </w:tcPr>
          <w:p w14:paraId="5790E3AB">
            <w:pPr>
              <w:rPr>
                <w:rFonts w:ascii="Arial"/>
                <w:color w:val="auto"/>
                <w:sz w:val="21"/>
                <w:highlight w:val="none"/>
              </w:rPr>
            </w:pPr>
          </w:p>
        </w:tc>
        <w:tc>
          <w:tcPr>
            <w:tcW w:w="1166" w:type="dxa"/>
            <w:vMerge w:val="continue"/>
            <w:tcBorders>
              <w:top w:val="nil"/>
            </w:tcBorders>
            <w:noWrap w:val="0"/>
            <w:vAlign w:val="top"/>
          </w:tcPr>
          <w:p w14:paraId="25586BFE">
            <w:pPr>
              <w:rPr>
                <w:rFonts w:ascii="Arial"/>
                <w:color w:val="auto"/>
                <w:sz w:val="21"/>
                <w:highlight w:val="none"/>
              </w:rPr>
            </w:pPr>
          </w:p>
        </w:tc>
        <w:tc>
          <w:tcPr>
            <w:tcW w:w="1799" w:type="dxa"/>
            <w:noWrap w:val="0"/>
            <w:vAlign w:val="top"/>
          </w:tcPr>
          <w:p w14:paraId="650309F0">
            <w:pPr>
              <w:spacing w:line="265" w:lineRule="auto"/>
              <w:rPr>
                <w:rFonts w:ascii="Arial"/>
                <w:color w:val="auto"/>
                <w:sz w:val="21"/>
                <w:highlight w:val="none"/>
              </w:rPr>
            </w:pPr>
          </w:p>
          <w:p w14:paraId="7C0634DB">
            <w:pPr>
              <w:spacing w:line="265" w:lineRule="auto"/>
              <w:rPr>
                <w:rFonts w:ascii="Arial"/>
                <w:color w:val="auto"/>
                <w:sz w:val="21"/>
                <w:highlight w:val="none"/>
              </w:rPr>
            </w:pPr>
          </w:p>
          <w:p w14:paraId="5ED224DD">
            <w:pPr>
              <w:pStyle w:val="382"/>
              <w:spacing w:before="62" w:line="230" w:lineRule="auto"/>
              <w:ind w:left="9"/>
              <w:rPr>
                <w:color w:val="auto"/>
                <w:highlight w:val="none"/>
              </w:rPr>
            </w:pPr>
            <w:r>
              <w:rPr>
                <w:color w:val="auto"/>
                <w:spacing w:val="4"/>
                <w:highlight w:val="none"/>
              </w:rPr>
              <w:t>A02052399 其他制冷</w:t>
            </w:r>
          </w:p>
          <w:p w14:paraId="63EF58C4">
            <w:pPr>
              <w:pStyle w:val="382"/>
              <w:spacing w:before="75" w:line="230" w:lineRule="auto"/>
              <w:ind w:left="21"/>
              <w:rPr>
                <w:color w:val="auto"/>
                <w:highlight w:val="none"/>
              </w:rPr>
            </w:pPr>
            <w:r>
              <w:rPr>
                <w:color w:val="auto"/>
                <w:spacing w:val="5"/>
                <w:highlight w:val="none"/>
              </w:rPr>
              <w:t>空调设备</w:t>
            </w:r>
          </w:p>
        </w:tc>
        <w:tc>
          <w:tcPr>
            <w:tcW w:w="1914" w:type="dxa"/>
            <w:noWrap w:val="0"/>
            <w:vAlign w:val="top"/>
          </w:tcPr>
          <w:p w14:paraId="6E22056B">
            <w:pPr>
              <w:spacing w:line="343" w:lineRule="auto"/>
              <w:rPr>
                <w:rFonts w:ascii="Arial"/>
                <w:color w:val="auto"/>
                <w:sz w:val="21"/>
                <w:highlight w:val="none"/>
              </w:rPr>
            </w:pPr>
          </w:p>
          <w:p w14:paraId="3964E3EB">
            <w:pPr>
              <w:spacing w:line="343" w:lineRule="auto"/>
              <w:rPr>
                <w:rFonts w:ascii="Arial"/>
                <w:color w:val="auto"/>
                <w:sz w:val="21"/>
                <w:highlight w:val="none"/>
              </w:rPr>
            </w:pPr>
          </w:p>
          <w:p w14:paraId="69388536">
            <w:pPr>
              <w:pStyle w:val="382"/>
              <w:spacing w:before="62" w:line="231" w:lineRule="auto"/>
              <w:ind w:left="18"/>
              <w:rPr>
                <w:color w:val="auto"/>
                <w:highlight w:val="none"/>
              </w:rPr>
            </w:pPr>
            <w:r>
              <w:rPr>
                <w:color w:val="auto"/>
                <w:spacing w:val="6"/>
                <w:highlight w:val="none"/>
              </w:rPr>
              <w:t>冷却塔</w:t>
            </w:r>
          </w:p>
        </w:tc>
        <w:tc>
          <w:tcPr>
            <w:tcW w:w="2969" w:type="dxa"/>
            <w:noWrap w:val="0"/>
            <w:vAlign w:val="top"/>
          </w:tcPr>
          <w:p w14:paraId="53CC7B1B">
            <w:pPr>
              <w:pStyle w:val="382"/>
              <w:spacing w:before="284" w:line="304" w:lineRule="auto"/>
              <w:ind w:left="23"/>
              <w:jc w:val="both"/>
              <w:rPr>
                <w:color w:val="auto"/>
                <w:highlight w:val="none"/>
              </w:rPr>
            </w:pPr>
            <w:r>
              <w:rPr>
                <w:color w:val="auto"/>
                <w:spacing w:val="2"/>
                <w:highlight w:val="none"/>
              </w:rPr>
              <w:t>《机械通风冷却塔 第 1 部分：中</w:t>
            </w:r>
            <w:r>
              <w:rPr>
                <w:color w:val="auto"/>
                <w:spacing w:val="3"/>
                <w:highlight w:val="none"/>
              </w:rPr>
              <w:t xml:space="preserve"> </w:t>
            </w:r>
            <w:r>
              <w:rPr>
                <w:color w:val="auto"/>
                <w:spacing w:val="-6"/>
                <w:highlight w:val="none"/>
              </w:rPr>
              <w:t>小型开式冷却塔》（GB</w:t>
            </w:r>
            <w:r>
              <w:rPr>
                <w:color w:val="auto"/>
                <w:spacing w:val="-36"/>
                <w:highlight w:val="none"/>
              </w:rPr>
              <w:t xml:space="preserve"> </w:t>
            </w:r>
            <w:r>
              <w:rPr>
                <w:color w:val="auto"/>
                <w:spacing w:val="-6"/>
                <w:highlight w:val="none"/>
              </w:rPr>
              <w:t>/T</w:t>
            </w:r>
            <w:r>
              <w:rPr>
                <w:color w:val="auto"/>
                <w:spacing w:val="-31"/>
                <w:highlight w:val="none"/>
              </w:rPr>
              <w:t xml:space="preserve"> </w:t>
            </w:r>
            <w:r>
              <w:rPr>
                <w:color w:val="auto"/>
                <w:spacing w:val="-6"/>
                <w:highlight w:val="none"/>
              </w:rPr>
              <w:t>7190.1</w:t>
            </w:r>
            <w:r>
              <w:rPr>
                <w:color w:val="auto"/>
                <w:spacing w:val="-49"/>
                <w:highlight w:val="none"/>
              </w:rPr>
              <w:t>）；</w:t>
            </w:r>
            <w:r>
              <w:rPr>
                <w:color w:val="auto"/>
                <w:highlight w:val="none"/>
              </w:rPr>
              <w:t xml:space="preserve"> </w:t>
            </w:r>
            <w:r>
              <w:rPr>
                <w:color w:val="auto"/>
                <w:spacing w:val="2"/>
                <w:highlight w:val="none"/>
              </w:rPr>
              <w:t>《机械通风冷却塔 第 2 部分：大</w:t>
            </w:r>
            <w:r>
              <w:rPr>
                <w:color w:val="auto"/>
                <w:spacing w:val="3"/>
                <w:highlight w:val="none"/>
              </w:rPr>
              <w:t xml:space="preserve"> </w:t>
            </w:r>
            <w:r>
              <w:rPr>
                <w:color w:val="auto"/>
                <w:spacing w:val="4"/>
                <w:highlight w:val="none"/>
              </w:rPr>
              <w:t>型开式冷却塔》（</w:t>
            </w:r>
            <w:r>
              <w:rPr>
                <w:color w:val="auto"/>
                <w:highlight w:val="none"/>
              </w:rPr>
              <w:t>GB</w:t>
            </w:r>
            <w:r>
              <w:rPr>
                <w:color w:val="auto"/>
                <w:spacing w:val="4"/>
                <w:highlight w:val="none"/>
              </w:rPr>
              <w:t xml:space="preserve"> /T 7190.2）</w:t>
            </w:r>
          </w:p>
        </w:tc>
      </w:tr>
      <w:tr w14:paraId="5AADB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noWrap w:val="0"/>
            <w:vAlign w:val="top"/>
          </w:tcPr>
          <w:p w14:paraId="67E026BB">
            <w:pPr>
              <w:pStyle w:val="382"/>
              <w:spacing w:before="272" w:line="257" w:lineRule="exact"/>
              <w:ind w:left="247"/>
              <w:rPr>
                <w:color w:val="auto"/>
                <w:highlight w:val="none"/>
              </w:rPr>
            </w:pPr>
            <w:r>
              <w:rPr>
                <w:color w:val="auto"/>
                <w:position w:val="1"/>
                <w:highlight w:val="none"/>
              </w:rPr>
              <w:t>7</w:t>
            </w:r>
          </w:p>
        </w:tc>
        <w:tc>
          <w:tcPr>
            <w:tcW w:w="1166" w:type="dxa"/>
            <w:noWrap w:val="0"/>
            <w:vAlign w:val="top"/>
          </w:tcPr>
          <w:p w14:paraId="1C4B87FE">
            <w:pPr>
              <w:pStyle w:val="382"/>
              <w:spacing w:before="273" w:line="228" w:lineRule="auto"/>
              <w:ind w:left="9"/>
              <w:rPr>
                <w:color w:val="auto"/>
                <w:highlight w:val="none"/>
              </w:rPr>
            </w:pPr>
            <w:r>
              <w:rPr>
                <w:color w:val="auto"/>
                <w:spacing w:val="3"/>
                <w:highlight w:val="none"/>
              </w:rPr>
              <w:t>A020601</w:t>
            </w:r>
            <w:r>
              <w:rPr>
                <w:color w:val="auto"/>
                <w:spacing w:val="-19"/>
                <w:highlight w:val="none"/>
              </w:rPr>
              <w:t xml:space="preserve"> </w:t>
            </w:r>
            <w:r>
              <w:rPr>
                <w:color w:val="auto"/>
                <w:spacing w:val="3"/>
                <w:highlight w:val="none"/>
              </w:rPr>
              <w:t>电机</w:t>
            </w:r>
          </w:p>
        </w:tc>
        <w:tc>
          <w:tcPr>
            <w:tcW w:w="1799" w:type="dxa"/>
            <w:noWrap w:val="0"/>
            <w:vAlign w:val="top"/>
          </w:tcPr>
          <w:p w14:paraId="2F72D1B1">
            <w:pPr>
              <w:rPr>
                <w:rFonts w:ascii="Arial"/>
                <w:color w:val="auto"/>
                <w:sz w:val="21"/>
                <w:highlight w:val="none"/>
              </w:rPr>
            </w:pPr>
          </w:p>
        </w:tc>
        <w:tc>
          <w:tcPr>
            <w:tcW w:w="1914" w:type="dxa"/>
            <w:noWrap w:val="0"/>
            <w:vAlign w:val="top"/>
          </w:tcPr>
          <w:p w14:paraId="30045FB9">
            <w:pPr>
              <w:rPr>
                <w:rFonts w:ascii="Arial"/>
                <w:color w:val="auto"/>
                <w:sz w:val="21"/>
                <w:highlight w:val="none"/>
              </w:rPr>
            </w:pPr>
          </w:p>
        </w:tc>
        <w:tc>
          <w:tcPr>
            <w:tcW w:w="2969" w:type="dxa"/>
            <w:noWrap w:val="0"/>
            <w:vAlign w:val="top"/>
          </w:tcPr>
          <w:p w14:paraId="1D882F1C">
            <w:pPr>
              <w:pStyle w:val="382"/>
              <w:spacing w:before="116" w:line="296" w:lineRule="auto"/>
              <w:ind w:left="22" w:right="11"/>
              <w:rPr>
                <w:color w:val="auto"/>
                <w:highlight w:val="none"/>
              </w:rPr>
            </w:pPr>
            <w:r>
              <w:rPr>
                <w:color w:val="auto"/>
                <w:spacing w:val="19"/>
                <w:highlight w:val="none"/>
              </w:rPr>
              <w:t>《中小型三相异步电动机能效限</w:t>
            </w:r>
            <w:r>
              <w:rPr>
                <w:color w:val="auto"/>
                <w:spacing w:val="2"/>
                <w:highlight w:val="none"/>
              </w:rPr>
              <w:t xml:space="preserve"> </w:t>
            </w:r>
            <w:r>
              <w:rPr>
                <w:color w:val="auto"/>
                <w:spacing w:val="5"/>
                <w:highlight w:val="none"/>
              </w:rPr>
              <w:t>定值及能效等级》（</w:t>
            </w:r>
            <w:r>
              <w:rPr>
                <w:color w:val="auto"/>
                <w:highlight w:val="none"/>
              </w:rPr>
              <w:t>GB</w:t>
            </w:r>
            <w:r>
              <w:rPr>
                <w:color w:val="auto"/>
                <w:spacing w:val="42"/>
                <w:highlight w:val="none"/>
              </w:rPr>
              <w:t xml:space="preserve"> </w:t>
            </w:r>
            <w:r>
              <w:rPr>
                <w:color w:val="auto"/>
                <w:spacing w:val="5"/>
                <w:highlight w:val="none"/>
              </w:rPr>
              <w:t>18613）</w:t>
            </w:r>
          </w:p>
        </w:tc>
      </w:tr>
      <w:tr w14:paraId="7FA1B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78" w:type="dxa"/>
            <w:noWrap w:val="0"/>
            <w:vAlign w:val="top"/>
          </w:tcPr>
          <w:p w14:paraId="2EB152FA">
            <w:pPr>
              <w:pStyle w:val="382"/>
              <w:spacing w:before="251" w:line="257" w:lineRule="exact"/>
              <w:ind w:left="243"/>
              <w:rPr>
                <w:color w:val="auto"/>
                <w:highlight w:val="none"/>
              </w:rPr>
            </w:pPr>
            <w:r>
              <w:rPr>
                <w:color w:val="auto"/>
                <w:position w:val="1"/>
                <w:highlight w:val="none"/>
              </w:rPr>
              <w:t>8</w:t>
            </w:r>
          </w:p>
        </w:tc>
        <w:tc>
          <w:tcPr>
            <w:tcW w:w="1166" w:type="dxa"/>
            <w:noWrap w:val="0"/>
            <w:vAlign w:val="top"/>
          </w:tcPr>
          <w:p w14:paraId="799DEEEC">
            <w:pPr>
              <w:pStyle w:val="382"/>
              <w:spacing w:before="96" w:line="285" w:lineRule="auto"/>
              <w:ind w:left="15" w:right="8" w:hanging="6"/>
              <w:rPr>
                <w:color w:val="auto"/>
                <w:highlight w:val="none"/>
              </w:rPr>
            </w:pPr>
            <w:r>
              <w:rPr>
                <w:color w:val="auto"/>
                <w:spacing w:val="5"/>
                <w:highlight w:val="none"/>
              </w:rPr>
              <w:t>A020602</w:t>
            </w:r>
            <w:r>
              <w:rPr>
                <w:color w:val="auto"/>
                <w:spacing w:val="-43"/>
                <w:highlight w:val="none"/>
              </w:rPr>
              <w:t xml:space="preserve"> </w:t>
            </w:r>
            <w:r>
              <w:rPr>
                <w:color w:val="auto"/>
                <w:spacing w:val="5"/>
                <w:highlight w:val="none"/>
              </w:rPr>
              <w:t>变压</w:t>
            </w:r>
            <w:r>
              <w:rPr>
                <w:color w:val="auto"/>
                <w:highlight w:val="none"/>
              </w:rPr>
              <w:t xml:space="preserve"> </w:t>
            </w:r>
            <w:r>
              <w:rPr>
                <w:color w:val="auto"/>
                <w:spacing w:val="1"/>
                <w:highlight w:val="none"/>
              </w:rPr>
              <w:t>器</w:t>
            </w:r>
          </w:p>
        </w:tc>
        <w:tc>
          <w:tcPr>
            <w:tcW w:w="1799" w:type="dxa"/>
            <w:noWrap w:val="0"/>
            <w:vAlign w:val="top"/>
          </w:tcPr>
          <w:p w14:paraId="561DDB6E">
            <w:pPr>
              <w:pStyle w:val="382"/>
              <w:spacing w:before="252" w:line="230" w:lineRule="auto"/>
              <w:ind w:left="15"/>
              <w:rPr>
                <w:color w:val="auto"/>
                <w:highlight w:val="none"/>
              </w:rPr>
            </w:pPr>
            <w:r>
              <w:rPr>
                <w:color w:val="auto"/>
                <w:spacing w:val="8"/>
                <w:highlight w:val="none"/>
              </w:rPr>
              <w:t>配电变压器</w:t>
            </w:r>
          </w:p>
        </w:tc>
        <w:tc>
          <w:tcPr>
            <w:tcW w:w="1914" w:type="dxa"/>
            <w:noWrap w:val="0"/>
            <w:vAlign w:val="top"/>
          </w:tcPr>
          <w:p w14:paraId="5281F05A">
            <w:pPr>
              <w:rPr>
                <w:rFonts w:ascii="Arial"/>
                <w:color w:val="auto"/>
                <w:sz w:val="21"/>
                <w:highlight w:val="none"/>
              </w:rPr>
            </w:pPr>
          </w:p>
        </w:tc>
        <w:tc>
          <w:tcPr>
            <w:tcW w:w="2969" w:type="dxa"/>
            <w:noWrap w:val="0"/>
            <w:vAlign w:val="top"/>
          </w:tcPr>
          <w:p w14:paraId="2098AC95">
            <w:pPr>
              <w:pStyle w:val="382"/>
              <w:spacing w:before="96" w:line="285" w:lineRule="auto"/>
              <w:ind w:left="25" w:right="11" w:hanging="2"/>
              <w:rPr>
                <w:color w:val="auto"/>
                <w:highlight w:val="none"/>
              </w:rPr>
            </w:pPr>
            <w:r>
              <w:rPr>
                <w:color w:val="auto"/>
                <w:spacing w:val="19"/>
                <w:highlight w:val="none"/>
              </w:rPr>
              <w:t>《三相配电变压器能效限定值及</w:t>
            </w:r>
            <w:r>
              <w:rPr>
                <w:color w:val="auto"/>
                <w:spacing w:val="2"/>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20052）</w:t>
            </w:r>
          </w:p>
        </w:tc>
      </w:tr>
      <w:tr w14:paraId="6A543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78" w:type="dxa"/>
            <w:noWrap w:val="0"/>
            <w:vAlign w:val="top"/>
          </w:tcPr>
          <w:p w14:paraId="0B1C442F">
            <w:pPr>
              <w:spacing w:line="284" w:lineRule="auto"/>
              <w:rPr>
                <w:rFonts w:ascii="Arial"/>
                <w:color w:val="auto"/>
                <w:sz w:val="21"/>
                <w:highlight w:val="none"/>
              </w:rPr>
            </w:pPr>
          </w:p>
          <w:p w14:paraId="3B11657A">
            <w:pPr>
              <w:pStyle w:val="382"/>
              <w:spacing w:before="62" w:line="256" w:lineRule="exact"/>
              <w:ind w:left="243"/>
              <w:rPr>
                <w:color w:val="auto"/>
                <w:highlight w:val="none"/>
              </w:rPr>
            </w:pPr>
            <w:r>
              <w:rPr>
                <w:color w:val="auto"/>
                <w:position w:val="1"/>
                <w:highlight w:val="none"/>
              </w:rPr>
              <w:t>9</w:t>
            </w:r>
          </w:p>
        </w:tc>
        <w:tc>
          <w:tcPr>
            <w:tcW w:w="1166" w:type="dxa"/>
            <w:noWrap w:val="0"/>
            <w:vAlign w:val="top"/>
          </w:tcPr>
          <w:p w14:paraId="70183EBA">
            <w:pPr>
              <w:pStyle w:val="382"/>
              <w:spacing w:before="192" w:line="306" w:lineRule="auto"/>
              <w:ind w:left="16" w:right="8" w:firstLine="2"/>
              <w:rPr>
                <w:color w:val="auto"/>
                <w:highlight w:val="none"/>
              </w:rPr>
            </w:pPr>
            <w:r>
              <w:rPr>
                <w:color w:val="auto"/>
                <w:spacing w:val="4"/>
                <w:highlight w:val="none"/>
              </w:rPr>
              <w:t>★A020609</w:t>
            </w:r>
            <w:r>
              <w:rPr>
                <w:color w:val="auto"/>
                <w:spacing w:val="-43"/>
                <w:highlight w:val="none"/>
              </w:rPr>
              <w:t xml:space="preserve"> </w:t>
            </w:r>
            <w:r>
              <w:rPr>
                <w:color w:val="auto"/>
                <w:spacing w:val="4"/>
                <w:highlight w:val="none"/>
              </w:rPr>
              <w:t>镇</w:t>
            </w:r>
            <w:r>
              <w:rPr>
                <w:color w:val="auto"/>
                <w:highlight w:val="none"/>
              </w:rPr>
              <w:t xml:space="preserve"> </w:t>
            </w:r>
            <w:r>
              <w:rPr>
                <w:color w:val="auto"/>
                <w:spacing w:val="4"/>
                <w:highlight w:val="none"/>
              </w:rPr>
              <w:t>流器</w:t>
            </w:r>
          </w:p>
        </w:tc>
        <w:tc>
          <w:tcPr>
            <w:tcW w:w="1799" w:type="dxa"/>
            <w:noWrap w:val="0"/>
            <w:vAlign w:val="top"/>
          </w:tcPr>
          <w:p w14:paraId="38E1ED31">
            <w:pPr>
              <w:spacing w:line="284" w:lineRule="auto"/>
              <w:rPr>
                <w:rFonts w:ascii="Arial"/>
                <w:color w:val="auto"/>
                <w:sz w:val="21"/>
                <w:highlight w:val="none"/>
              </w:rPr>
            </w:pPr>
          </w:p>
          <w:p w14:paraId="48AE2AE0">
            <w:pPr>
              <w:pStyle w:val="382"/>
              <w:spacing w:before="62" w:line="229" w:lineRule="auto"/>
              <w:ind w:left="19"/>
              <w:rPr>
                <w:color w:val="auto"/>
                <w:highlight w:val="none"/>
              </w:rPr>
            </w:pPr>
            <w:r>
              <w:rPr>
                <w:color w:val="auto"/>
                <w:spacing w:val="8"/>
                <w:highlight w:val="none"/>
              </w:rPr>
              <w:t>管型荧光灯镇流器</w:t>
            </w:r>
          </w:p>
        </w:tc>
        <w:tc>
          <w:tcPr>
            <w:tcW w:w="1914" w:type="dxa"/>
            <w:noWrap w:val="0"/>
            <w:vAlign w:val="top"/>
          </w:tcPr>
          <w:p w14:paraId="58147379">
            <w:pPr>
              <w:rPr>
                <w:rFonts w:ascii="Arial"/>
                <w:color w:val="auto"/>
                <w:sz w:val="21"/>
                <w:highlight w:val="none"/>
              </w:rPr>
            </w:pPr>
          </w:p>
        </w:tc>
        <w:tc>
          <w:tcPr>
            <w:tcW w:w="2969" w:type="dxa"/>
            <w:noWrap w:val="0"/>
            <w:vAlign w:val="top"/>
          </w:tcPr>
          <w:p w14:paraId="00B296BC">
            <w:pPr>
              <w:pStyle w:val="382"/>
              <w:spacing w:before="192" w:line="304" w:lineRule="auto"/>
              <w:ind w:left="17" w:right="11" w:firstLine="6"/>
              <w:rPr>
                <w:color w:val="auto"/>
                <w:highlight w:val="none"/>
              </w:rPr>
            </w:pPr>
            <w:r>
              <w:rPr>
                <w:color w:val="auto"/>
                <w:spacing w:val="19"/>
                <w:highlight w:val="none"/>
              </w:rPr>
              <w:t>《管形荧光灯镇流器能效限定值</w:t>
            </w:r>
            <w:r>
              <w:rPr>
                <w:color w:val="auto"/>
                <w:spacing w:val="2"/>
                <w:highlight w:val="none"/>
              </w:rPr>
              <w:t xml:space="preserve"> </w:t>
            </w:r>
            <w:r>
              <w:rPr>
                <w:color w:val="auto"/>
                <w:spacing w:val="5"/>
                <w:highlight w:val="none"/>
              </w:rPr>
              <w:t>及能效等级》（</w:t>
            </w:r>
            <w:r>
              <w:rPr>
                <w:color w:val="auto"/>
                <w:highlight w:val="none"/>
              </w:rPr>
              <w:t>GB</w:t>
            </w:r>
            <w:r>
              <w:rPr>
                <w:color w:val="auto"/>
                <w:spacing w:val="39"/>
                <w:highlight w:val="none"/>
              </w:rPr>
              <w:t xml:space="preserve"> </w:t>
            </w:r>
            <w:r>
              <w:rPr>
                <w:color w:val="auto"/>
                <w:spacing w:val="5"/>
                <w:highlight w:val="none"/>
              </w:rPr>
              <w:t>17896）</w:t>
            </w:r>
          </w:p>
        </w:tc>
      </w:tr>
      <w:tr w14:paraId="5E32B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578" w:type="dxa"/>
            <w:vMerge w:val="restart"/>
            <w:tcBorders>
              <w:bottom w:val="nil"/>
            </w:tcBorders>
            <w:noWrap w:val="0"/>
            <w:vAlign w:val="top"/>
          </w:tcPr>
          <w:p w14:paraId="1D68A080">
            <w:pPr>
              <w:spacing w:line="258" w:lineRule="auto"/>
              <w:rPr>
                <w:rFonts w:ascii="Arial"/>
                <w:color w:val="auto"/>
                <w:sz w:val="21"/>
                <w:highlight w:val="none"/>
              </w:rPr>
            </w:pPr>
          </w:p>
          <w:p w14:paraId="3E0C802A">
            <w:pPr>
              <w:spacing w:line="258" w:lineRule="auto"/>
              <w:rPr>
                <w:rFonts w:ascii="Arial"/>
                <w:color w:val="auto"/>
                <w:sz w:val="21"/>
                <w:highlight w:val="none"/>
              </w:rPr>
            </w:pPr>
          </w:p>
          <w:p w14:paraId="3EBC18B7">
            <w:pPr>
              <w:spacing w:line="258" w:lineRule="auto"/>
              <w:rPr>
                <w:rFonts w:ascii="Arial"/>
                <w:color w:val="auto"/>
                <w:sz w:val="21"/>
                <w:highlight w:val="none"/>
              </w:rPr>
            </w:pPr>
          </w:p>
          <w:p w14:paraId="108B099D">
            <w:pPr>
              <w:spacing w:line="258" w:lineRule="auto"/>
              <w:rPr>
                <w:rFonts w:ascii="Arial"/>
                <w:color w:val="auto"/>
                <w:sz w:val="21"/>
                <w:highlight w:val="none"/>
              </w:rPr>
            </w:pPr>
          </w:p>
          <w:p w14:paraId="3849794C">
            <w:pPr>
              <w:spacing w:line="258" w:lineRule="auto"/>
              <w:rPr>
                <w:rFonts w:ascii="Arial"/>
                <w:color w:val="auto"/>
                <w:sz w:val="21"/>
                <w:highlight w:val="none"/>
              </w:rPr>
            </w:pPr>
          </w:p>
          <w:p w14:paraId="5762887F">
            <w:pPr>
              <w:spacing w:line="258" w:lineRule="auto"/>
              <w:rPr>
                <w:rFonts w:ascii="Arial"/>
                <w:color w:val="auto"/>
                <w:sz w:val="21"/>
                <w:highlight w:val="none"/>
              </w:rPr>
            </w:pPr>
          </w:p>
          <w:p w14:paraId="0340F63E">
            <w:pPr>
              <w:spacing w:line="259" w:lineRule="auto"/>
              <w:rPr>
                <w:rFonts w:ascii="Arial"/>
                <w:color w:val="auto"/>
                <w:sz w:val="21"/>
                <w:highlight w:val="none"/>
              </w:rPr>
            </w:pPr>
          </w:p>
          <w:p w14:paraId="156A2C99">
            <w:pPr>
              <w:spacing w:line="259" w:lineRule="auto"/>
              <w:rPr>
                <w:rFonts w:ascii="Arial"/>
                <w:color w:val="auto"/>
                <w:sz w:val="21"/>
                <w:highlight w:val="none"/>
              </w:rPr>
            </w:pPr>
          </w:p>
          <w:p w14:paraId="107B03EA">
            <w:pPr>
              <w:spacing w:line="259" w:lineRule="auto"/>
              <w:rPr>
                <w:rFonts w:ascii="Arial"/>
                <w:color w:val="auto"/>
                <w:sz w:val="21"/>
                <w:highlight w:val="none"/>
              </w:rPr>
            </w:pPr>
          </w:p>
          <w:p w14:paraId="2DDF312F">
            <w:pPr>
              <w:spacing w:line="259" w:lineRule="auto"/>
              <w:rPr>
                <w:rFonts w:ascii="Arial"/>
                <w:color w:val="auto"/>
                <w:sz w:val="21"/>
                <w:highlight w:val="none"/>
              </w:rPr>
            </w:pPr>
          </w:p>
          <w:p w14:paraId="1E54B8AB">
            <w:pPr>
              <w:pStyle w:val="382"/>
              <w:spacing w:before="62" w:line="256" w:lineRule="exact"/>
              <w:ind w:left="209"/>
              <w:rPr>
                <w:color w:val="auto"/>
                <w:highlight w:val="none"/>
              </w:rPr>
            </w:pPr>
            <w:r>
              <w:rPr>
                <w:color w:val="auto"/>
                <w:spacing w:val="-7"/>
                <w:position w:val="1"/>
                <w:highlight w:val="none"/>
              </w:rPr>
              <w:t>10</w:t>
            </w:r>
          </w:p>
        </w:tc>
        <w:tc>
          <w:tcPr>
            <w:tcW w:w="1166" w:type="dxa"/>
            <w:vMerge w:val="restart"/>
            <w:tcBorders>
              <w:bottom w:val="nil"/>
            </w:tcBorders>
            <w:noWrap w:val="0"/>
            <w:vAlign w:val="top"/>
          </w:tcPr>
          <w:p w14:paraId="021711F7">
            <w:pPr>
              <w:spacing w:line="242" w:lineRule="auto"/>
              <w:rPr>
                <w:rFonts w:ascii="Arial"/>
                <w:color w:val="auto"/>
                <w:sz w:val="21"/>
                <w:highlight w:val="none"/>
              </w:rPr>
            </w:pPr>
          </w:p>
          <w:p w14:paraId="50AFFFB5">
            <w:pPr>
              <w:spacing w:line="243" w:lineRule="auto"/>
              <w:rPr>
                <w:rFonts w:ascii="Arial"/>
                <w:color w:val="auto"/>
                <w:sz w:val="21"/>
                <w:highlight w:val="none"/>
              </w:rPr>
            </w:pPr>
          </w:p>
          <w:p w14:paraId="5E98A9D8">
            <w:pPr>
              <w:spacing w:line="243" w:lineRule="auto"/>
              <w:rPr>
                <w:rFonts w:ascii="Arial"/>
                <w:color w:val="auto"/>
                <w:sz w:val="21"/>
                <w:highlight w:val="none"/>
              </w:rPr>
            </w:pPr>
          </w:p>
          <w:p w14:paraId="0F591616">
            <w:pPr>
              <w:spacing w:line="243" w:lineRule="auto"/>
              <w:rPr>
                <w:rFonts w:ascii="Arial"/>
                <w:color w:val="auto"/>
                <w:sz w:val="21"/>
                <w:highlight w:val="none"/>
              </w:rPr>
            </w:pPr>
          </w:p>
          <w:p w14:paraId="592CBDE5">
            <w:pPr>
              <w:spacing w:line="243" w:lineRule="auto"/>
              <w:rPr>
                <w:rFonts w:ascii="Arial"/>
                <w:color w:val="auto"/>
                <w:sz w:val="21"/>
                <w:highlight w:val="none"/>
              </w:rPr>
            </w:pPr>
          </w:p>
          <w:p w14:paraId="3E695A53">
            <w:pPr>
              <w:spacing w:line="243" w:lineRule="auto"/>
              <w:rPr>
                <w:rFonts w:ascii="Arial"/>
                <w:color w:val="auto"/>
                <w:sz w:val="21"/>
                <w:highlight w:val="none"/>
              </w:rPr>
            </w:pPr>
          </w:p>
          <w:p w14:paraId="3D028989">
            <w:pPr>
              <w:spacing w:line="243" w:lineRule="auto"/>
              <w:rPr>
                <w:rFonts w:ascii="Arial"/>
                <w:color w:val="auto"/>
                <w:sz w:val="21"/>
                <w:highlight w:val="none"/>
              </w:rPr>
            </w:pPr>
          </w:p>
          <w:p w14:paraId="38219F57">
            <w:pPr>
              <w:spacing w:line="243" w:lineRule="auto"/>
              <w:rPr>
                <w:rFonts w:ascii="Arial"/>
                <w:color w:val="auto"/>
                <w:sz w:val="21"/>
                <w:highlight w:val="none"/>
              </w:rPr>
            </w:pPr>
          </w:p>
          <w:p w14:paraId="1E503031">
            <w:pPr>
              <w:spacing w:line="243" w:lineRule="auto"/>
              <w:rPr>
                <w:rFonts w:ascii="Arial"/>
                <w:color w:val="auto"/>
                <w:sz w:val="21"/>
                <w:highlight w:val="none"/>
              </w:rPr>
            </w:pPr>
          </w:p>
          <w:p w14:paraId="5B80FE3C">
            <w:pPr>
              <w:spacing w:line="243" w:lineRule="auto"/>
              <w:rPr>
                <w:rFonts w:ascii="Arial"/>
                <w:color w:val="auto"/>
                <w:sz w:val="21"/>
                <w:highlight w:val="none"/>
              </w:rPr>
            </w:pPr>
          </w:p>
          <w:p w14:paraId="5989F9F1">
            <w:pPr>
              <w:pStyle w:val="382"/>
              <w:spacing w:before="62" w:line="305" w:lineRule="auto"/>
              <w:ind w:left="16" w:right="8" w:hanging="7"/>
              <w:rPr>
                <w:color w:val="auto"/>
                <w:highlight w:val="none"/>
              </w:rPr>
            </w:pPr>
            <w:r>
              <w:rPr>
                <w:color w:val="auto"/>
                <w:spacing w:val="4"/>
                <w:highlight w:val="none"/>
              </w:rPr>
              <w:t>A020618</w:t>
            </w:r>
            <w:r>
              <w:rPr>
                <w:color w:val="auto"/>
                <w:spacing w:val="-34"/>
                <w:highlight w:val="none"/>
              </w:rPr>
              <w:t xml:space="preserve"> </w:t>
            </w:r>
            <w:r>
              <w:rPr>
                <w:color w:val="auto"/>
                <w:spacing w:val="4"/>
                <w:highlight w:val="none"/>
              </w:rPr>
              <w:t>生活</w:t>
            </w:r>
            <w:r>
              <w:rPr>
                <w:color w:val="auto"/>
                <w:highlight w:val="none"/>
              </w:rPr>
              <w:t xml:space="preserve"> </w:t>
            </w:r>
            <w:r>
              <w:rPr>
                <w:color w:val="auto"/>
                <w:spacing w:val="6"/>
                <w:highlight w:val="none"/>
              </w:rPr>
              <w:t>用电器</w:t>
            </w:r>
          </w:p>
        </w:tc>
        <w:tc>
          <w:tcPr>
            <w:tcW w:w="1799" w:type="dxa"/>
            <w:noWrap w:val="0"/>
            <w:vAlign w:val="top"/>
          </w:tcPr>
          <w:p w14:paraId="06F1C1A1">
            <w:pPr>
              <w:pStyle w:val="382"/>
              <w:spacing w:before="276" w:line="230" w:lineRule="auto"/>
              <w:ind w:left="9"/>
              <w:rPr>
                <w:color w:val="auto"/>
                <w:highlight w:val="none"/>
              </w:rPr>
            </w:pPr>
            <w:r>
              <w:rPr>
                <w:color w:val="auto"/>
                <w:spacing w:val="3"/>
                <w:highlight w:val="none"/>
              </w:rPr>
              <w:t>A0206180101</w:t>
            </w:r>
            <w:r>
              <w:rPr>
                <w:color w:val="auto"/>
                <w:spacing w:val="-4"/>
                <w:highlight w:val="none"/>
              </w:rPr>
              <w:t xml:space="preserve"> </w:t>
            </w:r>
            <w:r>
              <w:rPr>
                <w:color w:val="auto"/>
                <w:spacing w:val="3"/>
                <w:highlight w:val="none"/>
              </w:rPr>
              <w:t>电冰箱</w:t>
            </w:r>
          </w:p>
        </w:tc>
        <w:tc>
          <w:tcPr>
            <w:tcW w:w="1914" w:type="dxa"/>
            <w:noWrap w:val="0"/>
            <w:vAlign w:val="top"/>
          </w:tcPr>
          <w:p w14:paraId="72D9C7B6">
            <w:pPr>
              <w:rPr>
                <w:rFonts w:ascii="Arial"/>
                <w:color w:val="auto"/>
                <w:sz w:val="21"/>
                <w:highlight w:val="none"/>
              </w:rPr>
            </w:pPr>
          </w:p>
        </w:tc>
        <w:tc>
          <w:tcPr>
            <w:tcW w:w="2969" w:type="dxa"/>
            <w:noWrap w:val="0"/>
            <w:vAlign w:val="top"/>
          </w:tcPr>
          <w:p w14:paraId="2E8E4427">
            <w:pPr>
              <w:pStyle w:val="382"/>
              <w:spacing w:before="119" w:line="296" w:lineRule="auto"/>
              <w:ind w:left="22" w:right="11"/>
              <w:rPr>
                <w:color w:val="auto"/>
                <w:highlight w:val="none"/>
              </w:rPr>
            </w:pPr>
            <w:r>
              <w:rPr>
                <w:color w:val="auto"/>
                <w:spacing w:val="19"/>
                <w:highlight w:val="none"/>
              </w:rPr>
              <w:t>《家用电冰箱耗电量限定值及能</w:t>
            </w:r>
            <w:r>
              <w:rPr>
                <w:color w:val="auto"/>
                <w:spacing w:val="2"/>
                <w:highlight w:val="none"/>
              </w:rPr>
              <w:t xml:space="preserve"> </w:t>
            </w:r>
            <w:r>
              <w:rPr>
                <w:color w:val="auto"/>
                <w:spacing w:val="4"/>
                <w:highlight w:val="none"/>
              </w:rPr>
              <w:t>效等级》（</w:t>
            </w:r>
            <w:r>
              <w:rPr>
                <w:color w:val="auto"/>
                <w:highlight w:val="none"/>
              </w:rPr>
              <w:t>GB</w:t>
            </w:r>
            <w:r>
              <w:rPr>
                <w:color w:val="auto"/>
                <w:spacing w:val="20"/>
                <w:highlight w:val="none"/>
              </w:rPr>
              <w:t xml:space="preserve">  </w:t>
            </w:r>
            <w:r>
              <w:rPr>
                <w:color w:val="auto"/>
                <w:spacing w:val="4"/>
                <w:highlight w:val="none"/>
              </w:rPr>
              <w:t>12021.2）</w:t>
            </w:r>
          </w:p>
        </w:tc>
      </w:tr>
      <w:tr w14:paraId="4AF42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578" w:type="dxa"/>
            <w:vMerge w:val="continue"/>
            <w:tcBorders>
              <w:top w:val="nil"/>
              <w:bottom w:val="nil"/>
            </w:tcBorders>
            <w:noWrap w:val="0"/>
            <w:vAlign w:val="top"/>
          </w:tcPr>
          <w:p w14:paraId="2FCAEBF5">
            <w:pPr>
              <w:rPr>
                <w:rFonts w:ascii="Arial"/>
                <w:color w:val="auto"/>
                <w:sz w:val="21"/>
                <w:highlight w:val="none"/>
              </w:rPr>
            </w:pPr>
          </w:p>
        </w:tc>
        <w:tc>
          <w:tcPr>
            <w:tcW w:w="1166" w:type="dxa"/>
            <w:vMerge w:val="continue"/>
            <w:tcBorders>
              <w:top w:val="nil"/>
              <w:bottom w:val="nil"/>
            </w:tcBorders>
            <w:noWrap w:val="0"/>
            <w:vAlign w:val="top"/>
          </w:tcPr>
          <w:p w14:paraId="4A335AE1">
            <w:pPr>
              <w:rPr>
                <w:rFonts w:ascii="Arial"/>
                <w:color w:val="auto"/>
                <w:sz w:val="21"/>
                <w:highlight w:val="none"/>
              </w:rPr>
            </w:pPr>
          </w:p>
        </w:tc>
        <w:tc>
          <w:tcPr>
            <w:tcW w:w="1799" w:type="dxa"/>
            <w:vMerge w:val="restart"/>
            <w:tcBorders>
              <w:bottom w:val="nil"/>
            </w:tcBorders>
            <w:noWrap w:val="0"/>
            <w:vAlign w:val="top"/>
          </w:tcPr>
          <w:p w14:paraId="7E506850">
            <w:pPr>
              <w:spacing w:line="247" w:lineRule="auto"/>
              <w:rPr>
                <w:rFonts w:ascii="Arial"/>
                <w:color w:val="auto"/>
                <w:sz w:val="21"/>
                <w:highlight w:val="none"/>
              </w:rPr>
            </w:pPr>
          </w:p>
          <w:p w14:paraId="6A8781AB">
            <w:pPr>
              <w:spacing w:line="248" w:lineRule="auto"/>
              <w:rPr>
                <w:rFonts w:ascii="Arial"/>
                <w:color w:val="auto"/>
                <w:sz w:val="21"/>
                <w:highlight w:val="none"/>
              </w:rPr>
            </w:pPr>
          </w:p>
          <w:p w14:paraId="236A60C8">
            <w:pPr>
              <w:spacing w:line="248" w:lineRule="auto"/>
              <w:rPr>
                <w:rFonts w:ascii="Arial"/>
                <w:color w:val="auto"/>
                <w:sz w:val="21"/>
                <w:highlight w:val="none"/>
              </w:rPr>
            </w:pPr>
          </w:p>
          <w:p w14:paraId="7216B67A">
            <w:pPr>
              <w:spacing w:line="248" w:lineRule="auto"/>
              <w:rPr>
                <w:rFonts w:ascii="Arial"/>
                <w:color w:val="auto"/>
                <w:sz w:val="21"/>
                <w:highlight w:val="none"/>
              </w:rPr>
            </w:pPr>
          </w:p>
          <w:p w14:paraId="7913C3B2">
            <w:pPr>
              <w:spacing w:line="248" w:lineRule="auto"/>
              <w:rPr>
                <w:rFonts w:ascii="Arial"/>
                <w:color w:val="auto"/>
                <w:sz w:val="21"/>
                <w:highlight w:val="none"/>
              </w:rPr>
            </w:pPr>
          </w:p>
          <w:p w14:paraId="1B88F3E9">
            <w:pPr>
              <w:spacing w:line="248" w:lineRule="auto"/>
              <w:rPr>
                <w:rFonts w:ascii="Arial"/>
                <w:color w:val="auto"/>
                <w:sz w:val="21"/>
                <w:highlight w:val="none"/>
              </w:rPr>
            </w:pPr>
          </w:p>
          <w:p w14:paraId="6295C6D7">
            <w:pPr>
              <w:spacing w:line="248" w:lineRule="auto"/>
              <w:rPr>
                <w:rFonts w:ascii="Arial"/>
                <w:color w:val="auto"/>
                <w:sz w:val="21"/>
                <w:highlight w:val="none"/>
              </w:rPr>
            </w:pPr>
          </w:p>
          <w:p w14:paraId="67587E99">
            <w:pPr>
              <w:pStyle w:val="382"/>
              <w:spacing w:before="62" w:line="304" w:lineRule="auto"/>
              <w:ind w:left="14" w:right="10" w:firstLine="3"/>
              <w:rPr>
                <w:color w:val="auto"/>
                <w:highlight w:val="none"/>
              </w:rPr>
            </w:pPr>
            <w:r>
              <w:rPr>
                <w:color w:val="auto"/>
                <w:spacing w:val="3"/>
                <w:highlight w:val="none"/>
              </w:rPr>
              <w:t>★A0206180203 空调</w:t>
            </w:r>
            <w:r>
              <w:rPr>
                <w:color w:val="auto"/>
                <w:spacing w:val="9"/>
                <w:highlight w:val="none"/>
              </w:rPr>
              <w:t xml:space="preserve"> </w:t>
            </w:r>
            <w:r>
              <w:rPr>
                <w:color w:val="auto"/>
                <w:spacing w:val="2"/>
                <w:highlight w:val="none"/>
              </w:rPr>
              <w:t>机</w:t>
            </w:r>
          </w:p>
        </w:tc>
        <w:tc>
          <w:tcPr>
            <w:tcW w:w="1914" w:type="dxa"/>
            <w:noWrap w:val="0"/>
            <w:vAlign w:val="top"/>
          </w:tcPr>
          <w:p w14:paraId="54704E1D">
            <w:pPr>
              <w:spacing w:line="261" w:lineRule="auto"/>
              <w:rPr>
                <w:rFonts w:ascii="Arial"/>
                <w:color w:val="auto"/>
                <w:sz w:val="21"/>
                <w:highlight w:val="none"/>
              </w:rPr>
            </w:pPr>
          </w:p>
          <w:p w14:paraId="35F4A099">
            <w:pPr>
              <w:spacing w:line="261" w:lineRule="auto"/>
              <w:rPr>
                <w:rFonts w:ascii="Arial"/>
                <w:color w:val="auto"/>
                <w:sz w:val="21"/>
                <w:highlight w:val="none"/>
              </w:rPr>
            </w:pPr>
          </w:p>
          <w:p w14:paraId="0D2BDF7B">
            <w:pPr>
              <w:spacing w:line="261" w:lineRule="auto"/>
              <w:rPr>
                <w:rFonts w:ascii="Arial"/>
                <w:color w:val="auto"/>
                <w:sz w:val="21"/>
                <w:highlight w:val="none"/>
              </w:rPr>
            </w:pPr>
          </w:p>
          <w:p w14:paraId="1F201EF5">
            <w:pPr>
              <w:pStyle w:val="382"/>
              <w:spacing w:before="62" w:line="230" w:lineRule="auto"/>
              <w:ind w:left="17"/>
              <w:rPr>
                <w:color w:val="auto"/>
                <w:highlight w:val="none"/>
              </w:rPr>
            </w:pPr>
            <w:r>
              <w:rPr>
                <w:color w:val="auto"/>
                <w:spacing w:val="8"/>
                <w:highlight w:val="none"/>
              </w:rPr>
              <w:t>房间空气调节器</w:t>
            </w:r>
          </w:p>
        </w:tc>
        <w:tc>
          <w:tcPr>
            <w:tcW w:w="2969" w:type="dxa"/>
            <w:noWrap w:val="0"/>
            <w:vAlign w:val="top"/>
          </w:tcPr>
          <w:p w14:paraId="5683FC12">
            <w:pPr>
              <w:pStyle w:val="382"/>
              <w:spacing w:before="68" w:line="293" w:lineRule="auto"/>
              <w:ind w:left="17" w:firstLine="5"/>
              <w:jc w:val="both"/>
              <w:rPr>
                <w:color w:val="auto"/>
                <w:highlight w:val="none"/>
              </w:rPr>
            </w:pPr>
            <w:r>
              <w:rPr>
                <w:color w:val="auto"/>
                <w:spacing w:val="14"/>
                <w:highlight w:val="none"/>
              </w:rPr>
              <w:t>《转速可控型房间空气调节器能</w:t>
            </w:r>
            <w:r>
              <w:rPr>
                <w:color w:val="auto"/>
                <w:highlight w:val="none"/>
              </w:rPr>
              <w:t xml:space="preserve">  </w:t>
            </w:r>
            <w:r>
              <w:rPr>
                <w:color w:val="auto"/>
                <w:spacing w:val="-9"/>
                <w:highlight w:val="none"/>
              </w:rPr>
              <w:t>效</w:t>
            </w:r>
            <w:r>
              <w:rPr>
                <w:color w:val="auto"/>
                <w:spacing w:val="-19"/>
                <w:highlight w:val="none"/>
              </w:rPr>
              <w:t xml:space="preserve"> </w:t>
            </w:r>
            <w:r>
              <w:rPr>
                <w:color w:val="auto"/>
                <w:spacing w:val="-9"/>
                <w:highlight w:val="none"/>
              </w:rPr>
              <w:t>限</w:t>
            </w:r>
            <w:r>
              <w:rPr>
                <w:color w:val="auto"/>
                <w:spacing w:val="-33"/>
                <w:highlight w:val="none"/>
              </w:rPr>
              <w:t xml:space="preserve"> </w:t>
            </w:r>
            <w:r>
              <w:rPr>
                <w:color w:val="auto"/>
                <w:spacing w:val="-9"/>
                <w:highlight w:val="none"/>
              </w:rPr>
              <w:t>定</w:t>
            </w:r>
            <w:r>
              <w:rPr>
                <w:color w:val="auto"/>
                <w:spacing w:val="-38"/>
                <w:highlight w:val="none"/>
              </w:rPr>
              <w:t xml:space="preserve"> </w:t>
            </w:r>
            <w:r>
              <w:rPr>
                <w:color w:val="auto"/>
                <w:spacing w:val="-9"/>
                <w:highlight w:val="none"/>
              </w:rPr>
              <w:t>值</w:t>
            </w:r>
            <w:r>
              <w:rPr>
                <w:color w:val="auto"/>
                <w:spacing w:val="-39"/>
                <w:highlight w:val="none"/>
              </w:rPr>
              <w:t xml:space="preserve"> </w:t>
            </w:r>
            <w:r>
              <w:rPr>
                <w:color w:val="auto"/>
                <w:spacing w:val="-9"/>
                <w:highlight w:val="none"/>
              </w:rPr>
              <w:t>及</w:t>
            </w:r>
            <w:r>
              <w:rPr>
                <w:color w:val="auto"/>
                <w:spacing w:val="-31"/>
                <w:highlight w:val="none"/>
              </w:rPr>
              <w:t xml:space="preserve"> </w:t>
            </w:r>
            <w:r>
              <w:rPr>
                <w:color w:val="auto"/>
                <w:spacing w:val="-9"/>
                <w:highlight w:val="none"/>
              </w:rPr>
              <w:t>能</w:t>
            </w:r>
            <w:r>
              <w:rPr>
                <w:color w:val="auto"/>
                <w:spacing w:val="-34"/>
                <w:highlight w:val="none"/>
              </w:rPr>
              <w:t xml:space="preserve"> </w:t>
            </w:r>
            <w:r>
              <w:rPr>
                <w:color w:val="auto"/>
                <w:spacing w:val="-9"/>
                <w:highlight w:val="none"/>
              </w:rPr>
              <w:t>效</w:t>
            </w:r>
            <w:r>
              <w:rPr>
                <w:color w:val="auto"/>
                <w:spacing w:val="-36"/>
                <w:highlight w:val="none"/>
              </w:rPr>
              <w:t xml:space="preserve"> </w:t>
            </w:r>
            <w:r>
              <w:rPr>
                <w:color w:val="auto"/>
                <w:spacing w:val="-9"/>
                <w:highlight w:val="none"/>
              </w:rPr>
              <w:t>等</w:t>
            </w:r>
            <w:r>
              <w:rPr>
                <w:color w:val="auto"/>
                <w:spacing w:val="-36"/>
                <w:highlight w:val="none"/>
              </w:rPr>
              <w:t xml:space="preserve"> </w:t>
            </w:r>
            <w:r>
              <w:rPr>
                <w:color w:val="auto"/>
                <w:spacing w:val="-9"/>
                <w:highlight w:val="none"/>
              </w:rPr>
              <w:t>级</w:t>
            </w:r>
            <w:r>
              <w:rPr>
                <w:color w:val="auto"/>
                <w:spacing w:val="-29"/>
                <w:highlight w:val="none"/>
              </w:rPr>
              <w:t xml:space="preserve"> </w:t>
            </w:r>
            <w:r>
              <w:rPr>
                <w:color w:val="auto"/>
                <w:spacing w:val="-9"/>
                <w:highlight w:val="none"/>
              </w:rPr>
              <w:t>》</w:t>
            </w:r>
            <w:r>
              <w:rPr>
                <w:color w:val="auto"/>
                <w:spacing w:val="-41"/>
                <w:highlight w:val="none"/>
              </w:rPr>
              <w:t xml:space="preserve"> </w:t>
            </w:r>
            <w:r>
              <w:rPr>
                <w:color w:val="auto"/>
                <w:spacing w:val="-9"/>
                <w:highlight w:val="none"/>
              </w:rPr>
              <w:t>（ GB</w:t>
            </w:r>
            <w:r>
              <w:rPr>
                <w:color w:val="auto"/>
                <w:highlight w:val="none"/>
              </w:rPr>
              <w:t xml:space="preserve">  21455-2013</w:t>
            </w:r>
            <w:r>
              <w:rPr>
                <w:color w:val="auto"/>
                <w:spacing w:val="12"/>
                <w:highlight w:val="none"/>
              </w:rPr>
              <w:t>），</w:t>
            </w:r>
            <w:r>
              <w:rPr>
                <w:color w:val="auto"/>
                <w:highlight w:val="none"/>
              </w:rPr>
              <w:t>待 2019</w:t>
            </w:r>
            <w:r>
              <w:rPr>
                <w:color w:val="auto"/>
                <w:spacing w:val="-15"/>
                <w:highlight w:val="none"/>
              </w:rPr>
              <w:t xml:space="preserve"> </w:t>
            </w:r>
            <w:r>
              <w:rPr>
                <w:color w:val="auto"/>
                <w:highlight w:val="none"/>
              </w:rPr>
              <w:t>年修订发  布后，按《房间空气调节器能效限</w:t>
            </w:r>
            <w:r>
              <w:rPr>
                <w:color w:val="auto"/>
                <w:spacing w:val="4"/>
                <w:highlight w:val="none"/>
              </w:rPr>
              <w:t xml:space="preserve">  </w:t>
            </w:r>
            <w:r>
              <w:rPr>
                <w:color w:val="auto"/>
                <w:spacing w:val="-5"/>
                <w:highlight w:val="none"/>
              </w:rPr>
              <w:t>定值及能效等级》（GB21455-2019）</w:t>
            </w:r>
            <w:r>
              <w:rPr>
                <w:color w:val="auto"/>
                <w:spacing w:val="15"/>
                <w:highlight w:val="none"/>
              </w:rPr>
              <w:t xml:space="preserve"> </w:t>
            </w:r>
            <w:r>
              <w:rPr>
                <w:color w:val="auto"/>
                <w:highlight w:val="none"/>
              </w:rPr>
              <w:t>实施。</w:t>
            </w:r>
          </w:p>
        </w:tc>
      </w:tr>
      <w:tr w14:paraId="66526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noWrap w:val="0"/>
            <w:vAlign w:val="top"/>
          </w:tcPr>
          <w:p w14:paraId="65A6F7D5">
            <w:pPr>
              <w:rPr>
                <w:rFonts w:ascii="Arial"/>
                <w:color w:val="auto"/>
                <w:sz w:val="21"/>
                <w:highlight w:val="none"/>
              </w:rPr>
            </w:pPr>
          </w:p>
        </w:tc>
        <w:tc>
          <w:tcPr>
            <w:tcW w:w="1166" w:type="dxa"/>
            <w:vMerge w:val="continue"/>
            <w:tcBorders>
              <w:top w:val="nil"/>
              <w:bottom w:val="nil"/>
            </w:tcBorders>
            <w:noWrap w:val="0"/>
            <w:vAlign w:val="top"/>
          </w:tcPr>
          <w:p w14:paraId="17E53CEE">
            <w:pPr>
              <w:rPr>
                <w:rFonts w:ascii="Arial"/>
                <w:color w:val="auto"/>
                <w:sz w:val="21"/>
                <w:highlight w:val="none"/>
              </w:rPr>
            </w:pPr>
          </w:p>
        </w:tc>
        <w:tc>
          <w:tcPr>
            <w:tcW w:w="1799" w:type="dxa"/>
            <w:vMerge w:val="continue"/>
            <w:tcBorders>
              <w:top w:val="nil"/>
              <w:bottom w:val="nil"/>
            </w:tcBorders>
            <w:noWrap w:val="0"/>
            <w:vAlign w:val="top"/>
          </w:tcPr>
          <w:p w14:paraId="19620507">
            <w:pPr>
              <w:rPr>
                <w:rFonts w:ascii="Arial"/>
                <w:color w:val="auto"/>
                <w:sz w:val="21"/>
                <w:highlight w:val="none"/>
              </w:rPr>
            </w:pPr>
          </w:p>
        </w:tc>
        <w:tc>
          <w:tcPr>
            <w:tcW w:w="1914" w:type="dxa"/>
            <w:noWrap w:val="0"/>
            <w:vAlign w:val="top"/>
          </w:tcPr>
          <w:p w14:paraId="38C7A225">
            <w:pPr>
              <w:pStyle w:val="382"/>
              <w:spacing w:before="71" w:line="282" w:lineRule="auto"/>
              <w:ind w:left="15" w:right="11" w:firstLine="10"/>
              <w:jc w:val="both"/>
              <w:rPr>
                <w:color w:val="auto"/>
                <w:highlight w:val="none"/>
              </w:rPr>
            </w:pPr>
            <w:r>
              <w:rPr>
                <w:color w:val="auto"/>
                <w:spacing w:val="15"/>
                <w:highlight w:val="none"/>
              </w:rPr>
              <w:t>多联式空调（热泵）</w:t>
            </w:r>
            <w:r>
              <w:rPr>
                <w:color w:val="auto"/>
                <w:spacing w:val="7"/>
                <w:highlight w:val="none"/>
              </w:rPr>
              <w:t xml:space="preserve"> </w:t>
            </w:r>
            <w:r>
              <w:rPr>
                <w:color w:val="auto"/>
                <w:spacing w:val="-4"/>
                <w:highlight w:val="none"/>
              </w:rPr>
              <w:t>机 组 （</w:t>
            </w:r>
            <w:r>
              <w:rPr>
                <w:color w:val="auto"/>
                <w:spacing w:val="28"/>
                <w:highlight w:val="none"/>
              </w:rPr>
              <w:t xml:space="preserve"> </w:t>
            </w:r>
            <w:r>
              <w:rPr>
                <w:color w:val="auto"/>
                <w:spacing w:val="-4"/>
                <w:highlight w:val="none"/>
              </w:rPr>
              <w:t>制 冷 量 ≤</w:t>
            </w:r>
            <w:r>
              <w:rPr>
                <w:color w:val="auto"/>
                <w:highlight w:val="none"/>
              </w:rPr>
              <w:t xml:space="preserve"> </w:t>
            </w:r>
            <w:r>
              <w:rPr>
                <w:color w:val="auto"/>
                <w:spacing w:val="3"/>
                <w:highlight w:val="none"/>
              </w:rPr>
              <w:t>14000W）</w:t>
            </w:r>
          </w:p>
        </w:tc>
        <w:tc>
          <w:tcPr>
            <w:tcW w:w="2969" w:type="dxa"/>
            <w:noWrap w:val="0"/>
            <w:vAlign w:val="top"/>
          </w:tcPr>
          <w:p w14:paraId="27E66C58">
            <w:pPr>
              <w:pStyle w:val="382"/>
              <w:spacing w:before="225" w:line="305" w:lineRule="auto"/>
              <w:ind w:left="22"/>
              <w:rPr>
                <w:color w:val="auto"/>
                <w:highlight w:val="none"/>
              </w:rPr>
            </w:pPr>
            <w:r>
              <w:rPr>
                <w:color w:val="auto"/>
                <w:highlight w:val="none"/>
              </w:rPr>
              <w:t>《多联式空调（热泵）机组能效限</w:t>
            </w:r>
            <w:r>
              <w:rPr>
                <w:color w:val="auto"/>
                <w:spacing w:val="2"/>
                <w:highlight w:val="none"/>
              </w:rPr>
              <w:t xml:space="preserve">  </w:t>
            </w:r>
            <w:r>
              <w:rPr>
                <w:color w:val="auto"/>
                <w:spacing w:val="-4"/>
                <w:highlight w:val="none"/>
              </w:rPr>
              <w:t>定值及能源效率等级》（GB</w:t>
            </w:r>
            <w:r>
              <w:rPr>
                <w:color w:val="auto"/>
                <w:spacing w:val="-24"/>
                <w:highlight w:val="none"/>
              </w:rPr>
              <w:t xml:space="preserve"> </w:t>
            </w:r>
            <w:r>
              <w:rPr>
                <w:color w:val="auto"/>
                <w:spacing w:val="-4"/>
                <w:highlight w:val="none"/>
              </w:rPr>
              <w:t>21454）</w:t>
            </w:r>
          </w:p>
        </w:tc>
      </w:tr>
      <w:tr w14:paraId="16750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578" w:type="dxa"/>
            <w:vMerge w:val="continue"/>
            <w:tcBorders>
              <w:top w:val="nil"/>
              <w:bottom w:val="nil"/>
            </w:tcBorders>
            <w:noWrap w:val="0"/>
            <w:vAlign w:val="top"/>
          </w:tcPr>
          <w:p w14:paraId="009C7241">
            <w:pPr>
              <w:rPr>
                <w:rFonts w:ascii="Arial"/>
                <w:color w:val="auto"/>
                <w:sz w:val="21"/>
                <w:highlight w:val="none"/>
              </w:rPr>
            </w:pPr>
          </w:p>
        </w:tc>
        <w:tc>
          <w:tcPr>
            <w:tcW w:w="1166" w:type="dxa"/>
            <w:vMerge w:val="continue"/>
            <w:tcBorders>
              <w:top w:val="nil"/>
              <w:bottom w:val="nil"/>
            </w:tcBorders>
            <w:noWrap w:val="0"/>
            <w:vAlign w:val="top"/>
          </w:tcPr>
          <w:p w14:paraId="0735D7FF">
            <w:pPr>
              <w:rPr>
                <w:rFonts w:ascii="Arial"/>
                <w:color w:val="auto"/>
                <w:sz w:val="21"/>
                <w:highlight w:val="none"/>
              </w:rPr>
            </w:pPr>
          </w:p>
        </w:tc>
        <w:tc>
          <w:tcPr>
            <w:tcW w:w="1799" w:type="dxa"/>
            <w:vMerge w:val="continue"/>
            <w:tcBorders>
              <w:top w:val="nil"/>
            </w:tcBorders>
            <w:noWrap w:val="0"/>
            <w:vAlign w:val="top"/>
          </w:tcPr>
          <w:p w14:paraId="58C52E4D">
            <w:pPr>
              <w:rPr>
                <w:rFonts w:ascii="Arial"/>
                <w:color w:val="auto"/>
                <w:sz w:val="21"/>
                <w:highlight w:val="none"/>
              </w:rPr>
            </w:pPr>
          </w:p>
        </w:tc>
        <w:tc>
          <w:tcPr>
            <w:tcW w:w="1914" w:type="dxa"/>
            <w:noWrap w:val="0"/>
            <w:vAlign w:val="top"/>
          </w:tcPr>
          <w:p w14:paraId="46A37BD3">
            <w:pPr>
              <w:spacing w:line="319" w:lineRule="auto"/>
              <w:rPr>
                <w:rFonts w:ascii="Arial"/>
                <w:color w:val="auto"/>
                <w:sz w:val="21"/>
                <w:highlight w:val="none"/>
              </w:rPr>
            </w:pPr>
          </w:p>
          <w:p w14:paraId="3B94F785">
            <w:pPr>
              <w:pStyle w:val="382"/>
              <w:spacing w:before="61" w:line="305" w:lineRule="auto"/>
              <w:ind w:left="51" w:right="11" w:hanging="33"/>
              <w:rPr>
                <w:color w:val="auto"/>
                <w:highlight w:val="none"/>
              </w:rPr>
            </w:pPr>
            <w:r>
              <w:rPr>
                <w:color w:val="auto"/>
                <w:spacing w:val="44"/>
                <w:highlight w:val="none"/>
              </w:rPr>
              <w:t>单元式空气调节机</w:t>
            </w:r>
            <w:r>
              <w:rPr>
                <w:color w:val="auto"/>
                <w:spacing w:val="6"/>
                <w:highlight w:val="none"/>
              </w:rPr>
              <w:t xml:space="preserve"> </w:t>
            </w:r>
            <w:r>
              <w:rPr>
                <w:color w:val="auto"/>
                <w:spacing w:val="3"/>
                <w:highlight w:val="none"/>
              </w:rPr>
              <w:t>(制冷量≤14000W)</w:t>
            </w:r>
          </w:p>
        </w:tc>
        <w:tc>
          <w:tcPr>
            <w:tcW w:w="2969" w:type="dxa"/>
            <w:noWrap w:val="0"/>
            <w:vAlign w:val="top"/>
          </w:tcPr>
          <w:p w14:paraId="5D297121">
            <w:pPr>
              <w:pStyle w:val="382"/>
              <w:spacing w:before="72" w:line="287" w:lineRule="auto"/>
              <w:ind w:left="17" w:right="11" w:firstLine="6"/>
              <w:jc w:val="both"/>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5"/>
                <w:highlight w:val="none"/>
              </w:rPr>
              <w:t>及能源效率等级》（GB</w:t>
            </w:r>
            <w:r>
              <w:rPr>
                <w:color w:val="auto"/>
                <w:spacing w:val="-13"/>
                <w:highlight w:val="none"/>
              </w:rPr>
              <w:t xml:space="preserve"> </w:t>
            </w:r>
            <w:r>
              <w:rPr>
                <w:color w:val="auto"/>
                <w:spacing w:val="-5"/>
                <w:highlight w:val="none"/>
              </w:rPr>
              <w:t>19576）《风</w:t>
            </w:r>
            <w:r>
              <w:rPr>
                <w:color w:val="auto"/>
                <w:highlight w:val="none"/>
              </w:rPr>
              <w:t xml:space="preserve"> </w:t>
            </w:r>
            <w:r>
              <w:rPr>
                <w:color w:val="auto"/>
                <w:spacing w:val="19"/>
                <w:highlight w:val="none"/>
              </w:rPr>
              <w:t>管送风式空调机组能效限定值及</w:t>
            </w:r>
            <w:r>
              <w:rPr>
                <w:color w:val="auto"/>
                <w:spacing w:val="8"/>
                <w:highlight w:val="none"/>
              </w:rPr>
              <w:t xml:space="preserve"> </w:t>
            </w:r>
            <w:r>
              <w:rPr>
                <w:color w:val="auto"/>
                <w:spacing w:val="7"/>
                <w:highlight w:val="none"/>
              </w:rPr>
              <w:t>能效等级》（</w:t>
            </w:r>
            <w:r>
              <w:rPr>
                <w:color w:val="auto"/>
                <w:highlight w:val="none"/>
              </w:rPr>
              <w:t>GB</w:t>
            </w:r>
            <w:r>
              <w:rPr>
                <w:color w:val="auto"/>
                <w:spacing w:val="7"/>
                <w:highlight w:val="none"/>
              </w:rPr>
              <w:t xml:space="preserve"> 37479）</w:t>
            </w:r>
          </w:p>
        </w:tc>
      </w:tr>
      <w:tr w14:paraId="70FCD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8" w:type="dxa"/>
            <w:vMerge w:val="continue"/>
            <w:tcBorders>
              <w:top w:val="nil"/>
            </w:tcBorders>
            <w:noWrap w:val="0"/>
            <w:vAlign w:val="top"/>
          </w:tcPr>
          <w:p w14:paraId="07CED3C0">
            <w:pPr>
              <w:rPr>
                <w:rFonts w:ascii="Arial"/>
                <w:color w:val="auto"/>
                <w:sz w:val="21"/>
                <w:highlight w:val="none"/>
              </w:rPr>
            </w:pPr>
          </w:p>
        </w:tc>
        <w:tc>
          <w:tcPr>
            <w:tcW w:w="1166" w:type="dxa"/>
            <w:vMerge w:val="continue"/>
            <w:tcBorders>
              <w:top w:val="nil"/>
            </w:tcBorders>
            <w:noWrap w:val="0"/>
            <w:vAlign w:val="top"/>
          </w:tcPr>
          <w:p w14:paraId="27F85434">
            <w:pPr>
              <w:rPr>
                <w:rFonts w:ascii="Arial"/>
                <w:color w:val="auto"/>
                <w:sz w:val="21"/>
                <w:highlight w:val="none"/>
              </w:rPr>
            </w:pPr>
          </w:p>
        </w:tc>
        <w:tc>
          <w:tcPr>
            <w:tcW w:w="1799" w:type="dxa"/>
            <w:noWrap w:val="0"/>
            <w:vAlign w:val="top"/>
          </w:tcPr>
          <w:p w14:paraId="6BA81CF0">
            <w:pPr>
              <w:pStyle w:val="382"/>
              <w:spacing w:before="230" w:line="228" w:lineRule="auto"/>
              <w:ind w:left="9"/>
              <w:rPr>
                <w:color w:val="auto"/>
                <w:highlight w:val="none"/>
              </w:rPr>
            </w:pPr>
            <w:r>
              <w:rPr>
                <w:color w:val="auto"/>
                <w:spacing w:val="5"/>
                <w:highlight w:val="none"/>
              </w:rPr>
              <w:t>A0206180301</w:t>
            </w:r>
            <w:r>
              <w:rPr>
                <w:color w:val="auto"/>
                <w:spacing w:val="-33"/>
                <w:highlight w:val="none"/>
              </w:rPr>
              <w:t xml:space="preserve"> </w:t>
            </w:r>
            <w:r>
              <w:rPr>
                <w:color w:val="auto"/>
                <w:spacing w:val="5"/>
                <w:highlight w:val="none"/>
              </w:rPr>
              <w:t>洗衣机</w:t>
            </w:r>
          </w:p>
        </w:tc>
        <w:tc>
          <w:tcPr>
            <w:tcW w:w="1914" w:type="dxa"/>
            <w:noWrap w:val="0"/>
            <w:vAlign w:val="top"/>
          </w:tcPr>
          <w:p w14:paraId="2D283B31">
            <w:pPr>
              <w:rPr>
                <w:rFonts w:ascii="Arial"/>
                <w:color w:val="auto"/>
                <w:sz w:val="21"/>
                <w:highlight w:val="none"/>
              </w:rPr>
            </w:pPr>
          </w:p>
        </w:tc>
        <w:tc>
          <w:tcPr>
            <w:tcW w:w="2969" w:type="dxa"/>
            <w:noWrap w:val="0"/>
            <w:vAlign w:val="top"/>
          </w:tcPr>
          <w:p w14:paraId="0C47E441">
            <w:pPr>
              <w:pStyle w:val="382"/>
              <w:spacing w:before="74" w:line="276" w:lineRule="auto"/>
              <w:ind w:left="19" w:right="11" w:firstLine="3"/>
              <w:rPr>
                <w:color w:val="auto"/>
                <w:highlight w:val="none"/>
              </w:rPr>
            </w:pPr>
            <w:r>
              <w:rPr>
                <w:color w:val="auto"/>
                <w:spacing w:val="19"/>
                <w:highlight w:val="none"/>
              </w:rPr>
              <w:t>《电动洗衣机能效水效限定值及</w:t>
            </w:r>
            <w:r>
              <w:rPr>
                <w:color w:val="auto"/>
                <w:spacing w:val="2"/>
                <w:highlight w:val="none"/>
              </w:rPr>
              <w:t xml:space="preserve"> </w:t>
            </w:r>
            <w:r>
              <w:rPr>
                <w:color w:val="auto"/>
                <w:spacing w:val="4"/>
                <w:highlight w:val="none"/>
              </w:rPr>
              <w:t>等级》（</w:t>
            </w:r>
            <w:r>
              <w:rPr>
                <w:color w:val="auto"/>
                <w:highlight w:val="none"/>
              </w:rPr>
              <w:t>GB</w:t>
            </w:r>
            <w:r>
              <w:rPr>
                <w:color w:val="auto"/>
                <w:spacing w:val="33"/>
                <w:highlight w:val="none"/>
              </w:rPr>
              <w:t xml:space="preserve"> </w:t>
            </w:r>
            <w:r>
              <w:rPr>
                <w:color w:val="auto"/>
                <w:spacing w:val="4"/>
                <w:highlight w:val="none"/>
              </w:rPr>
              <w:t>12021.4）</w:t>
            </w:r>
          </w:p>
        </w:tc>
      </w:tr>
    </w:tbl>
    <w:p w14:paraId="53F21BF3">
      <w:pPr>
        <w:spacing w:line="91" w:lineRule="auto"/>
        <w:rPr>
          <w:rFonts w:ascii="Arial"/>
          <w:color w:val="auto"/>
          <w:sz w:val="2"/>
          <w:highlight w:val="none"/>
        </w:rPr>
      </w:pPr>
    </w:p>
    <w:tbl>
      <w:tblPr>
        <w:tblStyle w:val="385"/>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60145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78" w:type="dxa"/>
            <w:vMerge w:val="restart"/>
            <w:tcBorders>
              <w:bottom w:val="nil"/>
            </w:tcBorders>
            <w:noWrap w:val="0"/>
            <w:vAlign w:val="top"/>
          </w:tcPr>
          <w:p w14:paraId="3511D7B7">
            <w:pPr>
              <w:rPr>
                <w:rFonts w:ascii="Arial"/>
                <w:color w:val="auto"/>
                <w:sz w:val="21"/>
                <w:highlight w:val="none"/>
              </w:rPr>
            </w:pPr>
          </w:p>
        </w:tc>
        <w:tc>
          <w:tcPr>
            <w:tcW w:w="1166" w:type="dxa"/>
            <w:vMerge w:val="restart"/>
            <w:tcBorders>
              <w:bottom w:val="nil"/>
            </w:tcBorders>
            <w:noWrap w:val="0"/>
            <w:vAlign w:val="top"/>
          </w:tcPr>
          <w:p w14:paraId="3AE38D70">
            <w:pPr>
              <w:rPr>
                <w:rFonts w:ascii="Arial"/>
                <w:color w:val="auto"/>
                <w:sz w:val="21"/>
                <w:highlight w:val="none"/>
              </w:rPr>
            </w:pPr>
          </w:p>
        </w:tc>
        <w:tc>
          <w:tcPr>
            <w:tcW w:w="1799" w:type="dxa"/>
            <w:vMerge w:val="restart"/>
            <w:tcBorders>
              <w:bottom w:val="nil"/>
            </w:tcBorders>
            <w:noWrap w:val="0"/>
            <w:vAlign w:val="top"/>
          </w:tcPr>
          <w:p w14:paraId="035E080A">
            <w:pPr>
              <w:spacing w:line="244" w:lineRule="auto"/>
              <w:rPr>
                <w:rFonts w:ascii="Arial"/>
                <w:color w:val="auto"/>
                <w:sz w:val="21"/>
                <w:highlight w:val="none"/>
              </w:rPr>
            </w:pPr>
          </w:p>
          <w:p w14:paraId="3E1241C6">
            <w:pPr>
              <w:spacing w:line="244" w:lineRule="auto"/>
              <w:rPr>
                <w:rFonts w:ascii="Arial"/>
                <w:color w:val="auto"/>
                <w:sz w:val="21"/>
                <w:highlight w:val="none"/>
              </w:rPr>
            </w:pPr>
          </w:p>
          <w:p w14:paraId="2A990A75">
            <w:pPr>
              <w:spacing w:line="244" w:lineRule="auto"/>
              <w:rPr>
                <w:rFonts w:ascii="Arial"/>
                <w:color w:val="auto"/>
                <w:sz w:val="21"/>
                <w:highlight w:val="none"/>
              </w:rPr>
            </w:pPr>
          </w:p>
          <w:p w14:paraId="1A563620">
            <w:pPr>
              <w:spacing w:line="244" w:lineRule="auto"/>
              <w:rPr>
                <w:rFonts w:ascii="Arial"/>
                <w:color w:val="auto"/>
                <w:sz w:val="21"/>
                <w:highlight w:val="none"/>
              </w:rPr>
            </w:pPr>
          </w:p>
          <w:p w14:paraId="37D024A6">
            <w:pPr>
              <w:spacing w:line="245" w:lineRule="auto"/>
              <w:rPr>
                <w:rFonts w:ascii="Arial"/>
                <w:color w:val="auto"/>
                <w:sz w:val="21"/>
                <w:highlight w:val="none"/>
              </w:rPr>
            </w:pPr>
          </w:p>
          <w:p w14:paraId="0C352ABA">
            <w:pPr>
              <w:spacing w:line="245" w:lineRule="auto"/>
              <w:rPr>
                <w:rFonts w:ascii="Arial"/>
                <w:color w:val="auto"/>
                <w:sz w:val="21"/>
                <w:highlight w:val="none"/>
              </w:rPr>
            </w:pPr>
          </w:p>
          <w:p w14:paraId="4B62D315">
            <w:pPr>
              <w:pStyle w:val="382"/>
              <w:spacing w:before="62" w:line="229" w:lineRule="auto"/>
              <w:ind w:left="9"/>
              <w:rPr>
                <w:color w:val="auto"/>
                <w:highlight w:val="none"/>
              </w:rPr>
            </w:pPr>
            <w:r>
              <w:rPr>
                <w:color w:val="auto"/>
                <w:spacing w:val="5"/>
                <w:highlight w:val="none"/>
              </w:rPr>
              <w:t>A02061808</w:t>
            </w:r>
            <w:r>
              <w:rPr>
                <w:color w:val="auto"/>
                <w:spacing w:val="-32"/>
                <w:highlight w:val="none"/>
              </w:rPr>
              <w:t xml:space="preserve"> </w:t>
            </w:r>
            <w:r>
              <w:rPr>
                <w:color w:val="auto"/>
                <w:spacing w:val="5"/>
                <w:highlight w:val="none"/>
              </w:rPr>
              <w:t>热水器</w:t>
            </w:r>
          </w:p>
        </w:tc>
        <w:tc>
          <w:tcPr>
            <w:tcW w:w="1914" w:type="dxa"/>
            <w:noWrap w:val="0"/>
            <w:vAlign w:val="top"/>
          </w:tcPr>
          <w:p w14:paraId="73B11C12">
            <w:pPr>
              <w:pStyle w:val="382"/>
              <w:spacing w:before="275" w:line="229" w:lineRule="auto"/>
              <w:ind w:left="19"/>
              <w:rPr>
                <w:color w:val="auto"/>
                <w:highlight w:val="none"/>
              </w:rPr>
            </w:pPr>
            <w:r>
              <w:rPr>
                <w:color w:val="auto"/>
                <w:spacing w:val="7"/>
                <w:highlight w:val="none"/>
              </w:rPr>
              <w:t>★电热水器</w:t>
            </w:r>
          </w:p>
        </w:tc>
        <w:tc>
          <w:tcPr>
            <w:tcW w:w="2969" w:type="dxa"/>
            <w:noWrap w:val="0"/>
            <w:vAlign w:val="top"/>
          </w:tcPr>
          <w:p w14:paraId="45F15C46">
            <w:pPr>
              <w:pStyle w:val="382"/>
              <w:spacing w:before="119" w:line="297" w:lineRule="auto"/>
              <w:ind w:left="25" w:right="11" w:hanging="2"/>
              <w:rPr>
                <w:color w:val="auto"/>
                <w:highlight w:val="none"/>
              </w:rPr>
            </w:pPr>
            <w:r>
              <w:rPr>
                <w:color w:val="auto"/>
                <w:spacing w:val="19"/>
                <w:highlight w:val="none"/>
              </w:rPr>
              <w:t>《储水式电热水器能效限定值及</w:t>
            </w:r>
            <w:r>
              <w:rPr>
                <w:color w:val="auto"/>
                <w:spacing w:val="2"/>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21519）</w:t>
            </w:r>
          </w:p>
        </w:tc>
      </w:tr>
      <w:tr w14:paraId="36A06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noWrap w:val="0"/>
            <w:vAlign w:val="top"/>
          </w:tcPr>
          <w:p w14:paraId="3E0C9703">
            <w:pPr>
              <w:rPr>
                <w:rFonts w:ascii="Arial"/>
                <w:color w:val="auto"/>
                <w:sz w:val="21"/>
                <w:highlight w:val="none"/>
              </w:rPr>
            </w:pPr>
          </w:p>
        </w:tc>
        <w:tc>
          <w:tcPr>
            <w:tcW w:w="1166" w:type="dxa"/>
            <w:vMerge w:val="continue"/>
            <w:tcBorders>
              <w:top w:val="nil"/>
              <w:bottom w:val="nil"/>
            </w:tcBorders>
            <w:noWrap w:val="0"/>
            <w:vAlign w:val="top"/>
          </w:tcPr>
          <w:p w14:paraId="336623F8">
            <w:pPr>
              <w:rPr>
                <w:rFonts w:ascii="Arial"/>
                <w:color w:val="auto"/>
                <w:sz w:val="21"/>
                <w:highlight w:val="none"/>
              </w:rPr>
            </w:pPr>
          </w:p>
        </w:tc>
        <w:tc>
          <w:tcPr>
            <w:tcW w:w="1799" w:type="dxa"/>
            <w:vMerge w:val="continue"/>
            <w:tcBorders>
              <w:top w:val="nil"/>
              <w:bottom w:val="nil"/>
            </w:tcBorders>
            <w:noWrap w:val="0"/>
            <w:vAlign w:val="top"/>
          </w:tcPr>
          <w:p w14:paraId="4714FA64">
            <w:pPr>
              <w:rPr>
                <w:rFonts w:ascii="Arial"/>
                <w:color w:val="auto"/>
                <w:sz w:val="21"/>
                <w:highlight w:val="none"/>
              </w:rPr>
            </w:pPr>
          </w:p>
        </w:tc>
        <w:tc>
          <w:tcPr>
            <w:tcW w:w="1914" w:type="dxa"/>
            <w:noWrap w:val="0"/>
            <w:vAlign w:val="top"/>
          </w:tcPr>
          <w:p w14:paraId="40B2CB22">
            <w:pPr>
              <w:spacing w:line="315" w:lineRule="auto"/>
              <w:rPr>
                <w:rFonts w:ascii="Arial"/>
                <w:color w:val="auto"/>
                <w:sz w:val="21"/>
                <w:highlight w:val="none"/>
              </w:rPr>
            </w:pPr>
          </w:p>
          <w:p w14:paraId="3BE1A81E">
            <w:pPr>
              <w:pStyle w:val="382"/>
              <w:spacing w:before="61" w:line="229" w:lineRule="auto"/>
              <w:ind w:left="15"/>
              <w:rPr>
                <w:color w:val="auto"/>
                <w:highlight w:val="none"/>
              </w:rPr>
            </w:pPr>
            <w:r>
              <w:rPr>
                <w:color w:val="auto"/>
                <w:spacing w:val="8"/>
                <w:highlight w:val="none"/>
              </w:rPr>
              <w:t>燃气热水器</w:t>
            </w:r>
          </w:p>
        </w:tc>
        <w:tc>
          <w:tcPr>
            <w:tcW w:w="2969" w:type="dxa"/>
            <w:noWrap w:val="0"/>
            <w:vAlign w:val="top"/>
          </w:tcPr>
          <w:p w14:paraId="72FEBA02">
            <w:pPr>
              <w:pStyle w:val="382"/>
              <w:spacing w:before="68" w:line="283" w:lineRule="auto"/>
              <w:ind w:left="25" w:hanging="2"/>
              <w:jc w:val="both"/>
              <w:rPr>
                <w:color w:val="auto"/>
                <w:highlight w:val="none"/>
              </w:rPr>
            </w:pPr>
            <w:r>
              <w:rPr>
                <w:color w:val="auto"/>
                <w:spacing w:val="17"/>
                <w:highlight w:val="none"/>
              </w:rPr>
              <w:t>《家用燃气快速热水器和燃气采</w:t>
            </w:r>
            <w:r>
              <w:rPr>
                <w:color w:val="auto"/>
                <w:highlight w:val="none"/>
              </w:rPr>
              <w:t xml:space="preserve"> </w:t>
            </w:r>
            <w:r>
              <w:rPr>
                <w:color w:val="auto"/>
                <w:spacing w:val="5"/>
                <w:highlight w:val="none"/>
              </w:rPr>
              <w:t>暖热水炉能效限定值及能效等级》</w:t>
            </w:r>
            <w:r>
              <w:rPr>
                <w:color w:val="auto"/>
                <w:spacing w:val="12"/>
                <w:highlight w:val="none"/>
              </w:rPr>
              <w:t xml:space="preserve"> </w:t>
            </w:r>
            <w:r>
              <w:rPr>
                <w:color w:val="auto"/>
                <w:spacing w:val="1"/>
                <w:highlight w:val="none"/>
              </w:rPr>
              <w:t>（</w:t>
            </w:r>
            <w:r>
              <w:rPr>
                <w:color w:val="auto"/>
                <w:highlight w:val="none"/>
              </w:rPr>
              <w:t>GB</w:t>
            </w:r>
            <w:r>
              <w:rPr>
                <w:color w:val="auto"/>
                <w:spacing w:val="18"/>
                <w:highlight w:val="none"/>
              </w:rPr>
              <w:t xml:space="preserve"> </w:t>
            </w:r>
            <w:r>
              <w:rPr>
                <w:color w:val="auto"/>
                <w:spacing w:val="1"/>
                <w:highlight w:val="none"/>
              </w:rPr>
              <w:t>20665）</w:t>
            </w:r>
          </w:p>
        </w:tc>
      </w:tr>
      <w:tr w14:paraId="32F2A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78" w:type="dxa"/>
            <w:vMerge w:val="continue"/>
            <w:tcBorders>
              <w:top w:val="nil"/>
              <w:bottom w:val="nil"/>
            </w:tcBorders>
            <w:noWrap w:val="0"/>
            <w:vAlign w:val="top"/>
          </w:tcPr>
          <w:p w14:paraId="22CE1551">
            <w:pPr>
              <w:rPr>
                <w:rFonts w:ascii="Arial"/>
                <w:color w:val="auto"/>
                <w:sz w:val="21"/>
                <w:highlight w:val="none"/>
              </w:rPr>
            </w:pPr>
          </w:p>
        </w:tc>
        <w:tc>
          <w:tcPr>
            <w:tcW w:w="1166" w:type="dxa"/>
            <w:vMerge w:val="continue"/>
            <w:tcBorders>
              <w:top w:val="nil"/>
              <w:bottom w:val="nil"/>
            </w:tcBorders>
            <w:noWrap w:val="0"/>
            <w:vAlign w:val="top"/>
          </w:tcPr>
          <w:p w14:paraId="0AE8212E">
            <w:pPr>
              <w:rPr>
                <w:rFonts w:ascii="Arial"/>
                <w:color w:val="auto"/>
                <w:sz w:val="21"/>
                <w:highlight w:val="none"/>
              </w:rPr>
            </w:pPr>
          </w:p>
        </w:tc>
        <w:tc>
          <w:tcPr>
            <w:tcW w:w="1799" w:type="dxa"/>
            <w:vMerge w:val="continue"/>
            <w:tcBorders>
              <w:top w:val="nil"/>
              <w:bottom w:val="nil"/>
            </w:tcBorders>
            <w:noWrap w:val="0"/>
            <w:vAlign w:val="top"/>
          </w:tcPr>
          <w:p w14:paraId="4493DABA">
            <w:pPr>
              <w:rPr>
                <w:rFonts w:ascii="Arial"/>
                <w:color w:val="auto"/>
                <w:sz w:val="21"/>
                <w:highlight w:val="none"/>
              </w:rPr>
            </w:pPr>
          </w:p>
        </w:tc>
        <w:tc>
          <w:tcPr>
            <w:tcW w:w="1914" w:type="dxa"/>
            <w:noWrap w:val="0"/>
            <w:vAlign w:val="top"/>
          </w:tcPr>
          <w:p w14:paraId="73BB7D81">
            <w:pPr>
              <w:spacing w:line="248" w:lineRule="auto"/>
              <w:rPr>
                <w:rFonts w:ascii="Arial"/>
                <w:color w:val="auto"/>
                <w:sz w:val="21"/>
                <w:highlight w:val="none"/>
              </w:rPr>
            </w:pPr>
          </w:p>
          <w:p w14:paraId="46F0F5AC">
            <w:pPr>
              <w:pStyle w:val="382"/>
              <w:spacing w:before="62" w:line="229" w:lineRule="auto"/>
              <w:ind w:left="20"/>
              <w:rPr>
                <w:color w:val="auto"/>
                <w:highlight w:val="none"/>
              </w:rPr>
            </w:pPr>
            <w:r>
              <w:rPr>
                <w:color w:val="auto"/>
                <w:spacing w:val="7"/>
                <w:highlight w:val="none"/>
              </w:rPr>
              <w:t>热泵热水器</w:t>
            </w:r>
          </w:p>
        </w:tc>
        <w:tc>
          <w:tcPr>
            <w:tcW w:w="2969" w:type="dxa"/>
            <w:noWrap w:val="0"/>
            <w:vAlign w:val="top"/>
          </w:tcPr>
          <w:p w14:paraId="31C5E77A">
            <w:pPr>
              <w:pStyle w:val="382"/>
              <w:spacing w:before="156" w:line="304" w:lineRule="auto"/>
              <w:ind w:left="25" w:right="13" w:hanging="2"/>
              <w:rPr>
                <w:color w:val="auto"/>
                <w:highlight w:val="none"/>
              </w:rPr>
            </w:pPr>
            <w:r>
              <w:rPr>
                <w:color w:val="auto"/>
                <w:spacing w:val="5"/>
                <w:highlight w:val="none"/>
              </w:rPr>
              <w:t>《热泵热水机（器）能效限定值及</w:t>
            </w:r>
            <w:r>
              <w:rPr>
                <w:color w:val="auto"/>
                <w:spacing w:val="1"/>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29541）</w:t>
            </w:r>
          </w:p>
        </w:tc>
      </w:tr>
      <w:tr w14:paraId="30A6A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tcBorders>
            <w:noWrap w:val="0"/>
            <w:vAlign w:val="top"/>
          </w:tcPr>
          <w:p w14:paraId="7DC55588">
            <w:pPr>
              <w:rPr>
                <w:rFonts w:ascii="Arial"/>
                <w:color w:val="auto"/>
                <w:sz w:val="21"/>
                <w:highlight w:val="none"/>
              </w:rPr>
            </w:pPr>
          </w:p>
        </w:tc>
        <w:tc>
          <w:tcPr>
            <w:tcW w:w="1166" w:type="dxa"/>
            <w:vMerge w:val="continue"/>
            <w:tcBorders>
              <w:top w:val="nil"/>
            </w:tcBorders>
            <w:noWrap w:val="0"/>
            <w:vAlign w:val="top"/>
          </w:tcPr>
          <w:p w14:paraId="4B7658F4">
            <w:pPr>
              <w:rPr>
                <w:rFonts w:ascii="Arial"/>
                <w:color w:val="auto"/>
                <w:sz w:val="21"/>
                <w:highlight w:val="none"/>
              </w:rPr>
            </w:pPr>
          </w:p>
        </w:tc>
        <w:tc>
          <w:tcPr>
            <w:tcW w:w="1799" w:type="dxa"/>
            <w:vMerge w:val="continue"/>
            <w:tcBorders>
              <w:top w:val="nil"/>
            </w:tcBorders>
            <w:noWrap w:val="0"/>
            <w:vAlign w:val="top"/>
          </w:tcPr>
          <w:p w14:paraId="66DBA194">
            <w:pPr>
              <w:rPr>
                <w:rFonts w:ascii="Arial"/>
                <w:color w:val="auto"/>
                <w:sz w:val="21"/>
                <w:highlight w:val="none"/>
              </w:rPr>
            </w:pPr>
          </w:p>
        </w:tc>
        <w:tc>
          <w:tcPr>
            <w:tcW w:w="1914" w:type="dxa"/>
            <w:noWrap w:val="0"/>
            <w:vAlign w:val="top"/>
          </w:tcPr>
          <w:p w14:paraId="457135F5">
            <w:pPr>
              <w:pStyle w:val="382"/>
              <w:spacing w:before="271" w:line="229" w:lineRule="auto"/>
              <w:ind w:left="16"/>
              <w:rPr>
                <w:color w:val="auto"/>
                <w:highlight w:val="none"/>
              </w:rPr>
            </w:pPr>
            <w:r>
              <w:rPr>
                <w:color w:val="auto"/>
                <w:spacing w:val="8"/>
                <w:highlight w:val="none"/>
              </w:rPr>
              <w:t>太阳能热水系统</w:t>
            </w:r>
          </w:p>
        </w:tc>
        <w:tc>
          <w:tcPr>
            <w:tcW w:w="2969" w:type="dxa"/>
            <w:noWrap w:val="0"/>
            <w:vAlign w:val="top"/>
          </w:tcPr>
          <w:p w14:paraId="6EC0F4A0">
            <w:pPr>
              <w:pStyle w:val="382"/>
              <w:spacing w:before="114" w:line="297" w:lineRule="auto"/>
              <w:ind w:left="17" w:right="11" w:firstLine="5"/>
              <w:rPr>
                <w:color w:val="auto"/>
                <w:highlight w:val="none"/>
              </w:rPr>
            </w:pPr>
            <w:r>
              <w:rPr>
                <w:color w:val="auto"/>
                <w:spacing w:val="19"/>
                <w:highlight w:val="none"/>
              </w:rPr>
              <w:t>《家用太阳能热水系统能效限定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26969）</w:t>
            </w:r>
          </w:p>
        </w:tc>
      </w:tr>
      <w:tr w14:paraId="219EC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78" w:type="dxa"/>
            <w:vMerge w:val="restart"/>
            <w:tcBorders>
              <w:bottom w:val="nil"/>
            </w:tcBorders>
            <w:noWrap w:val="0"/>
            <w:vAlign w:val="top"/>
          </w:tcPr>
          <w:p w14:paraId="5C43DEF5">
            <w:pPr>
              <w:spacing w:line="269" w:lineRule="auto"/>
              <w:rPr>
                <w:rFonts w:ascii="Arial"/>
                <w:color w:val="auto"/>
                <w:sz w:val="21"/>
                <w:highlight w:val="none"/>
              </w:rPr>
            </w:pPr>
          </w:p>
          <w:p w14:paraId="4B9132C9">
            <w:pPr>
              <w:spacing w:line="269" w:lineRule="auto"/>
              <w:rPr>
                <w:rFonts w:ascii="Arial"/>
                <w:color w:val="auto"/>
                <w:sz w:val="21"/>
                <w:highlight w:val="none"/>
              </w:rPr>
            </w:pPr>
          </w:p>
          <w:p w14:paraId="0A47508D">
            <w:pPr>
              <w:spacing w:line="269" w:lineRule="auto"/>
              <w:rPr>
                <w:rFonts w:ascii="Arial"/>
                <w:color w:val="auto"/>
                <w:sz w:val="21"/>
                <w:highlight w:val="none"/>
              </w:rPr>
            </w:pPr>
          </w:p>
          <w:p w14:paraId="6440B14F">
            <w:pPr>
              <w:spacing w:line="269" w:lineRule="auto"/>
              <w:rPr>
                <w:rFonts w:ascii="Arial"/>
                <w:color w:val="auto"/>
                <w:sz w:val="21"/>
                <w:highlight w:val="none"/>
              </w:rPr>
            </w:pPr>
          </w:p>
          <w:p w14:paraId="406DC000">
            <w:pPr>
              <w:spacing w:line="269" w:lineRule="auto"/>
              <w:rPr>
                <w:rFonts w:ascii="Arial"/>
                <w:color w:val="auto"/>
                <w:sz w:val="21"/>
                <w:highlight w:val="none"/>
              </w:rPr>
            </w:pPr>
          </w:p>
          <w:p w14:paraId="51CB13EF">
            <w:pPr>
              <w:spacing w:line="269" w:lineRule="auto"/>
              <w:rPr>
                <w:rFonts w:ascii="Arial"/>
                <w:color w:val="auto"/>
                <w:sz w:val="21"/>
                <w:highlight w:val="none"/>
              </w:rPr>
            </w:pPr>
          </w:p>
          <w:p w14:paraId="1E5CB5E6">
            <w:pPr>
              <w:pStyle w:val="382"/>
              <w:spacing w:before="61" w:line="258" w:lineRule="exact"/>
              <w:ind w:left="209"/>
              <w:rPr>
                <w:color w:val="auto"/>
                <w:highlight w:val="none"/>
              </w:rPr>
            </w:pPr>
            <w:r>
              <w:rPr>
                <w:color w:val="auto"/>
                <w:spacing w:val="-7"/>
                <w:position w:val="1"/>
                <w:highlight w:val="none"/>
              </w:rPr>
              <w:t>11</w:t>
            </w:r>
          </w:p>
        </w:tc>
        <w:tc>
          <w:tcPr>
            <w:tcW w:w="1166" w:type="dxa"/>
            <w:vMerge w:val="restart"/>
            <w:tcBorders>
              <w:bottom w:val="nil"/>
            </w:tcBorders>
            <w:noWrap w:val="0"/>
            <w:vAlign w:val="top"/>
          </w:tcPr>
          <w:p w14:paraId="24EF93C6">
            <w:pPr>
              <w:spacing w:line="243" w:lineRule="auto"/>
              <w:rPr>
                <w:rFonts w:ascii="Arial"/>
                <w:color w:val="auto"/>
                <w:sz w:val="21"/>
                <w:highlight w:val="none"/>
              </w:rPr>
            </w:pPr>
          </w:p>
          <w:p w14:paraId="1C6B80B3">
            <w:pPr>
              <w:spacing w:line="243" w:lineRule="auto"/>
              <w:rPr>
                <w:rFonts w:ascii="Arial"/>
                <w:color w:val="auto"/>
                <w:sz w:val="21"/>
                <w:highlight w:val="none"/>
              </w:rPr>
            </w:pPr>
          </w:p>
          <w:p w14:paraId="3EC67BE3">
            <w:pPr>
              <w:spacing w:line="243" w:lineRule="auto"/>
              <w:rPr>
                <w:rFonts w:ascii="Arial"/>
                <w:color w:val="auto"/>
                <w:sz w:val="21"/>
                <w:highlight w:val="none"/>
              </w:rPr>
            </w:pPr>
          </w:p>
          <w:p w14:paraId="00B10CF1">
            <w:pPr>
              <w:spacing w:line="243" w:lineRule="auto"/>
              <w:rPr>
                <w:rFonts w:ascii="Arial"/>
                <w:color w:val="auto"/>
                <w:sz w:val="21"/>
                <w:highlight w:val="none"/>
              </w:rPr>
            </w:pPr>
          </w:p>
          <w:p w14:paraId="1F26A52F">
            <w:pPr>
              <w:spacing w:line="243" w:lineRule="auto"/>
              <w:rPr>
                <w:rFonts w:ascii="Arial"/>
                <w:color w:val="auto"/>
                <w:sz w:val="21"/>
                <w:highlight w:val="none"/>
              </w:rPr>
            </w:pPr>
          </w:p>
          <w:p w14:paraId="7B9FA7D0">
            <w:pPr>
              <w:spacing w:line="244" w:lineRule="auto"/>
              <w:rPr>
                <w:rFonts w:ascii="Arial"/>
                <w:color w:val="auto"/>
                <w:sz w:val="21"/>
                <w:highlight w:val="none"/>
              </w:rPr>
            </w:pPr>
          </w:p>
          <w:p w14:paraId="5A571D6D">
            <w:pPr>
              <w:pStyle w:val="382"/>
              <w:spacing w:before="61" w:line="305" w:lineRule="auto"/>
              <w:ind w:left="18" w:right="8" w:hanging="9"/>
              <w:rPr>
                <w:color w:val="auto"/>
                <w:highlight w:val="none"/>
              </w:rPr>
            </w:pPr>
            <w:r>
              <w:rPr>
                <w:color w:val="auto"/>
                <w:spacing w:val="5"/>
                <w:highlight w:val="none"/>
              </w:rPr>
              <w:t>A020619</w:t>
            </w:r>
            <w:r>
              <w:rPr>
                <w:color w:val="auto"/>
                <w:spacing w:val="-43"/>
                <w:highlight w:val="none"/>
              </w:rPr>
              <w:t xml:space="preserve"> </w:t>
            </w:r>
            <w:r>
              <w:rPr>
                <w:color w:val="auto"/>
                <w:spacing w:val="5"/>
                <w:highlight w:val="none"/>
              </w:rPr>
              <w:t>照明</w:t>
            </w:r>
            <w:r>
              <w:rPr>
                <w:color w:val="auto"/>
                <w:highlight w:val="none"/>
              </w:rPr>
              <w:t xml:space="preserve"> </w:t>
            </w:r>
            <w:r>
              <w:rPr>
                <w:color w:val="auto"/>
                <w:spacing w:val="3"/>
                <w:highlight w:val="none"/>
              </w:rPr>
              <w:t>设备</w:t>
            </w:r>
          </w:p>
        </w:tc>
        <w:tc>
          <w:tcPr>
            <w:tcW w:w="1799" w:type="dxa"/>
            <w:noWrap w:val="0"/>
            <w:vAlign w:val="top"/>
          </w:tcPr>
          <w:p w14:paraId="6D524C7C">
            <w:pPr>
              <w:pStyle w:val="382"/>
              <w:spacing w:before="198" w:line="304" w:lineRule="auto"/>
              <w:ind w:left="20" w:right="12" w:hanging="2"/>
              <w:rPr>
                <w:color w:val="auto"/>
                <w:highlight w:val="none"/>
              </w:rPr>
            </w:pPr>
            <w:r>
              <w:rPr>
                <w:color w:val="auto"/>
                <w:spacing w:val="19"/>
                <w:highlight w:val="none"/>
              </w:rPr>
              <w:t>★</w:t>
            </w:r>
            <w:r>
              <w:rPr>
                <w:color w:val="auto"/>
                <w:spacing w:val="-59"/>
                <w:highlight w:val="none"/>
              </w:rPr>
              <w:t xml:space="preserve"> </w:t>
            </w:r>
            <w:r>
              <w:rPr>
                <w:color w:val="auto"/>
                <w:spacing w:val="19"/>
                <w:highlight w:val="none"/>
              </w:rPr>
              <w:t>普通照</w:t>
            </w:r>
            <w:r>
              <w:rPr>
                <w:color w:val="auto"/>
                <w:spacing w:val="-42"/>
                <w:highlight w:val="none"/>
              </w:rPr>
              <w:t xml:space="preserve"> </w:t>
            </w:r>
            <w:r>
              <w:rPr>
                <w:color w:val="auto"/>
                <w:spacing w:val="19"/>
                <w:highlight w:val="none"/>
              </w:rPr>
              <w:t>明用双端</w:t>
            </w:r>
            <w:r>
              <w:rPr>
                <w:color w:val="auto"/>
                <w:highlight w:val="none"/>
              </w:rPr>
              <w:t xml:space="preserve"> </w:t>
            </w:r>
            <w:r>
              <w:rPr>
                <w:color w:val="auto"/>
                <w:spacing w:val="4"/>
                <w:highlight w:val="none"/>
              </w:rPr>
              <w:t>荧光灯</w:t>
            </w:r>
          </w:p>
        </w:tc>
        <w:tc>
          <w:tcPr>
            <w:tcW w:w="1914" w:type="dxa"/>
            <w:noWrap w:val="0"/>
            <w:vAlign w:val="top"/>
          </w:tcPr>
          <w:p w14:paraId="1CE6C754">
            <w:pPr>
              <w:rPr>
                <w:rFonts w:ascii="Arial"/>
                <w:color w:val="auto"/>
                <w:sz w:val="21"/>
                <w:highlight w:val="none"/>
              </w:rPr>
            </w:pPr>
          </w:p>
        </w:tc>
        <w:tc>
          <w:tcPr>
            <w:tcW w:w="2969" w:type="dxa"/>
            <w:noWrap w:val="0"/>
            <w:vAlign w:val="top"/>
          </w:tcPr>
          <w:p w14:paraId="0E05BDA3">
            <w:pPr>
              <w:pStyle w:val="382"/>
              <w:spacing w:before="198" w:line="304" w:lineRule="auto"/>
              <w:ind w:left="22" w:right="11"/>
              <w:rPr>
                <w:color w:val="auto"/>
                <w:highlight w:val="none"/>
              </w:rPr>
            </w:pPr>
            <w:r>
              <w:rPr>
                <w:color w:val="auto"/>
                <w:spacing w:val="19"/>
                <w:highlight w:val="none"/>
              </w:rPr>
              <w:t>《普通照明用双端荧光灯能效限</w:t>
            </w:r>
            <w:r>
              <w:rPr>
                <w:color w:val="auto"/>
                <w:spacing w:val="2"/>
                <w:highlight w:val="none"/>
              </w:rPr>
              <w:t xml:space="preserve"> </w:t>
            </w:r>
            <w:r>
              <w:rPr>
                <w:color w:val="auto"/>
                <w:spacing w:val="5"/>
                <w:highlight w:val="none"/>
              </w:rPr>
              <w:t>定值及能效等级》（</w:t>
            </w:r>
            <w:r>
              <w:rPr>
                <w:color w:val="auto"/>
                <w:highlight w:val="none"/>
              </w:rPr>
              <w:t>GB</w:t>
            </w:r>
            <w:r>
              <w:rPr>
                <w:color w:val="auto"/>
                <w:spacing w:val="42"/>
                <w:highlight w:val="none"/>
              </w:rPr>
              <w:t xml:space="preserve"> </w:t>
            </w:r>
            <w:r>
              <w:rPr>
                <w:color w:val="auto"/>
                <w:spacing w:val="5"/>
                <w:highlight w:val="none"/>
              </w:rPr>
              <w:t>19043）</w:t>
            </w:r>
          </w:p>
        </w:tc>
      </w:tr>
      <w:tr w14:paraId="58C83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78" w:type="dxa"/>
            <w:vMerge w:val="continue"/>
            <w:tcBorders>
              <w:top w:val="nil"/>
              <w:bottom w:val="nil"/>
            </w:tcBorders>
            <w:noWrap w:val="0"/>
            <w:vAlign w:val="top"/>
          </w:tcPr>
          <w:p w14:paraId="03015240">
            <w:pPr>
              <w:rPr>
                <w:rFonts w:ascii="Arial"/>
                <w:color w:val="auto"/>
                <w:sz w:val="21"/>
                <w:highlight w:val="none"/>
              </w:rPr>
            </w:pPr>
          </w:p>
        </w:tc>
        <w:tc>
          <w:tcPr>
            <w:tcW w:w="1166" w:type="dxa"/>
            <w:vMerge w:val="continue"/>
            <w:tcBorders>
              <w:top w:val="nil"/>
              <w:bottom w:val="nil"/>
            </w:tcBorders>
            <w:noWrap w:val="0"/>
            <w:vAlign w:val="top"/>
          </w:tcPr>
          <w:p w14:paraId="3B390741">
            <w:pPr>
              <w:rPr>
                <w:rFonts w:ascii="Arial"/>
                <w:color w:val="auto"/>
                <w:sz w:val="21"/>
                <w:highlight w:val="none"/>
              </w:rPr>
            </w:pPr>
          </w:p>
        </w:tc>
        <w:tc>
          <w:tcPr>
            <w:tcW w:w="1799" w:type="dxa"/>
            <w:noWrap w:val="0"/>
            <w:vAlign w:val="top"/>
          </w:tcPr>
          <w:p w14:paraId="3D86E33D">
            <w:pPr>
              <w:pStyle w:val="382"/>
              <w:spacing w:before="156" w:line="305" w:lineRule="auto"/>
              <w:ind w:left="14" w:right="7" w:hanging="1"/>
              <w:rPr>
                <w:color w:val="auto"/>
                <w:highlight w:val="none"/>
              </w:rPr>
            </w:pPr>
            <w:r>
              <w:rPr>
                <w:color w:val="auto"/>
                <w:highlight w:val="none"/>
              </w:rPr>
              <w:t>LED</w:t>
            </w:r>
            <w:r>
              <w:rPr>
                <w:color w:val="auto"/>
                <w:spacing w:val="23"/>
                <w:highlight w:val="none"/>
              </w:rPr>
              <w:t xml:space="preserve"> </w:t>
            </w:r>
            <w:r>
              <w:rPr>
                <w:color w:val="auto"/>
                <w:spacing w:val="19"/>
                <w:highlight w:val="none"/>
              </w:rPr>
              <w:t>道路/隧道照明</w:t>
            </w:r>
            <w:r>
              <w:rPr>
                <w:color w:val="auto"/>
                <w:highlight w:val="none"/>
              </w:rPr>
              <w:t xml:space="preserve"> </w:t>
            </w:r>
            <w:r>
              <w:rPr>
                <w:color w:val="auto"/>
                <w:spacing w:val="5"/>
                <w:highlight w:val="none"/>
              </w:rPr>
              <w:t>产品</w:t>
            </w:r>
          </w:p>
        </w:tc>
        <w:tc>
          <w:tcPr>
            <w:tcW w:w="1914" w:type="dxa"/>
            <w:noWrap w:val="0"/>
            <w:vAlign w:val="top"/>
          </w:tcPr>
          <w:p w14:paraId="0E64C853">
            <w:pPr>
              <w:rPr>
                <w:rFonts w:ascii="Arial"/>
                <w:color w:val="auto"/>
                <w:sz w:val="21"/>
                <w:highlight w:val="none"/>
              </w:rPr>
            </w:pPr>
          </w:p>
        </w:tc>
        <w:tc>
          <w:tcPr>
            <w:tcW w:w="2969" w:type="dxa"/>
            <w:noWrap w:val="0"/>
            <w:vAlign w:val="top"/>
          </w:tcPr>
          <w:p w14:paraId="34462C65">
            <w:pPr>
              <w:pStyle w:val="382"/>
              <w:spacing w:before="156" w:line="305" w:lineRule="auto"/>
              <w:ind w:left="22"/>
              <w:rPr>
                <w:color w:val="auto"/>
                <w:highlight w:val="none"/>
              </w:rPr>
            </w:pPr>
            <w:r>
              <w:rPr>
                <w:color w:val="auto"/>
                <w:spacing w:val="7"/>
                <w:highlight w:val="none"/>
              </w:rPr>
              <w:t xml:space="preserve">《道路和隧道照明用 </w:t>
            </w:r>
            <w:r>
              <w:rPr>
                <w:color w:val="auto"/>
                <w:highlight w:val="none"/>
              </w:rPr>
              <w:t>LED</w:t>
            </w:r>
            <w:r>
              <w:rPr>
                <w:color w:val="auto"/>
                <w:spacing w:val="7"/>
                <w:highlight w:val="none"/>
              </w:rPr>
              <w:t xml:space="preserve"> 灯具能</w:t>
            </w:r>
            <w:r>
              <w:rPr>
                <w:color w:val="auto"/>
                <w:highlight w:val="none"/>
              </w:rPr>
              <w:t xml:space="preserve">  </w:t>
            </w:r>
            <w:r>
              <w:rPr>
                <w:color w:val="auto"/>
                <w:spacing w:val="-4"/>
                <w:highlight w:val="none"/>
              </w:rPr>
              <w:t>效限定值及能效等级》（GB</w:t>
            </w:r>
            <w:r>
              <w:rPr>
                <w:color w:val="auto"/>
                <w:spacing w:val="-24"/>
                <w:highlight w:val="none"/>
              </w:rPr>
              <w:t xml:space="preserve"> </w:t>
            </w:r>
            <w:r>
              <w:rPr>
                <w:color w:val="auto"/>
                <w:spacing w:val="-4"/>
                <w:highlight w:val="none"/>
              </w:rPr>
              <w:t>37478）</w:t>
            </w:r>
          </w:p>
        </w:tc>
      </w:tr>
      <w:tr w14:paraId="5B2DA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578" w:type="dxa"/>
            <w:vMerge w:val="continue"/>
            <w:tcBorders>
              <w:top w:val="nil"/>
              <w:bottom w:val="nil"/>
            </w:tcBorders>
            <w:noWrap w:val="0"/>
            <w:vAlign w:val="top"/>
          </w:tcPr>
          <w:p w14:paraId="4C8E08A8">
            <w:pPr>
              <w:rPr>
                <w:rFonts w:ascii="Arial"/>
                <w:color w:val="auto"/>
                <w:sz w:val="21"/>
                <w:highlight w:val="none"/>
              </w:rPr>
            </w:pPr>
          </w:p>
        </w:tc>
        <w:tc>
          <w:tcPr>
            <w:tcW w:w="1166" w:type="dxa"/>
            <w:vMerge w:val="continue"/>
            <w:tcBorders>
              <w:top w:val="nil"/>
              <w:bottom w:val="nil"/>
            </w:tcBorders>
            <w:noWrap w:val="0"/>
            <w:vAlign w:val="top"/>
          </w:tcPr>
          <w:p w14:paraId="1045D53B">
            <w:pPr>
              <w:rPr>
                <w:rFonts w:ascii="Arial"/>
                <w:color w:val="auto"/>
                <w:sz w:val="21"/>
                <w:highlight w:val="none"/>
              </w:rPr>
            </w:pPr>
          </w:p>
        </w:tc>
        <w:tc>
          <w:tcPr>
            <w:tcW w:w="1799" w:type="dxa"/>
            <w:noWrap w:val="0"/>
            <w:vAlign w:val="top"/>
          </w:tcPr>
          <w:p w14:paraId="0DC0D957">
            <w:pPr>
              <w:rPr>
                <w:rFonts w:ascii="Arial"/>
                <w:color w:val="auto"/>
                <w:sz w:val="21"/>
                <w:highlight w:val="none"/>
              </w:rPr>
            </w:pPr>
          </w:p>
          <w:p w14:paraId="1EAD6B3C">
            <w:pPr>
              <w:pStyle w:val="382"/>
              <w:spacing w:before="62" w:line="229" w:lineRule="auto"/>
              <w:ind w:left="13"/>
              <w:rPr>
                <w:color w:val="auto"/>
                <w:highlight w:val="none"/>
              </w:rPr>
            </w:pPr>
            <w:r>
              <w:rPr>
                <w:color w:val="auto"/>
                <w:highlight w:val="none"/>
              </w:rPr>
              <w:t>LED</w:t>
            </w:r>
            <w:r>
              <w:rPr>
                <w:color w:val="auto"/>
                <w:spacing w:val="-32"/>
                <w:highlight w:val="none"/>
              </w:rPr>
              <w:t xml:space="preserve"> </w:t>
            </w:r>
            <w:r>
              <w:rPr>
                <w:color w:val="auto"/>
                <w:spacing w:val="8"/>
                <w:highlight w:val="none"/>
              </w:rPr>
              <w:t>筒灯</w:t>
            </w:r>
          </w:p>
        </w:tc>
        <w:tc>
          <w:tcPr>
            <w:tcW w:w="1914" w:type="dxa"/>
            <w:noWrap w:val="0"/>
            <w:vAlign w:val="top"/>
          </w:tcPr>
          <w:p w14:paraId="4526BDA3">
            <w:pPr>
              <w:rPr>
                <w:rFonts w:ascii="Arial"/>
                <w:color w:val="auto"/>
                <w:sz w:val="21"/>
                <w:highlight w:val="none"/>
              </w:rPr>
            </w:pPr>
          </w:p>
        </w:tc>
        <w:tc>
          <w:tcPr>
            <w:tcW w:w="2969" w:type="dxa"/>
            <w:noWrap w:val="0"/>
            <w:vAlign w:val="top"/>
          </w:tcPr>
          <w:p w14:paraId="3403FB3F">
            <w:pPr>
              <w:pStyle w:val="382"/>
              <w:spacing w:before="148" w:line="304" w:lineRule="auto"/>
              <w:ind w:left="17" w:right="13" w:firstLine="5"/>
              <w:rPr>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799DB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578" w:type="dxa"/>
            <w:vMerge w:val="continue"/>
            <w:tcBorders>
              <w:top w:val="nil"/>
            </w:tcBorders>
            <w:noWrap w:val="0"/>
            <w:vAlign w:val="top"/>
          </w:tcPr>
          <w:p w14:paraId="138B48CB">
            <w:pPr>
              <w:rPr>
                <w:rFonts w:ascii="Arial"/>
                <w:color w:val="auto"/>
                <w:sz w:val="21"/>
                <w:highlight w:val="none"/>
              </w:rPr>
            </w:pPr>
          </w:p>
        </w:tc>
        <w:tc>
          <w:tcPr>
            <w:tcW w:w="1166" w:type="dxa"/>
            <w:vMerge w:val="continue"/>
            <w:tcBorders>
              <w:top w:val="nil"/>
            </w:tcBorders>
            <w:noWrap w:val="0"/>
            <w:vAlign w:val="top"/>
          </w:tcPr>
          <w:p w14:paraId="7BB770B9">
            <w:pPr>
              <w:rPr>
                <w:rFonts w:ascii="Arial"/>
                <w:color w:val="auto"/>
                <w:sz w:val="21"/>
                <w:highlight w:val="none"/>
              </w:rPr>
            </w:pPr>
          </w:p>
        </w:tc>
        <w:tc>
          <w:tcPr>
            <w:tcW w:w="1799" w:type="dxa"/>
            <w:noWrap w:val="0"/>
            <w:vAlign w:val="top"/>
          </w:tcPr>
          <w:p w14:paraId="146127DD">
            <w:pPr>
              <w:pStyle w:val="382"/>
              <w:spacing w:before="265" w:line="304" w:lineRule="auto"/>
              <w:ind w:left="47" w:right="12" w:hanging="33"/>
              <w:rPr>
                <w:color w:val="auto"/>
                <w:highlight w:val="none"/>
              </w:rPr>
            </w:pPr>
            <w:r>
              <w:rPr>
                <w:color w:val="auto"/>
                <w:spacing w:val="30"/>
                <w:highlight w:val="none"/>
              </w:rPr>
              <w:t>普通照明用非定向</w:t>
            </w:r>
            <w:r>
              <w:rPr>
                <w:color w:val="auto"/>
                <w:spacing w:val="5"/>
                <w:highlight w:val="none"/>
              </w:rPr>
              <w:t xml:space="preserve"> </w:t>
            </w:r>
            <w:r>
              <w:rPr>
                <w:color w:val="auto"/>
                <w:spacing w:val="-1"/>
                <w:highlight w:val="none"/>
              </w:rPr>
              <w:t>自镇流</w:t>
            </w:r>
            <w:r>
              <w:rPr>
                <w:color w:val="auto"/>
                <w:spacing w:val="-33"/>
                <w:highlight w:val="none"/>
              </w:rPr>
              <w:t xml:space="preserve"> </w:t>
            </w:r>
            <w:r>
              <w:rPr>
                <w:color w:val="auto"/>
                <w:spacing w:val="-1"/>
                <w:highlight w:val="none"/>
              </w:rPr>
              <w:t>LED</w:t>
            </w:r>
            <w:r>
              <w:rPr>
                <w:color w:val="auto"/>
                <w:spacing w:val="-37"/>
                <w:highlight w:val="none"/>
              </w:rPr>
              <w:t xml:space="preserve"> </w:t>
            </w:r>
            <w:r>
              <w:rPr>
                <w:color w:val="auto"/>
                <w:spacing w:val="-1"/>
                <w:highlight w:val="none"/>
              </w:rPr>
              <w:t>灯</w:t>
            </w:r>
          </w:p>
        </w:tc>
        <w:tc>
          <w:tcPr>
            <w:tcW w:w="1914" w:type="dxa"/>
            <w:noWrap w:val="0"/>
            <w:vAlign w:val="top"/>
          </w:tcPr>
          <w:p w14:paraId="2134E473">
            <w:pPr>
              <w:rPr>
                <w:rFonts w:ascii="Arial"/>
                <w:color w:val="auto"/>
                <w:sz w:val="21"/>
                <w:highlight w:val="none"/>
              </w:rPr>
            </w:pPr>
          </w:p>
        </w:tc>
        <w:tc>
          <w:tcPr>
            <w:tcW w:w="2969" w:type="dxa"/>
            <w:noWrap w:val="0"/>
            <w:vAlign w:val="top"/>
          </w:tcPr>
          <w:p w14:paraId="65AB0D80">
            <w:pPr>
              <w:pStyle w:val="382"/>
              <w:spacing w:before="265" w:line="304" w:lineRule="auto"/>
              <w:ind w:left="17" w:right="13" w:firstLine="5"/>
              <w:rPr>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06AD3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noWrap w:val="0"/>
            <w:vAlign w:val="top"/>
          </w:tcPr>
          <w:p w14:paraId="0589A11C">
            <w:pPr>
              <w:pStyle w:val="382"/>
              <w:spacing w:before="301" w:line="258" w:lineRule="exact"/>
              <w:ind w:left="209"/>
              <w:rPr>
                <w:color w:val="auto"/>
                <w:highlight w:val="none"/>
              </w:rPr>
            </w:pPr>
            <w:r>
              <w:rPr>
                <w:color w:val="auto"/>
                <w:spacing w:val="-7"/>
                <w:position w:val="1"/>
                <w:highlight w:val="none"/>
              </w:rPr>
              <w:t>12</w:t>
            </w:r>
          </w:p>
        </w:tc>
        <w:tc>
          <w:tcPr>
            <w:tcW w:w="1166" w:type="dxa"/>
            <w:noWrap w:val="0"/>
            <w:vAlign w:val="top"/>
          </w:tcPr>
          <w:p w14:paraId="620C5D57">
            <w:pPr>
              <w:pStyle w:val="382"/>
              <w:spacing w:before="145" w:line="305" w:lineRule="auto"/>
              <w:ind w:left="14" w:right="8" w:firstLine="3"/>
              <w:rPr>
                <w:color w:val="auto"/>
                <w:highlight w:val="none"/>
              </w:rPr>
            </w:pPr>
            <w:r>
              <w:rPr>
                <w:color w:val="auto"/>
                <w:spacing w:val="1"/>
                <w:highlight w:val="none"/>
              </w:rPr>
              <w:t>★A020910</w:t>
            </w:r>
            <w:r>
              <w:rPr>
                <w:color w:val="auto"/>
                <w:spacing w:val="-17"/>
                <w:highlight w:val="none"/>
              </w:rPr>
              <w:t xml:space="preserve"> </w:t>
            </w:r>
            <w:r>
              <w:rPr>
                <w:color w:val="auto"/>
                <w:spacing w:val="1"/>
                <w:highlight w:val="none"/>
              </w:rPr>
              <w:t>电</w:t>
            </w:r>
            <w:r>
              <w:rPr>
                <w:color w:val="auto"/>
                <w:highlight w:val="none"/>
              </w:rPr>
              <w:t xml:space="preserve"> </w:t>
            </w:r>
            <w:r>
              <w:rPr>
                <w:color w:val="auto"/>
                <w:spacing w:val="6"/>
                <w:highlight w:val="none"/>
              </w:rPr>
              <w:t>视设备</w:t>
            </w:r>
          </w:p>
        </w:tc>
        <w:tc>
          <w:tcPr>
            <w:tcW w:w="1799" w:type="dxa"/>
            <w:noWrap w:val="0"/>
            <w:vAlign w:val="top"/>
          </w:tcPr>
          <w:p w14:paraId="5EAD64E3">
            <w:pPr>
              <w:pStyle w:val="382"/>
              <w:spacing w:before="145" w:line="304" w:lineRule="auto"/>
              <w:ind w:left="18" w:right="10" w:hanging="9"/>
              <w:rPr>
                <w:color w:val="auto"/>
                <w:highlight w:val="none"/>
              </w:rPr>
            </w:pPr>
            <w:r>
              <w:rPr>
                <w:color w:val="auto"/>
                <w:spacing w:val="4"/>
                <w:highlight w:val="none"/>
              </w:rPr>
              <w:t>A02091001 普通电视</w:t>
            </w:r>
            <w:r>
              <w:rPr>
                <w:color w:val="auto"/>
                <w:spacing w:val="7"/>
                <w:highlight w:val="none"/>
              </w:rPr>
              <w:t xml:space="preserve"> </w:t>
            </w:r>
            <w:r>
              <w:rPr>
                <w:color w:val="auto"/>
                <w:spacing w:val="6"/>
                <w:highlight w:val="none"/>
              </w:rPr>
              <w:t>设备（电视机）</w:t>
            </w:r>
          </w:p>
        </w:tc>
        <w:tc>
          <w:tcPr>
            <w:tcW w:w="1914" w:type="dxa"/>
            <w:noWrap w:val="0"/>
            <w:vAlign w:val="top"/>
          </w:tcPr>
          <w:p w14:paraId="54C59A66">
            <w:pPr>
              <w:rPr>
                <w:rFonts w:ascii="Arial"/>
                <w:color w:val="auto"/>
                <w:sz w:val="21"/>
                <w:highlight w:val="none"/>
              </w:rPr>
            </w:pPr>
          </w:p>
        </w:tc>
        <w:tc>
          <w:tcPr>
            <w:tcW w:w="2969" w:type="dxa"/>
            <w:noWrap w:val="0"/>
            <w:vAlign w:val="top"/>
          </w:tcPr>
          <w:p w14:paraId="76A5B3D9">
            <w:pPr>
              <w:pStyle w:val="382"/>
              <w:spacing w:before="146" w:line="305" w:lineRule="auto"/>
              <w:ind w:left="21" w:right="11" w:firstLine="2"/>
              <w:rPr>
                <w:color w:val="auto"/>
                <w:highlight w:val="none"/>
              </w:rPr>
            </w:pPr>
            <w:r>
              <w:rPr>
                <w:color w:val="auto"/>
                <w:spacing w:val="19"/>
                <w:highlight w:val="none"/>
              </w:rPr>
              <w:t>《平板电视能效限定值及能效等</w:t>
            </w:r>
            <w:r>
              <w:rPr>
                <w:color w:val="auto"/>
                <w:spacing w:val="2"/>
                <w:highlight w:val="none"/>
              </w:rPr>
              <w:t xml:space="preserve"> </w:t>
            </w:r>
            <w:r>
              <w:rPr>
                <w:color w:val="auto"/>
                <w:spacing w:val="4"/>
                <w:highlight w:val="none"/>
              </w:rPr>
              <w:t>级》（</w:t>
            </w:r>
            <w:r>
              <w:rPr>
                <w:color w:val="auto"/>
                <w:highlight w:val="none"/>
              </w:rPr>
              <w:t>GB</w:t>
            </w:r>
            <w:r>
              <w:rPr>
                <w:color w:val="auto"/>
                <w:spacing w:val="23"/>
                <w:highlight w:val="none"/>
              </w:rPr>
              <w:t xml:space="preserve"> </w:t>
            </w:r>
            <w:r>
              <w:rPr>
                <w:color w:val="auto"/>
                <w:spacing w:val="4"/>
                <w:highlight w:val="none"/>
              </w:rPr>
              <w:t>24850）</w:t>
            </w:r>
          </w:p>
        </w:tc>
      </w:tr>
      <w:tr w14:paraId="09052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trPr>
        <w:tc>
          <w:tcPr>
            <w:tcW w:w="578" w:type="dxa"/>
            <w:noWrap w:val="0"/>
            <w:vAlign w:val="top"/>
          </w:tcPr>
          <w:p w14:paraId="4D7C59A8">
            <w:pPr>
              <w:spacing w:line="268" w:lineRule="auto"/>
              <w:rPr>
                <w:rFonts w:ascii="Arial"/>
                <w:color w:val="auto"/>
                <w:sz w:val="21"/>
                <w:highlight w:val="none"/>
              </w:rPr>
            </w:pPr>
          </w:p>
          <w:p w14:paraId="40CEBBE2">
            <w:pPr>
              <w:spacing w:line="269" w:lineRule="auto"/>
              <w:rPr>
                <w:rFonts w:ascii="Arial"/>
                <w:color w:val="auto"/>
                <w:sz w:val="21"/>
                <w:highlight w:val="none"/>
              </w:rPr>
            </w:pPr>
          </w:p>
          <w:p w14:paraId="0EBF142F">
            <w:pPr>
              <w:spacing w:line="269" w:lineRule="auto"/>
              <w:rPr>
                <w:rFonts w:ascii="Arial"/>
                <w:color w:val="auto"/>
                <w:sz w:val="21"/>
                <w:highlight w:val="none"/>
              </w:rPr>
            </w:pPr>
          </w:p>
          <w:p w14:paraId="2EC0A42C">
            <w:pPr>
              <w:pStyle w:val="382"/>
              <w:spacing w:before="62" w:line="256" w:lineRule="exact"/>
              <w:ind w:left="209"/>
              <w:rPr>
                <w:color w:val="auto"/>
                <w:highlight w:val="none"/>
              </w:rPr>
            </w:pPr>
            <w:r>
              <w:rPr>
                <w:color w:val="auto"/>
                <w:spacing w:val="-7"/>
                <w:position w:val="1"/>
                <w:highlight w:val="none"/>
              </w:rPr>
              <w:t>13</w:t>
            </w:r>
          </w:p>
        </w:tc>
        <w:tc>
          <w:tcPr>
            <w:tcW w:w="1166" w:type="dxa"/>
            <w:noWrap w:val="0"/>
            <w:vAlign w:val="top"/>
          </w:tcPr>
          <w:p w14:paraId="52E9F1ED">
            <w:pPr>
              <w:spacing w:line="325" w:lineRule="auto"/>
              <w:rPr>
                <w:rFonts w:ascii="Arial"/>
                <w:color w:val="auto"/>
                <w:sz w:val="21"/>
                <w:highlight w:val="none"/>
              </w:rPr>
            </w:pPr>
          </w:p>
          <w:p w14:paraId="7B7220EE">
            <w:pPr>
              <w:spacing w:line="326" w:lineRule="auto"/>
              <w:rPr>
                <w:rFonts w:ascii="Arial"/>
                <w:color w:val="auto"/>
                <w:sz w:val="21"/>
                <w:highlight w:val="none"/>
              </w:rPr>
            </w:pPr>
          </w:p>
          <w:p w14:paraId="12E2108D">
            <w:pPr>
              <w:pStyle w:val="382"/>
              <w:spacing w:before="62" w:line="305" w:lineRule="auto"/>
              <w:ind w:left="16" w:right="8" w:firstLine="2"/>
              <w:rPr>
                <w:color w:val="auto"/>
                <w:highlight w:val="none"/>
              </w:rPr>
            </w:pPr>
            <w:r>
              <w:rPr>
                <w:color w:val="auto"/>
                <w:spacing w:val="4"/>
                <w:highlight w:val="none"/>
              </w:rPr>
              <w:t>★A020911</w:t>
            </w:r>
            <w:r>
              <w:rPr>
                <w:color w:val="auto"/>
                <w:spacing w:val="-44"/>
                <w:highlight w:val="none"/>
              </w:rPr>
              <w:t xml:space="preserve"> </w:t>
            </w:r>
            <w:r>
              <w:rPr>
                <w:color w:val="auto"/>
                <w:spacing w:val="4"/>
                <w:highlight w:val="none"/>
              </w:rPr>
              <w:t>视</w:t>
            </w:r>
            <w:r>
              <w:rPr>
                <w:color w:val="auto"/>
                <w:highlight w:val="none"/>
              </w:rPr>
              <w:t xml:space="preserve"> </w:t>
            </w:r>
            <w:r>
              <w:rPr>
                <w:color w:val="auto"/>
                <w:spacing w:val="6"/>
                <w:highlight w:val="none"/>
              </w:rPr>
              <w:t>频设备</w:t>
            </w:r>
          </w:p>
        </w:tc>
        <w:tc>
          <w:tcPr>
            <w:tcW w:w="1799" w:type="dxa"/>
            <w:noWrap w:val="0"/>
            <w:vAlign w:val="top"/>
          </w:tcPr>
          <w:p w14:paraId="2C14CD21">
            <w:pPr>
              <w:spacing w:line="325" w:lineRule="auto"/>
              <w:rPr>
                <w:rFonts w:ascii="Arial"/>
                <w:color w:val="auto"/>
                <w:sz w:val="21"/>
                <w:highlight w:val="none"/>
              </w:rPr>
            </w:pPr>
          </w:p>
          <w:p w14:paraId="21B9C7E4">
            <w:pPr>
              <w:spacing w:line="326" w:lineRule="auto"/>
              <w:rPr>
                <w:rFonts w:ascii="Arial"/>
                <w:color w:val="auto"/>
                <w:sz w:val="21"/>
                <w:highlight w:val="none"/>
              </w:rPr>
            </w:pPr>
          </w:p>
          <w:p w14:paraId="11227A70">
            <w:pPr>
              <w:pStyle w:val="382"/>
              <w:spacing w:before="62" w:line="305" w:lineRule="auto"/>
              <w:ind w:left="18" w:right="10" w:hanging="9"/>
              <w:rPr>
                <w:color w:val="auto"/>
                <w:highlight w:val="none"/>
              </w:rPr>
            </w:pPr>
            <w:r>
              <w:rPr>
                <w:color w:val="auto"/>
                <w:spacing w:val="4"/>
                <w:highlight w:val="none"/>
              </w:rPr>
              <w:t>A02091107 视频监控</w:t>
            </w:r>
            <w:r>
              <w:rPr>
                <w:color w:val="auto"/>
                <w:spacing w:val="7"/>
                <w:highlight w:val="none"/>
              </w:rPr>
              <w:t xml:space="preserve"> </w:t>
            </w:r>
            <w:r>
              <w:rPr>
                <w:color w:val="auto"/>
                <w:spacing w:val="3"/>
                <w:highlight w:val="none"/>
              </w:rPr>
              <w:t>设备</w:t>
            </w:r>
          </w:p>
        </w:tc>
        <w:tc>
          <w:tcPr>
            <w:tcW w:w="1914" w:type="dxa"/>
            <w:noWrap w:val="0"/>
            <w:vAlign w:val="top"/>
          </w:tcPr>
          <w:p w14:paraId="6FD9B8EB">
            <w:pPr>
              <w:spacing w:line="268" w:lineRule="auto"/>
              <w:rPr>
                <w:rFonts w:ascii="Arial"/>
                <w:color w:val="auto"/>
                <w:sz w:val="21"/>
                <w:highlight w:val="none"/>
              </w:rPr>
            </w:pPr>
          </w:p>
          <w:p w14:paraId="1B62275E">
            <w:pPr>
              <w:spacing w:line="269" w:lineRule="auto"/>
              <w:rPr>
                <w:rFonts w:ascii="Arial"/>
                <w:color w:val="auto"/>
                <w:sz w:val="21"/>
                <w:highlight w:val="none"/>
              </w:rPr>
            </w:pPr>
          </w:p>
          <w:p w14:paraId="02A03476">
            <w:pPr>
              <w:spacing w:line="269" w:lineRule="auto"/>
              <w:rPr>
                <w:rFonts w:ascii="Arial"/>
                <w:color w:val="auto"/>
                <w:sz w:val="21"/>
                <w:highlight w:val="none"/>
              </w:rPr>
            </w:pPr>
          </w:p>
          <w:p w14:paraId="55EA4C11">
            <w:pPr>
              <w:pStyle w:val="382"/>
              <w:spacing w:before="62" w:line="230" w:lineRule="auto"/>
              <w:ind w:left="17"/>
              <w:rPr>
                <w:color w:val="auto"/>
                <w:highlight w:val="none"/>
              </w:rPr>
            </w:pPr>
            <w:r>
              <w:rPr>
                <w:color w:val="auto"/>
                <w:spacing w:val="6"/>
                <w:highlight w:val="none"/>
              </w:rPr>
              <w:t>监视器</w:t>
            </w:r>
          </w:p>
        </w:tc>
        <w:tc>
          <w:tcPr>
            <w:tcW w:w="2969" w:type="dxa"/>
            <w:noWrap w:val="0"/>
            <w:vAlign w:val="top"/>
          </w:tcPr>
          <w:p w14:paraId="498C6390">
            <w:pPr>
              <w:pStyle w:val="382"/>
              <w:spacing w:before="93" w:line="303" w:lineRule="auto"/>
              <w:ind w:left="17" w:right="11" w:firstLine="23"/>
              <w:rPr>
                <w:color w:val="auto"/>
                <w:highlight w:val="none"/>
              </w:rPr>
            </w:pPr>
            <w:r>
              <w:rPr>
                <w:color w:val="auto"/>
                <w:spacing w:val="18"/>
                <w:highlight w:val="none"/>
              </w:rPr>
              <w:t>以射频信号为主要信号输入的监</w:t>
            </w:r>
            <w:r>
              <w:rPr>
                <w:color w:val="auto"/>
                <w:highlight w:val="none"/>
              </w:rPr>
              <w:t xml:space="preserve"> </w:t>
            </w:r>
            <w:r>
              <w:rPr>
                <w:color w:val="auto"/>
                <w:spacing w:val="5"/>
                <w:highlight w:val="none"/>
              </w:rPr>
              <w:t>视器应符合《平板电视能效限定值</w:t>
            </w:r>
            <w:r>
              <w:rPr>
                <w:color w:val="auto"/>
                <w:spacing w:val="7"/>
                <w:highlight w:val="none"/>
              </w:rPr>
              <w:t xml:space="preserve"> </w:t>
            </w:r>
            <w:r>
              <w:rPr>
                <w:color w:val="auto"/>
                <w:spacing w:val="8"/>
                <w:highlight w:val="none"/>
              </w:rPr>
              <w:t>及能效等级》（</w:t>
            </w:r>
            <w:r>
              <w:rPr>
                <w:color w:val="auto"/>
                <w:highlight w:val="none"/>
              </w:rPr>
              <w:t>GB</w:t>
            </w:r>
            <w:r>
              <w:rPr>
                <w:color w:val="auto"/>
                <w:spacing w:val="8"/>
                <w:highlight w:val="none"/>
              </w:rPr>
              <w:t xml:space="preserve"> 24850</w:t>
            </w:r>
            <w:r>
              <w:rPr>
                <w:color w:val="auto"/>
                <w:highlight w:val="none"/>
              </w:rPr>
              <w:t>），</w:t>
            </w:r>
          </w:p>
          <w:p w14:paraId="1C4CEDAB">
            <w:pPr>
              <w:pStyle w:val="382"/>
              <w:spacing w:before="1" w:line="290" w:lineRule="auto"/>
              <w:ind w:left="17" w:right="11" w:firstLine="23"/>
              <w:rPr>
                <w:color w:val="auto"/>
                <w:highlight w:val="none"/>
              </w:rPr>
            </w:pPr>
            <w:r>
              <w:rPr>
                <w:color w:val="auto"/>
                <w:spacing w:val="18"/>
                <w:highlight w:val="none"/>
              </w:rPr>
              <w:t>以数字信号为主要信号输入的监</w:t>
            </w:r>
            <w:r>
              <w:rPr>
                <w:color w:val="auto"/>
                <w:highlight w:val="none"/>
              </w:rPr>
              <w:t xml:space="preserve"> </w:t>
            </w:r>
            <w:r>
              <w:rPr>
                <w:color w:val="auto"/>
                <w:spacing w:val="5"/>
                <w:highlight w:val="none"/>
              </w:rPr>
              <w:t>视器应符合《计算机显示器能效限</w:t>
            </w:r>
            <w:r>
              <w:rPr>
                <w:color w:val="auto"/>
                <w:spacing w:val="7"/>
                <w:highlight w:val="none"/>
              </w:rPr>
              <w:t xml:space="preserve"> 定值及能效等级》（</w:t>
            </w:r>
            <w:r>
              <w:rPr>
                <w:color w:val="auto"/>
                <w:highlight w:val="none"/>
              </w:rPr>
              <w:t>GB</w:t>
            </w:r>
            <w:r>
              <w:rPr>
                <w:color w:val="auto"/>
                <w:spacing w:val="7"/>
                <w:highlight w:val="none"/>
              </w:rPr>
              <w:t xml:space="preserve"> 21520）</w:t>
            </w:r>
          </w:p>
        </w:tc>
      </w:tr>
      <w:tr w14:paraId="33D07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noWrap w:val="0"/>
            <w:vAlign w:val="top"/>
          </w:tcPr>
          <w:p w14:paraId="2125080F">
            <w:pPr>
              <w:pStyle w:val="382"/>
              <w:spacing w:before="298" w:line="258" w:lineRule="exact"/>
              <w:ind w:left="209"/>
              <w:rPr>
                <w:color w:val="auto"/>
                <w:highlight w:val="none"/>
              </w:rPr>
            </w:pPr>
            <w:r>
              <w:rPr>
                <w:color w:val="auto"/>
                <w:spacing w:val="-7"/>
                <w:position w:val="1"/>
                <w:highlight w:val="none"/>
              </w:rPr>
              <w:t>14</w:t>
            </w:r>
          </w:p>
        </w:tc>
        <w:tc>
          <w:tcPr>
            <w:tcW w:w="1166" w:type="dxa"/>
            <w:noWrap w:val="0"/>
            <w:vAlign w:val="top"/>
          </w:tcPr>
          <w:p w14:paraId="224547A3">
            <w:pPr>
              <w:pStyle w:val="382"/>
              <w:spacing w:before="142" w:line="304" w:lineRule="auto"/>
              <w:ind w:left="15" w:right="8" w:hanging="6"/>
              <w:rPr>
                <w:color w:val="auto"/>
                <w:highlight w:val="none"/>
              </w:rPr>
            </w:pPr>
            <w:r>
              <w:rPr>
                <w:color w:val="auto"/>
                <w:spacing w:val="5"/>
                <w:highlight w:val="none"/>
              </w:rPr>
              <w:t>A031210</w:t>
            </w:r>
            <w:r>
              <w:rPr>
                <w:color w:val="auto"/>
                <w:spacing w:val="-43"/>
                <w:highlight w:val="none"/>
              </w:rPr>
              <w:t xml:space="preserve"> </w:t>
            </w:r>
            <w:r>
              <w:rPr>
                <w:color w:val="auto"/>
                <w:spacing w:val="5"/>
                <w:highlight w:val="none"/>
              </w:rPr>
              <w:t>饮食</w:t>
            </w:r>
            <w:r>
              <w:rPr>
                <w:color w:val="auto"/>
                <w:highlight w:val="none"/>
              </w:rPr>
              <w:t xml:space="preserve"> </w:t>
            </w:r>
            <w:r>
              <w:rPr>
                <w:color w:val="auto"/>
                <w:spacing w:val="7"/>
                <w:highlight w:val="none"/>
              </w:rPr>
              <w:t>炊事机械</w:t>
            </w:r>
          </w:p>
        </w:tc>
        <w:tc>
          <w:tcPr>
            <w:tcW w:w="1799" w:type="dxa"/>
            <w:noWrap w:val="0"/>
            <w:vAlign w:val="top"/>
          </w:tcPr>
          <w:p w14:paraId="2D3A1A67">
            <w:pPr>
              <w:pStyle w:val="382"/>
              <w:spacing w:before="297" w:line="230" w:lineRule="auto"/>
              <w:ind w:left="19"/>
              <w:rPr>
                <w:color w:val="auto"/>
                <w:highlight w:val="none"/>
              </w:rPr>
            </w:pPr>
            <w:r>
              <w:rPr>
                <w:color w:val="auto"/>
                <w:spacing w:val="7"/>
                <w:highlight w:val="none"/>
              </w:rPr>
              <w:t>商用燃气灶具</w:t>
            </w:r>
          </w:p>
        </w:tc>
        <w:tc>
          <w:tcPr>
            <w:tcW w:w="1914" w:type="dxa"/>
            <w:noWrap w:val="0"/>
            <w:vAlign w:val="top"/>
          </w:tcPr>
          <w:p w14:paraId="79F31509">
            <w:pPr>
              <w:rPr>
                <w:rFonts w:ascii="Arial"/>
                <w:color w:val="auto"/>
                <w:sz w:val="21"/>
                <w:highlight w:val="none"/>
              </w:rPr>
            </w:pPr>
          </w:p>
        </w:tc>
        <w:tc>
          <w:tcPr>
            <w:tcW w:w="2969" w:type="dxa"/>
            <w:noWrap w:val="0"/>
            <w:vAlign w:val="top"/>
          </w:tcPr>
          <w:p w14:paraId="29A48124">
            <w:pPr>
              <w:pStyle w:val="382"/>
              <w:spacing w:before="142" w:line="304" w:lineRule="auto"/>
              <w:ind w:left="22" w:right="11"/>
              <w:rPr>
                <w:color w:val="auto"/>
                <w:highlight w:val="none"/>
              </w:rPr>
            </w:pPr>
            <w:r>
              <w:rPr>
                <w:color w:val="auto"/>
                <w:spacing w:val="19"/>
                <w:highlight w:val="none"/>
              </w:rPr>
              <w:t>《商用燃气灶具能效限定值及能</w:t>
            </w:r>
            <w:r>
              <w:rPr>
                <w:color w:val="auto"/>
                <w:spacing w:val="2"/>
                <w:highlight w:val="none"/>
              </w:rPr>
              <w:t xml:space="preserve"> </w:t>
            </w:r>
            <w:r>
              <w:rPr>
                <w:color w:val="auto"/>
                <w:spacing w:val="6"/>
                <w:highlight w:val="none"/>
              </w:rPr>
              <w:t>效等级》（</w:t>
            </w:r>
            <w:r>
              <w:rPr>
                <w:color w:val="auto"/>
                <w:highlight w:val="none"/>
              </w:rPr>
              <w:t>GB</w:t>
            </w:r>
            <w:r>
              <w:rPr>
                <w:color w:val="auto"/>
                <w:spacing w:val="6"/>
                <w:highlight w:val="none"/>
              </w:rPr>
              <w:t xml:space="preserve"> 30531）</w:t>
            </w:r>
          </w:p>
        </w:tc>
      </w:tr>
      <w:tr w14:paraId="10344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restart"/>
            <w:tcBorders>
              <w:bottom w:val="nil"/>
            </w:tcBorders>
            <w:noWrap w:val="0"/>
            <w:vAlign w:val="top"/>
          </w:tcPr>
          <w:p w14:paraId="2A8B1FC8">
            <w:pPr>
              <w:spacing w:line="290" w:lineRule="auto"/>
              <w:rPr>
                <w:rFonts w:ascii="Arial"/>
                <w:color w:val="auto"/>
                <w:sz w:val="21"/>
                <w:highlight w:val="none"/>
              </w:rPr>
            </w:pPr>
          </w:p>
          <w:p w14:paraId="46475D61">
            <w:pPr>
              <w:spacing w:line="290" w:lineRule="auto"/>
              <w:rPr>
                <w:rFonts w:ascii="Arial"/>
                <w:color w:val="auto"/>
                <w:sz w:val="21"/>
                <w:highlight w:val="none"/>
              </w:rPr>
            </w:pPr>
          </w:p>
          <w:p w14:paraId="283FCBD5">
            <w:pPr>
              <w:spacing w:line="291" w:lineRule="auto"/>
              <w:rPr>
                <w:rFonts w:ascii="Arial"/>
                <w:color w:val="auto"/>
                <w:sz w:val="21"/>
                <w:highlight w:val="none"/>
              </w:rPr>
            </w:pPr>
          </w:p>
          <w:p w14:paraId="67DD9C04">
            <w:pPr>
              <w:spacing w:line="291" w:lineRule="auto"/>
              <w:rPr>
                <w:rFonts w:ascii="Arial"/>
                <w:color w:val="auto"/>
                <w:sz w:val="21"/>
                <w:highlight w:val="none"/>
              </w:rPr>
            </w:pPr>
          </w:p>
          <w:p w14:paraId="74A36C47">
            <w:pPr>
              <w:pStyle w:val="382"/>
              <w:spacing w:before="62" w:line="257" w:lineRule="exact"/>
              <w:ind w:left="209"/>
              <w:rPr>
                <w:color w:val="auto"/>
                <w:highlight w:val="none"/>
              </w:rPr>
            </w:pPr>
            <w:r>
              <w:rPr>
                <w:color w:val="auto"/>
                <w:spacing w:val="-7"/>
                <w:position w:val="1"/>
                <w:highlight w:val="none"/>
              </w:rPr>
              <w:t>15</w:t>
            </w:r>
          </w:p>
        </w:tc>
        <w:tc>
          <w:tcPr>
            <w:tcW w:w="1166" w:type="dxa"/>
            <w:vMerge w:val="restart"/>
            <w:tcBorders>
              <w:bottom w:val="nil"/>
            </w:tcBorders>
            <w:noWrap w:val="0"/>
            <w:vAlign w:val="top"/>
          </w:tcPr>
          <w:p w14:paraId="712B992A">
            <w:pPr>
              <w:spacing w:line="251" w:lineRule="auto"/>
              <w:rPr>
                <w:rFonts w:ascii="Arial"/>
                <w:color w:val="auto"/>
                <w:sz w:val="21"/>
                <w:highlight w:val="none"/>
              </w:rPr>
            </w:pPr>
          </w:p>
          <w:p w14:paraId="28004DD2">
            <w:pPr>
              <w:spacing w:line="251" w:lineRule="auto"/>
              <w:rPr>
                <w:rFonts w:ascii="Arial"/>
                <w:color w:val="auto"/>
                <w:sz w:val="21"/>
                <w:highlight w:val="none"/>
              </w:rPr>
            </w:pPr>
          </w:p>
          <w:p w14:paraId="2745FB6E">
            <w:pPr>
              <w:spacing w:line="252" w:lineRule="auto"/>
              <w:rPr>
                <w:rFonts w:ascii="Arial"/>
                <w:color w:val="auto"/>
                <w:sz w:val="21"/>
                <w:highlight w:val="none"/>
              </w:rPr>
            </w:pPr>
          </w:p>
          <w:p w14:paraId="1BCCB01F">
            <w:pPr>
              <w:pStyle w:val="382"/>
              <w:spacing w:before="62" w:line="307" w:lineRule="auto"/>
              <w:ind w:left="15" w:right="8" w:firstLine="3"/>
              <w:rPr>
                <w:color w:val="auto"/>
                <w:highlight w:val="none"/>
              </w:rPr>
            </w:pPr>
            <w:r>
              <w:rPr>
                <w:color w:val="auto"/>
                <w:spacing w:val="3"/>
                <w:highlight w:val="none"/>
              </w:rPr>
              <w:t>★A060805</w:t>
            </w:r>
            <w:r>
              <w:rPr>
                <w:color w:val="auto"/>
                <w:spacing w:val="-35"/>
                <w:highlight w:val="none"/>
              </w:rPr>
              <w:t xml:space="preserve"> </w:t>
            </w:r>
            <w:r>
              <w:rPr>
                <w:color w:val="auto"/>
                <w:spacing w:val="3"/>
                <w:highlight w:val="none"/>
              </w:rPr>
              <w:t>便</w:t>
            </w:r>
            <w:r>
              <w:rPr>
                <w:color w:val="auto"/>
                <w:highlight w:val="none"/>
              </w:rPr>
              <w:t xml:space="preserve"> </w:t>
            </w:r>
            <w:r>
              <w:rPr>
                <w:color w:val="auto"/>
                <w:spacing w:val="1"/>
                <w:highlight w:val="none"/>
              </w:rPr>
              <w:t>器</w:t>
            </w:r>
          </w:p>
        </w:tc>
        <w:tc>
          <w:tcPr>
            <w:tcW w:w="1799" w:type="dxa"/>
            <w:noWrap w:val="0"/>
            <w:vAlign w:val="top"/>
          </w:tcPr>
          <w:p w14:paraId="361EA73D">
            <w:pPr>
              <w:spacing w:line="282" w:lineRule="auto"/>
              <w:rPr>
                <w:rFonts w:ascii="Arial"/>
                <w:color w:val="auto"/>
                <w:sz w:val="21"/>
                <w:highlight w:val="none"/>
              </w:rPr>
            </w:pPr>
          </w:p>
          <w:p w14:paraId="7C01B48A">
            <w:pPr>
              <w:pStyle w:val="382"/>
              <w:spacing w:before="62" w:line="229" w:lineRule="auto"/>
              <w:ind w:left="16"/>
              <w:rPr>
                <w:color w:val="auto"/>
                <w:highlight w:val="none"/>
              </w:rPr>
            </w:pPr>
            <w:r>
              <w:rPr>
                <w:color w:val="auto"/>
                <w:spacing w:val="6"/>
                <w:highlight w:val="none"/>
              </w:rPr>
              <w:t>坐便器</w:t>
            </w:r>
          </w:p>
        </w:tc>
        <w:tc>
          <w:tcPr>
            <w:tcW w:w="1914" w:type="dxa"/>
            <w:noWrap w:val="0"/>
            <w:vAlign w:val="top"/>
          </w:tcPr>
          <w:p w14:paraId="66D6917D">
            <w:pPr>
              <w:rPr>
                <w:rFonts w:ascii="Arial"/>
                <w:color w:val="auto"/>
                <w:sz w:val="21"/>
                <w:highlight w:val="none"/>
              </w:rPr>
            </w:pPr>
          </w:p>
        </w:tc>
        <w:tc>
          <w:tcPr>
            <w:tcW w:w="2969" w:type="dxa"/>
            <w:noWrap w:val="0"/>
            <w:vAlign w:val="top"/>
          </w:tcPr>
          <w:p w14:paraId="078E109E">
            <w:pPr>
              <w:pStyle w:val="382"/>
              <w:spacing w:before="189" w:line="311" w:lineRule="auto"/>
              <w:ind w:left="27" w:hanging="4"/>
              <w:rPr>
                <w:color w:val="auto"/>
                <w:highlight w:val="none"/>
              </w:rPr>
            </w:pPr>
            <w:r>
              <w:rPr>
                <w:color w:val="auto"/>
                <w:spacing w:val="6"/>
                <w:highlight w:val="none"/>
              </w:rPr>
              <w:t>《坐便器水效限定值及水效等级》</w:t>
            </w:r>
            <w:r>
              <w:rPr>
                <w:color w:val="auto"/>
                <w:highlight w:val="none"/>
              </w:rPr>
              <w:t xml:space="preserve"> </w:t>
            </w:r>
            <w:r>
              <w:rPr>
                <w:color w:val="auto"/>
                <w:spacing w:val="1"/>
                <w:highlight w:val="none"/>
              </w:rPr>
              <w:t>（</w:t>
            </w:r>
            <w:r>
              <w:rPr>
                <w:color w:val="auto"/>
                <w:highlight w:val="none"/>
              </w:rPr>
              <w:t>GB</w:t>
            </w:r>
            <w:r>
              <w:rPr>
                <w:color w:val="auto"/>
                <w:spacing w:val="15"/>
                <w:highlight w:val="none"/>
              </w:rPr>
              <w:t xml:space="preserve"> </w:t>
            </w:r>
            <w:r>
              <w:rPr>
                <w:color w:val="auto"/>
                <w:spacing w:val="1"/>
                <w:highlight w:val="none"/>
              </w:rPr>
              <w:t>25502）</w:t>
            </w:r>
          </w:p>
        </w:tc>
      </w:tr>
      <w:tr w14:paraId="68A92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continue"/>
            <w:tcBorders>
              <w:top w:val="nil"/>
              <w:bottom w:val="nil"/>
            </w:tcBorders>
            <w:noWrap w:val="0"/>
            <w:vAlign w:val="top"/>
          </w:tcPr>
          <w:p w14:paraId="77D8331E">
            <w:pPr>
              <w:rPr>
                <w:rFonts w:ascii="Arial"/>
                <w:color w:val="auto"/>
                <w:sz w:val="21"/>
                <w:highlight w:val="none"/>
              </w:rPr>
            </w:pPr>
          </w:p>
        </w:tc>
        <w:tc>
          <w:tcPr>
            <w:tcW w:w="1166" w:type="dxa"/>
            <w:vMerge w:val="continue"/>
            <w:tcBorders>
              <w:top w:val="nil"/>
              <w:bottom w:val="nil"/>
            </w:tcBorders>
            <w:noWrap w:val="0"/>
            <w:vAlign w:val="top"/>
          </w:tcPr>
          <w:p w14:paraId="7BCFC46B">
            <w:pPr>
              <w:rPr>
                <w:rFonts w:ascii="Arial"/>
                <w:color w:val="auto"/>
                <w:sz w:val="21"/>
                <w:highlight w:val="none"/>
              </w:rPr>
            </w:pPr>
          </w:p>
        </w:tc>
        <w:tc>
          <w:tcPr>
            <w:tcW w:w="1799" w:type="dxa"/>
            <w:noWrap w:val="0"/>
            <w:vAlign w:val="top"/>
          </w:tcPr>
          <w:p w14:paraId="137FB6FB">
            <w:pPr>
              <w:spacing w:line="283" w:lineRule="auto"/>
              <w:rPr>
                <w:rFonts w:ascii="Arial"/>
                <w:color w:val="auto"/>
                <w:sz w:val="21"/>
                <w:highlight w:val="none"/>
              </w:rPr>
            </w:pPr>
          </w:p>
          <w:p w14:paraId="1EFE3375">
            <w:pPr>
              <w:pStyle w:val="382"/>
              <w:spacing w:before="62" w:line="229" w:lineRule="auto"/>
              <w:ind w:left="14"/>
              <w:rPr>
                <w:color w:val="auto"/>
                <w:highlight w:val="none"/>
              </w:rPr>
            </w:pPr>
            <w:r>
              <w:rPr>
                <w:color w:val="auto"/>
                <w:spacing w:val="6"/>
                <w:highlight w:val="none"/>
              </w:rPr>
              <w:t>蹲便器</w:t>
            </w:r>
          </w:p>
        </w:tc>
        <w:tc>
          <w:tcPr>
            <w:tcW w:w="1914" w:type="dxa"/>
            <w:noWrap w:val="0"/>
            <w:vAlign w:val="top"/>
          </w:tcPr>
          <w:p w14:paraId="7B26843D">
            <w:pPr>
              <w:rPr>
                <w:rFonts w:ascii="Arial"/>
                <w:color w:val="auto"/>
                <w:sz w:val="21"/>
                <w:highlight w:val="none"/>
              </w:rPr>
            </w:pPr>
          </w:p>
        </w:tc>
        <w:tc>
          <w:tcPr>
            <w:tcW w:w="2969" w:type="dxa"/>
            <w:noWrap w:val="0"/>
            <w:vAlign w:val="top"/>
          </w:tcPr>
          <w:p w14:paraId="59F5626B">
            <w:pPr>
              <w:pStyle w:val="382"/>
              <w:spacing w:before="191" w:line="304" w:lineRule="auto"/>
              <w:ind w:left="22" w:right="11"/>
              <w:rPr>
                <w:color w:val="auto"/>
                <w:highlight w:val="none"/>
              </w:rPr>
            </w:pPr>
            <w:r>
              <w:rPr>
                <w:color w:val="auto"/>
                <w:spacing w:val="19"/>
                <w:highlight w:val="none"/>
              </w:rPr>
              <w:t>《蹲便器用水效率限定值及用水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30717）</w:t>
            </w:r>
          </w:p>
        </w:tc>
      </w:tr>
      <w:tr w14:paraId="123A5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78" w:type="dxa"/>
            <w:vMerge w:val="continue"/>
            <w:tcBorders>
              <w:top w:val="nil"/>
            </w:tcBorders>
            <w:noWrap w:val="0"/>
            <w:vAlign w:val="top"/>
          </w:tcPr>
          <w:p w14:paraId="222B260F">
            <w:pPr>
              <w:rPr>
                <w:rFonts w:ascii="Arial"/>
                <w:color w:val="auto"/>
                <w:sz w:val="21"/>
                <w:highlight w:val="none"/>
              </w:rPr>
            </w:pPr>
          </w:p>
        </w:tc>
        <w:tc>
          <w:tcPr>
            <w:tcW w:w="1166" w:type="dxa"/>
            <w:vMerge w:val="continue"/>
            <w:tcBorders>
              <w:top w:val="nil"/>
            </w:tcBorders>
            <w:noWrap w:val="0"/>
            <w:vAlign w:val="top"/>
          </w:tcPr>
          <w:p w14:paraId="2466BB7B">
            <w:pPr>
              <w:rPr>
                <w:rFonts w:ascii="Arial"/>
                <w:color w:val="auto"/>
                <w:sz w:val="21"/>
                <w:highlight w:val="none"/>
              </w:rPr>
            </w:pPr>
          </w:p>
        </w:tc>
        <w:tc>
          <w:tcPr>
            <w:tcW w:w="1799" w:type="dxa"/>
            <w:noWrap w:val="0"/>
            <w:vAlign w:val="top"/>
          </w:tcPr>
          <w:p w14:paraId="57641992">
            <w:pPr>
              <w:spacing w:line="284" w:lineRule="auto"/>
              <w:rPr>
                <w:rFonts w:ascii="Arial"/>
                <w:color w:val="auto"/>
                <w:sz w:val="21"/>
                <w:highlight w:val="none"/>
              </w:rPr>
            </w:pPr>
          </w:p>
          <w:p w14:paraId="19871423">
            <w:pPr>
              <w:pStyle w:val="382"/>
              <w:spacing w:before="61" w:line="229" w:lineRule="auto"/>
              <w:ind w:left="20"/>
              <w:rPr>
                <w:color w:val="auto"/>
                <w:highlight w:val="none"/>
              </w:rPr>
            </w:pPr>
            <w:r>
              <w:rPr>
                <w:color w:val="auto"/>
                <w:spacing w:val="4"/>
                <w:highlight w:val="none"/>
              </w:rPr>
              <w:t>小便器</w:t>
            </w:r>
          </w:p>
        </w:tc>
        <w:tc>
          <w:tcPr>
            <w:tcW w:w="1914" w:type="dxa"/>
            <w:noWrap w:val="0"/>
            <w:vAlign w:val="top"/>
          </w:tcPr>
          <w:p w14:paraId="4A3564ED">
            <w:pPr>
              <w:rPr>
                <w:rFonts w:ascii="Arial"/>
                <w:color w:val="auto"/>
                <w:sz w:val="21"/>
                <w:highlight w:val="none"/>
              </w:rPr>
            </w:pPr>
          </w:p>
        </w:tc>
        <w:tc>
          <w:tcPr>
            <w:tcW w:w="2969" w:type="dxa"/>
            <w:noWrap w:val="0"/>
            <w:vAlign w:val="top"/>
          </w:tcPr>
          <w:p w14:paraId="6B7FBC5B">
            <w:pPr>
              <w:pStyle w:val="382"/>
              <w:spacing w:before="192" w:line="304" w:lineRule="auto"/>
              <w:ind w:left="22" w:right="11"/>
              <w:rPr>
                <w:color w:val="auto"/>
                <w:highlight w:val="none"/>
              </w:rPr>
            </w:pPr>
            <w:r>
              <w:rPr>
                <w:color w:val="auto"/>
                <w:spacing w:val="19"/>
                <w:highlight w:val="none"/>
              </w:rPr>
              <w:t>《小便器用水效率限定值及用水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28377）</w:t>
            </w:r>
          </w:p>
        </w:tc>
      </w:tr>
      <w:tr w14:paraId="55F30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578" w:type="dxa"/>
            <w:noWrap w:val="0"/>
            <w:vAlign w:val="top"/>
          </w:tcPr>
          <w:p w14:paraId="1CF54D9A">
            <w:pPr>
              <w:spacing w:line="312" w:lineRule="auto"/>
              <w:rPr>
                <w:rFonts w:ascii="Arial"/>
                <w:color w:val="auto"/>
                <w:sz w:val="21"/>
                <w:highlight w:val="none"/>
              </w:rPr>
            </w:pPr>
          </w:p>
          <w:p w14:paraId="0496F8BD">
            <w:pPr>
              <w:pStyle w:val="382"/>
              <w:spacing w:before="61" w:line="257" w:lineRule="exact"/>
              <w:ind w:left="209"/>
              <w:rPr>
                <w:color w:val="auto"/>
                <w:highlight w:val="none"/>
              </w:rPr>
            </w:pPr>
            <w:r>
              <w:rPr>
                <w:color w:val="auto"/>
                <w:spacing w:val="-7"/>
                <w:position w:val="1"/>
                <w:highlight w:val="none"/>
              </w:rPr>
              <w:t>16</w:t>
            </w:r>
          </w:p>
        </w:tc>
        <w:tc>
          <w:tcPr>
            <w:tcW w:w="1166" w:type="dxa"/>
            <w:noWrap w:val="0"/>
            <w:vAlign w:val="top"/>
          </w:tcPr>
          <w:p w14:paraId="776E4FBD">
            <w:pPr>
              <w:pStyle w:val="382"/>
              <w:spacing w:before="220" w:line="304" w:lineRule="auto"/>
              <w:ind w:left="22" w:right="8" w:hanging="4"/>
              <w:rPr>
                <w:color w:val="auto"/>
                <w:highlight w:val="none"/>
              </w:rPr>
            </w:pPr>
            <w:r>
              <w:rPr>
                <w:color w:val="auto"/>
                <w:spacing w:val="3"/>
                <w:highlight w:val="none"/>
              </w:rPr>
              <w:t>★A060806</w:t>
            </w:r>
            <w:r>
              <w:rPr>
                <w:color w:val="auto"/>
                <w:spacing w:val="-35"/>
                <w:highlight w:val="none"/>
              </w:rPr>
              <w:t xml:space="preserve"> </w:t>
            </w:r>
            <w:r>
              <w:rPr>
                <w:color w:val="auto"/>
                <w:spacing w:val="3"/>
                <w:highlight w:val="none"/>
              </w:rPr>
              <w:t>水</w:t>
            </w:r>
            <w:r>
              <w:rPr>
                <w:color w:val="auto"/>
                <w:highlight w:val="none"/>
              </w:rPr>
              <w:t xml:space="preserve"> 嘴</w:t>
            </w:r>
          </w:p>
        </w:tc>
        <w:tc>
          <w:tcPr>
            <w:tcW w:w="1799" w:type="dxa"/>
            <w:noWrap w:val="0"/>
            <w:vAlign w:val="top"/>
          </w:tcPr>
          <w:p w14:paraId="672575CB">
            <w:pPr>
              <w:rPr>
                <w:rFonts w:ascii="Arial"/>
                <w:color w:val="auto"/>
                <w:sz w:val="21"/>
                <w:highlight w:val="none"/>
              </w:rPr>
            </w:pPr>
          </w:p>
        </w:tc>
        <w:tc>
          <w:tcPr>
            <w:tcW w:w="1914" w:type="dxa"/>
            <w:noWrap w:val="0"/>
            <w:vAlign w:val="top"/>
          </w:tcPr>
          <w:p w14:paraId="633BD832">
            <w:pPr>
              <w:rPr>
                <w:rFonts w:ascii="Arial"/>
                <w:color w:val="auto"/>
                <w:sz w:val="21"/>
                <w:highlight w:val="none"/>
              </w:rPr>
            </w:pPr>
          </w:p>
        </w:tc>
        <w:tc>
          <w:tcPr>
            <w:tcW w:w="2969" w:type="dxa"/>
            <w:noWrap w:val="0"/>
            <w:vAlign w:val="top"/>
          </w:tcPr>
          <w:p w14:paraId="35B5CD77">
            <w:pPr>
              <w:pStyle w:val="382"/>
              <w:spacing w:before="220" w:line="304" w:lineRule="auto"/>
              <w:ind w:left="19" w:right="11" w:firstLine="3"/>
              <w:rPr>
                <w:color w:val="auto"/>
                <w:highlight w:val="none"/>
              </w:rPr>
            </w:pPr>
            <w:r>
              <w:rPr>
                <w:color w:val="auto"/>
                <w:spacing w:val="19"/>
                <w:highlight w:val="none"/>
              </w:rPr>
              <w:t>《水嘴用水效率限定值及用水效</w:t>
            </w:r>
            <w:r>
              <w:rPr>
                <w:color w:val="auto"/>
                <w:spacing w:val="2"/>
                <w:highlight w:val="none"/>
              </w:rPr>
              <w:t xml:space="preserve"> </w:t>
            </w:r>
            <w:r>
              <w:rPr>
                <w:color w:val="auto"/>
                <w:spacing w:val="6"/>
                <w:highlight w:val="none"/>
              </w:rPr>
              <w:t>率等级》（</w:t>
            </w:r>
            <w:r>
              <w:rPr>
                <w:color w:val="auto"/>
                <w:highlight w:val="none"/>
              </w:rPr>
              <w:t>GB</w:t>
            </w:r>
            <w:r>
              <w:rPr>
                <w:color w:val="auto"/>
                <w:spacing w:val="6"/>
                <w:highlight w:val="none"/>
              </w:rPr>
              <w:t xml:space="preserve"> 25501）</w:t>
            </w:r>
          </w:p>
        </w:tc>
      </w:tr>
      <w:tr w14:paraId="5D238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8" w:type="dxa"/>
            <w:noWrap w:val="0"/>
            <w:vAlign w:val="top"/>
          </w:tcPr>
          <w:p w14:paraId="72AAFA91">
            <w:pPr>
              <w:spacing w:line="268" w:lineRule="auto"/>
              <w:rPr>
                <w:rFonts w:ascii="Arial"/>
                <w:color w:val="auto"/>
                <w:sz w:val="21"/>
                <w:highlight w:val="none"/>
              </w:rPr>
            </w:pPr>
          </w:p>
          <w:p w14:paraId="1A6E02FF">
            <w:pPr>
              <w:pStyle w:val="382"/>
              <w:spacing w:before="62" w:line="257" w:lineRule="exact"/>
              <w:ind w:left="209"/>
              <w:rPr>
                <w:color w:val="auto"/>
                <w:highlight w:val="none"/>
              </w:rPr>
            </w:pPr>
            <w:r>
              <w:rPr>
                <w:color w:val="auto"/>
                <w:spacing w:val="-7"/>
                <w:position w:val="1"/>
                <w:highlight w:val="none"/>
              </w:rPr>
              <w:t>17</w:t>
            </w:r>
          </w:p>
        </w:tc>
        <w:tc>
          <w:tcPr>
            <w:tcW w:w="1166" w:type="dxa"/>
            <w:noWrap w:val="0"/>
            <w:vAlign w:val="top"/>
          </w:tcPr>
          <w:p w14:paraId="6BD033BE">
            <w:pPr>
              <w:pStyle w:val="382"/>
              <w:spacing w:before="176" w:line="305" w:lineRule="auto"/>
              <w:ind w:left="15" w:right="8" w:hanging="6"/>
              <w:rPr>
                <w:color w:val="auto"/>
                <w:highlight w:val="none"/>
              </w:rPr>
            </w:pPr>
            <w:r>
              <w:rPr>
                <w:color w:val="auto"/>
                <w:spacing w:val="5"/>
                <w:highlight w:val="none"/>
              </w:rPr>
              <w:t>A060807</w:t>
            </w:r>
            <w:r>
              <w:rPr>
                <w:color w:val="auto"/>
                <w:spacing w:val="-43"/>
                <w:highlight w:val="none"/>
              </w:rPr>
              <w:t xml:space="preserve"> </w:t>
            </w:r>
            <w:r>
              <w:rPr>
                <w:color w:val="auto"/>
                <w:spacing w:val="5"/>
                <w:highlight w:val="none"/>
              </w:rPr>
              <w:t>便器</w:t>
            </w:r>
            <w:r>
              <w:rPr>
                <w:color w:val="auto"/>
                <w:highlight w:val="none"/>
              </w:rPr>
              <w:t xml:space="preserve"> </w:t>
            </w:r>
            <w:r>
              <w:rPr>
                <w:color w:val="auto"/>
                <w:spacing w:val="6"/>
                <w:highlight w:val="none"/>
              </w:rPr>
              <w:t>冲洗阀</w:t>
            </w:r>
          </w:p>
        </w:tc>
        <w:tc>
          <w:tcPr>
            <w:tcW w:w="1799" w:type="dxa"/>
            <w:noWrap w:val="0"/>
            <w:vAlign w:val="top"/>
          </w:tcPr>
          <w:p w14:paraId="267AEA46">
            <w:pPr>
              <w:rPr>
                <w:rFonts w:ascii="Arial"/>
                <w:color w:val="auto"/>
                <w:sz w:val="21"/>
                <w:highlight w:val="none"/>
              </w:rPr>
            </w:pPr>
          </w:p>
        </w:tc>
        <w:tc>
          <w:tcPr>
            <w:tcW w:w="1914" w:type="dxa"/>
            <w:noWrap w:val="0"/>
            <w:vAlign w:val="top"/>
          </w:tcPr>
          <w:p w14:paraId="3CFB3634">
            <w:pPr>
              <w:rPr>
                <w:rFonts w:ascii="Arial"/>
                <w:color w:val="auto"/>
                <w:sz w:val="21"/>
                <w:highlight w:val="none"/>
              </w:rPr>
            </w:pPr>
          </w:p>
        </w:tc>
        <w:tc>
          <w:tcPr>
            <w:tcW w:w="2969" w:type="dxa"/>
            <w:noWrap w:val="0"/>
            <w:vAlign w:val="top"/>
          </w:tcPr>
          <w:p w14:paraId="2FCD53FD">
            <w:pPr>
              <w:pStyle w:val="382"/>
              <w:spacing w:before="177" w:line="304" w:lineRule="auto"/>
              <w:ind w:left="19" w:right="11" w:firstLine="3"/>
              <w:rPr>
                <w:color w:val="auto"/>
                <w:highlight w:val="none"/>
              </w:rPr>
            </w:pPr>
            <w:r>
              <w:rPr>
                <w:color w:val="auto"/>
                <w:spacing w:val="19"/>
                <w:highlight w:val="none"/>
              </w:rPr>
              <w:t>《便器冲洗阀用水效率限定值及</w:t>
            </w:r>
            <w:r>
              <w:rPr>
                <w:color w:val="auto"/>
                <w:spacing w:val="2"/>
                <w:highlight w:val="none"/>
              </w:rPr>
              <w:t xml:space="preserve"> </w:t>
            </w:r>
            <w:r>
              <w:rPr>
                <w:color w:val="auto"/>
                <w:spacing w:val="7"/>
                <w:highlight w:val="none"/>
              </w:rPr>
              <w:t>用水效率等级》（</w:t>
            </w:r>
            <w:r>
              <w:rPr>
                <w:color w:val="auto"/>
                <w:highlight w:val="none"/>
              </w:rPr>
              <w:t>GB</w:t>
            </w:r>
            <w:r>
              <w:rPr>
                <w:color w:val="auto"/>
                <w:spacing w:val="7"/>
                <w:highlight w:val="none"/>
              </w:rPr>
              <w:t xml:space="preserve"> 28379）</w:t>
            </w:r>
          </w:p>
        </w:tc>
      </w:tr>
      <w:tr w14:paraId="15A55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78" w:type="dxa"/>
            <w:noWrap w:val="0"/>
            <w:vAlign w:val="top"/>
          </w:tcPr>
          <w:p w14:paraId="5229E61D">
            <w:pPr>
              <w:spacing w:line="289" w:lineRule="auto"/>
              <w:rPr>
                <w:rFonts w:ascii="Arial"/>
                <w:color w:val="auto"/>
                <w:sz w:val="21"/>
                <w:highlight w:val="none"/>
              </w:rPr>
            </w:pPr>
          </w:p>
          <w:p w14:paraId="476B9BA0">
            <w:pPr>
              <w:pStyle w:val="382"/>
              <w:spacing w:before="62" w:line="256" w:lineRule="exact"/>
              <w:ind w:left="209"/>
              <w:rPr>
                <w:color w:val="auto"/>
                <w:highlight w:val="none"/>
              </w:rPr>
            </w:pPr>
            <w:r>
              <w:rPr>
                <w:color w:val="auto"/>
                <w:spacing w:val="-7"/>
                <w:position w:val="1"/>
                <w:highlight w:val="none"/>
              </w:rPr>
              <w:t>18</w:t>
            </w:r>
          </w:p>
        </w:tc>
        <w:tc>
          <w:tcPr>
            <w:tcW w:w="1166" w:type="dxa"/>
            <w:noWrap w:val="0"/>
            <w:vAlign w:val="top"/>
          </w:tcPr>
          <w:p w14:paraId="368A7BCD">
            <w:pPr>
              <w:pStyle w:val="382"/>
              <w:spacing w:before="196" w:line="307" w:lineRule="auto"/>
              <w:ind w:left="15" w:right="8" w:hanging="6"/>
              <w:rPr>
                <w:color w:val="auto"/>
                <w:highlight w:val="none"/>
              </w:rPr>
            </w:pPr>
            <w:r>
              <w:rPr>
                <w:color w:val="auto"/>
                <w:spacing w:val="4"/>
                <w:highlight w:val="none"/>
              </w:rPr>
              <w:t>A060810</w:t>
            </w:r>
            <w:r>
              <w:rPr>
                <w:color w:val="auto"/>
                <w:spacing w:val="-34"/>
                <w:highlight w:val="none"/>
              </w:rPr>
              <w:t xml:space="preserve"> </w:t>
            </w:r>
            <w:r>
              <w:rPr>
                <w:color w:val="auto"/>
                <w:spacing w:val="4"/>
                <w:highlight w:val="none"/>
              </w:rPr>
              <w:t>淋浴</w:t>
            </w:r>
            <w:r>
              <w:rPr>
                <w:color w:val="auto"/>
                <w:highlight w:val="none"/>
              </w:rPr>
              <w:t xml:space="preserve"> </w:t>
            </w:r>
            <w:r>
              <w:rPr>
                <w:color w:val="auto"/>
                <w:spacing w:val="1"/>
                <w:highlight w:val="none"/>
              </w:rPr>
              <w:t>器</w:t>
            </w:r>
          </w:p>
        </w:tc>
        <w:tc>
          <w:tcPr>
            <w:tcW w:w="1799" w:type="dxa"/>
            <w:noWrap w:val="0"/>
            <w:vAlign w:val="top"/>
          </w:tcPr>
          <w:p w14:paraId="723C754A">
            <w:pPr>
              <w:rPr>
                <w:rFonts w:ascii="Arial"/>
                <w:color w:val="auto"/>
                <w:sz w:val="21"/>
                <w:highlight w:val="none"/>
              </w:rPr>
            </w:pPr>
          </w:p>
        </w:tc>
        <w:tc>
          <w:tcPr>
            <w:tcW w:w="1914" w:type="dxa"/>
            <w:noWrap w:val="0"/>
            <w:vAlign w:val="top"/>
          </w:tcPr>
          <w:p w14:paraId="51E2969A">
            <w:pPr>
              <w:rPr>
                <w:rFonts w:ascii="Arial"/>
                <w:color w:val="auto"/>
                <w:sz w:val="21"/>
                <w:highlight w:val="none"/>
              </w:rPr>
            </w:pPr>
          </w:p>
        </w:tc>
        <w:tc>
          <w:tcPr>
            <w:tcW w:w="2969" w:type="dxa"/>
            <w:noWrap w:val="0"/>
            <w:vAlign w:val="top"/>
          </w:tcPr>
          <w:p w14:paraId="470F0C94">
            <w:pPr>
              <w:pStyle w:val="382"/>
              <w:spacing w:before="197" w:line="304" w:lineRule="auto"/>
              <w:ind w:left="22" w:right="11"/>
              <w:rPr>
                <w:color w:val="auto"/>
                <w:highlight w:val="none"/>
              </w:rPr>
            </w:pPr>
            <w:r>
              <w:rPr>
                <w:color w:val="auto"/>
                <w:spacing w:val="19"/>
                <w:highlight w:val="none"/>
              </w:rPr>
              <w:t>《淋浴器用水效率限定值及用水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28378）</w:t>
            </w:r>
          </w:p>
        </w:tc>
      </w:tr>
    </w:tbl>
    <w:p w14:paraId="66BBFA4A">
      <w:pPr>
        <w:spacing w:after="120" w:line="360" w:lineRule="auto"/>
        <w:rPr>
          <w:rFonts w:hint="eastAsia" w:ascii="宋体" w:hAnsi="宋体" w:eastAsia="宋体"/>
          <w:color w:val="auto"/>
          <w:szCs w:val="21"/>
          <w:highlight w:val="none"/>
          <w:lang w:eastAsia="zh-CN"/>
        </w:rPr>
      </w:pPr>
      <w:r>
        <w:rPr>
          <w:rFonts w:hint="eastAsia" w:ascii="宋体" w:hAnsi="宋体"/>
          <w:color w:val="auto"/>
          <w:spacing w:val="-3"/>
          <w:szCs w:val="21"/>
          <w:highlight w:val="none"/>
        </w:rPr>
        <w:t>注：1.节能产品认证应依据相关国家标准的最新版本</w:t>
      </w:r>
      <w:r>
        <w:rPr>
          <w:rFonts w:hint="eastAsia" w:ascii="宋体" w:hAnsi="宋体"/>
          <w:color w:val="auto"/>
          <w:spacing w:val="-3"/>
          <w:szCs w:val="21"/>
          <w:highlight w:val="none"/>
          <w:lang w:eastAsia="zh-CN"/>
        </w:rPr>
        <w:t>。</w:t>
      </w:r>
    </w:p>
    <w:p w14:paraId="3D133D0B">
      <w:pPr>
        <w:spacing w:after="120" w:line="360" w:lineRule="auto"/>
        <w:ind w:firstLine="465"/>
        <w:rPr>
          <w:color w:val="auto"/>
          <w:highlight w:val="none"/>
        </w:rPr>
        <w:sectPr>
          <w:headerReference r:id="rId13" w:type="first"/>
          <w:footerReference r:id="rId15" w:type="first"/>
          <w:headerReference r:id="rId12" w:type="default"/>
          <w:footerReference r:id="rId14" w:type="default"/>
          <w:pgSz w:w="11906" w:h="16838"/>
          <w:pgMar w:top="680" w:right="1417" w:bottom="680" w:left="1417" w:header="851" w:footer="992" w:gutter="0"/>
          <w:cols w:space="720" w:num="1"/>
          <w:titlePg/>
        </w:sectPr>
      </w:pPr>
      <w:r>
        <w:rPr>
          <w:rFonts w:hint="eastAsia" w:ascii="宋体" w:hAnsi="宋体"/>
          <w:color w:val="auto"/>
          <w:szCs w:val="21"/>
          <w:highlight w:val="none"/>
        </w:rPr>
        <w:t>2.以“★”标注的为政府强制采购产品。</w:t>
      </w:r>
    </w:p>
    <w:p w14:paraId="79117428">
      <w:pPr>
        <w:spacing w:line="528" w:lineRule="exact"/>
        <w:jc w:val="left"/>
        <w:rPr>
          <w:rFonts w:hint="eastAsia"/>
          <w:color w:val="auto"/>
          <w:sz w:val="28"/>
          <w:szCs w:val="28"/>
          <w:highlight w:val="none"/>
        </w:rPr>
      </w:pPr>
      <w:r>
        <w:rPr>
          <w:rFonts w:hint="eastAsia"/>
          <w:color w:val="auto"/>
          <w:sz w:val="28"/>
          <w:szCs w:val="28"/>
          <w:highlight w:val="none"/>
        </w:rPr>
        <w:t>附件4：</w:t>
      </w:r>
    </w:p>
    <w:p w14:paraId="423FB789">
      <w:pPr>
        <w:spacing w:line="528" w:lineRule="exact"/>
        <w:ind w:firstLine="280"/>
        <w:jc w:val="center"/>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环境标志产品政府采购品目清单</w:t>
      </w:r>
    </w:p>
    <w:tbl>
      <w:tblPr>
        <w:tblStyle w:val="385"/>
        <w:tblW w:w="105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772"/>
        <w:gridCol w:w="2148"/>
        <w:gridCol w:w="3543"/>
      </w:tblGrid>
      <w:tr w14:paraId="77663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375047B8">
            <w:pPr>
              <w:pStyle w:val="382"/>
              <w:spacing w:before="70" w:line="223" w:lineRule="auto"/>
              <w:ind w:left="129"/>
              <w:rPr>
                <w:color w:val="auto"/>
                <w:highlight w:val="none"/>
              </w:rPr>
            </w:pPr>
            <w:r>
              <w:rPr>
                <w:b/>
                <w:bCs/>
                <w:color w:val="auto"/>
                <w:spacing w:val="-12"/>
                <w:highlight w:val="none"/>
              </w:rPr>
              <w:t>品目</w:t>
            </w:r>
          </w:p>
          <w:p w14:paraId="214A5166">
            <w:pPr>
              <w:pStyle w:val="382"/>
              <w:spacing w:before="91" w:line="222" w:lineRule="auto"/>
              <w:ind w:left="114"/>
              <w:rPr>
                <w:color w:val="auto"/>
                <w:highlight w:val="none"/>
              </w:rPr>
            </w:pPr>
            <w:r>
              <w:rPr>
                <w:b/>
                <w:bCs/>
                <w:color w:val="auto"/>
                <w:spacing w:val="-4"/>
                <w:highlight w:val="none"/>
              </w:rPr>
              <w:t>序号</w:t>
            </w:r>
          </w:p>
        </w:tc>
        <w:tc>
          <w:tcPr>
            <w:tcW w:w="6462" w:type="dxa"/>
            <w:gridSpan w:val="3"/>
            <w:tcBorders>
              <w:top w:val="single" w:color="auto" w:sz="4" w:space="0"/>
              <w:left w:val="single" w:color="auto" w:sz="4" w:space="0"/>
              <w:bottom w:val="single" w:color="auto" w:sz="4" w:space="0"/>
              <w:right w:val="single" w:color="auto" w:sz="4" w:space="0"/>
            </w:tcBorders>
            <w:noWrap w:val="0"/>
            <w:vAlign w:val="top"/>
          </w:tcPr>
          <w:p w14:paraId="641DEC9C">
            <w:pPr>
              <w:pStyle w:val="382"/>
              <w:spacing w:before="224" w:line="222" w:lineRule="auto"/>
              <w:ind w:left="3054"/>
              <w:rPr>
                <w:color w:val="auto"/>
                <w:highlight w:val="none"/>
              </w:rPr>
            </w:pPr>
            <w:r>
              <w:rPr>
                <w:b/>
                <w:bCs/>
                <w:color w:val="auto"/>
                <w:spacing w:val="-6"/>
                <w:highlight w:val="none"/>
              </w:rPr>
              <w:t>名称</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7BE48401">
            <w:pPr>
              <w:pStyle w:val="382"/>
              <w:spacing w:before="224" w:line="219" w:lineRule="auto"/>
              <w:ind w:left="1325"/>
              <w:rPr>
                <w:color w:val="auto"/>
                <w:highlight w:val="none"/>
              </w:rPr>
            </w:pPr>
            <w:r>
              <w:rPr>
                <w:b/>
                <w:bCs/>
                <w:color w:val="auto"/>
                <w:spacing w:val="-4"/>
                <w:highlight w:val="none"/>
              </w:rPr>
              <w:t>依据的标准</w:t>
            </w:r>
          </w:p>
        </w:tc>
      </w:tr>
      <w:tr w14:paraId="293A8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4CB8D112">
            <w:pPr>
              <w:pStyle w:val="382"/>
              <w:spacing w:before="66" w:line="242" w:lineRule="auto"/>
              <w:ind w:left="128"/>
              <w:rPr>
                <w:color w:val="auto"/>
                <w:highlight w:val="none"/>
              </w:rPr>
            </w:pPr>
            <w:r>
              <w:rPr>
                <w:color w:val="auto"/>
                <w:highlight w:val="none"/>
              </w:rPr>
              <w:t>1</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0E5D7228">
            <w:pPr>
              <w:pStyle w:val="382"/>
              <w:spacing w:before="65" w:line="323" w:lineRule="auto"/>
              <w:ind w:left="110" w:right="108" w:hanging="8"/>
              <w:rPr>
                <w:color w:val="auto"/>
                <w:highlight w:val="none"/>
              </w:rPr>
            </w:pPr>
            <w:r>
              <w:rPr>
                <w:color w:val="auto"/>
                <w:spacing w:val="3"/>
                <w:highlight w:val="none"/>
              </w:rPr>
              <w:t>A020101</w:t>
            </w:r>
            <w:r>
              <w:rPr>
                <w:color w:val="auto"/>
                <w:spacing w:val="34"/>
                <w:highlight w:val="none"/>
              </w:rPr>
              <w:t xml:space="preserve"> </w:t>
            </w:r>
            <w:r>
              <w:rPr>
                <w:color w:val="auto"/>
                <w:spacing w:val="3"/>
                <w:highlight w:val="none"/>
              </w:rPr>
              <w:t>计算机</w:t>
            </w:r>
            <w:r>
              <w:rPr>
                <w:color w:val="auto"/>
                <w:highlight w:val="none"/>
              </w:rPr>
              <w:t xml:space="preserve"> </w:t>
            </w:r>
            <w:r>
              <w:rPr>
                <w:color w:val="auto"/>
                <w:spacing w:val="-3"/>
                <w:highlight w:val="none"/>
              </w:rPr>
              <w:t>设备</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768D400C">
            <w:pPr>
              <w:pStyle w:val="382"/>
              <w:spacing w:before="66" w:line="220" w:lineRule="auto"/>
              <w:ind w:left="103"/>
              <w:rPr>
                <w:color w:val="auto"/>
                <w:highlight w:val="none"/>
              </w:rPr>
            </w:pPr>
            <w:r>
              <w:rPr>
                <w:color w:val="auto"/>
                <w:spacing w:val="-1"/>
                <w:highlight w:val="none"/>
              </w:rPr>
              <w:t>A02010103</w:t>
            </w:r>
            <w:r>
              <w:rPr>
                <w:color w:val="auto"/>
                <w:spacing w:val="-32"/>
                <w:highlight w:val="none"/>
              </w:rPr>
              <w:t xml:space="preserve"> </w:t>
            </w:r>
            <w:r>
              <w:rPr>
                <w:color w:val="auto"/>
                <w:spacing w:val="-1"/>
                <w:highlight w:val="none"/>
              </w:rPr>
              <w:t>服务器</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5649BFF3">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56397B2C">
            <w:pPr>
              <w:pStyle w:val="382"/>
              <w:spacing w:before="66" w:line="219" w:lineRule="auto"/>
              <w:ind w:left="109"/>
              <w:rPr>
                <w:color w:val="auto"/>
                <w:highlight w:val="none"/>
              </w:rPr>
            </w:pPr>
            <w:r>
              <w:rPr>
                <w:color w:val="auto"/>
                <w:spacing w:val="-2"/>
                <w:highlight w:val="none"/>
              </w:rPr>
              <w:t>HJ2507</w:t>
            </w:r>
            <w:r>
              <w:rPr>
                <w:color w:val="auto"/>
                <w:spacing w:val="-20"/>
                <w:highlight w:val="none"/>
              </w:rPr>
              <w:t xml:space="preserve"> </w:t>
            </w:r>
            <w:r>
              <w:rPr>
                <w:color w:val="auto"/>
                <w:spacing w:val="-2"/>
                <w:highlight w:val="none"/>
              </w:rPr>
              <w:t>网络服务器</w:t>
            </w:r>
          </w:p>
        </w:tc>
      </w:tr>
      <w:tr w14:paraId="279B1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496D5B73">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2AD233F4">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24B3794F">
            <w:pPr>
              <w:pStyle w:val="382"/>
              <w:spacing w:before="65" w:line="219" w:lineRule="auto"/>
              <w:ind w:left="103"/>
              <w:rPr>
                <w:color w:val="auto"/>
                <w:highlight w:val="none"/>
              </w:rPr>
            </w:pPr>
            <w:r>
              <w:rPr>
                <w:color w:val="auto"/>
                <w:spacing w:val="-2"/>
                <w:highlight w:val="none"/>
              </w:rPr>
              <w:t>A02010104</w:t>
            </w:r>
            <w:r>
              <w:rPr>
                <w:color w:val="auto"/>
                <w:spacing w:val="-14"/>
                <w:highlight w:val="none"/>
              </w:rPr>
              <w:t xml:space="preserve"> </w:t>
            </w:r>
            <w:r>
              <w:rPr>
                <w:color w:val="auto"/>
                <w:spacing w:val="-2"/>
                <w:highlight w:val="none"/>
              </w:rPr>
              <w:t>台式计算机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0709391F">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46612EEB">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3C896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3C7CD960">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64DF59BB">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71BF9285">
            <w:pPr>
              <w:pStyle w:val="382"/>
              <w:spacing w:before="64" w:line="219" w:lineRule="auto"/>
              <w:ind w:left="103"/>
              <w:rPr>
                <w:color w:val="auto"/>
                <w:highlight w:val="none"/>
              </w:rPr>
            </w:pPr>
            <w:r>
              <w:rPr>
                <w:color w:val="auto"/>
                <w:spacing w:val="-1"/>
                <w:highlight w:val="none"/>
              </w:rPr>
              <w:t>A02010105</w:t>
            </w:r>
            <w:r>
              <w:rPr>
                <w:color w:val="auto"/>
                <w:spacing w:val="-30"/>
                <w:highlight w:val="none"/>
              </w:rPr>
              <w:t xml:space="preserve"> </w:t>
            </w:r>
            <w:r>
              <w:rPr>
                <w:color w:val="auto"/>
                <w:spacing w:val="-1"/>
                <w:highlight w:val="none"/>
              </w:rPr>
              <w:t>便携式计算机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7A42811E">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42474272">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057B4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4DDB7CFC">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7937E3DC">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7A03D001">
            <w:pPr>
              <w:pStyle w:val="382"/>
              <w:spacing w:before="64" w:line="219" w:lineRule="auto"/>
              <w:ind w:left="103"/>
              <w:rPr>
                <w:color w:val="auto"/>
                <w:highlight w:val="none"/>
              </w:rPr>
            </w:pPr>
            <w:r>
              <w:rPr>
                <w:color w:val="auto"/>
                <w:spacing w:val="-1"/>
                <w:highlight w:val="none"/>
              </w:rPr>
              <w:t>A02010107</w:t>
            </w:r>
            <w:r>
              <w:rPr>
                <w:color w:val="auto"/>
                <w:spacing w:val="-28"/>
                <w:highlight w:val="none"/>
              </w:rPr>
              <w:t xml:space="preserve"> </w:t>
            </w:r>
            <w:r>
              <w:rPr>
                <w:color w:val="auto"/>
                <w:spacing w:val="-1"/>
                <w:highlight w:val="none"/>
              </w:rPr>
              <w:t>平板式微型计算机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173EB588">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2B19FE5F">
            <w:pPr>
              <w:pStyle w:val="382"/>
              <w:spacing w:before="63"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25AA1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4EB66BCA">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51D4143C">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5E5A3FB0">
            <w:pPr>
              <w:pStyle w:val="382"/>
              <w:spacing w:before="65" w:line="219" w:lineRule="auto"/>
              <w:ind w:left="103"/>
              <w:rPr>
                <w:color w:val="auto"/>
                <w:highlight w:val="none"/>
              </w:rPr>
            </w:pPr>
            <w:r>
              <w:rPr>
                <w:color w:val="auto"/>
                <w:spacing w:val="-2"/>
                <w:highlight w:val="none"/>
              </w:rPr>
              <w:t>A02010108</w:t>
            </w:r>
            <w:r>
              <w:rPr>
                <w:color w:val="auto"/>
                <w:spacing w:val="32"/>
                <w:highlight w:val="none"/>
              </w:rPr>
              <w:t xml:space="preserve"> </w:t>
            </w:r>
            <w:r>
              <w:rPr>
                <w:color w:val="auto"/>
                <w:spacing w:val="-2"/>
                <w:highlight w:val="none"/>
              </w:rPr>
              <w:t>网络计算机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23558432">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447F8BD1">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6BCC1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1F48BB3B">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27E8B8AA">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41F8D848">
            <w:pPr>
              <w:pStyle w:val="382"/>
              <w:spacing w:before="64" w:line="219" w:lineRule="auto"/>
              <w:ind w:left="103"/>
              <w:rPr>
                <w:color w:val="auto"/>
                <w:highlight w:val="none"/>
              </w:rPr>
            </w:pPr>
            <w:r>
              <w:rPr>
                <w:color w:val="auto"/>
                <w:highlight w:val="none"/>
              </w:rPr>
              <w:t>A02010109 计算机工作站</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4423DC45">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74A128FA">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58FB2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3E17B969">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479C3E60">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1723CEE9">
            <w:pPr>
              <w:pStyle w:val="382"/>
              <w:spacing w:before="64" w:line="219" w:lineRule="auto"/>
              <w:ind w:left="103"/>
              <w:rPr>
                <w:color w:val="auto"/>
                <w:highlight w:val="none"/>
              </w:rPr>
            </w:pPr>
            <w:r>
              <w:rPr>
                <w:color w:val="auto"/>
                <w:spacing w:val="-1"/>
                <w:highlight w:val="none"/>
              </w:rPr>
              <w:t>A02010199</w:t>
            </w:r>
            <w:r>
              <w:rPr>
                <w:color w:val="auto"/>
                <w:spacing w:val="-29"/>
                <w:highlight w:val="none"/>
              </w:rPr>
              <w:t xml:space="preserve"> </w:t>
            </w:r>
            <w:r>
              <w:rPr>
                <w:color w:val="auto"/>
                <w:spacing w:val="-1"/>
                <w:highlight w:val="none"/>
              </w:rPr>
              <w:t>其他计算机设备</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6C8E5FF0">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3A1C2FA4">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1C3FE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486393B3">
            <w:pPr>
              <w:pStyle w:val="382"/>
              <w:spacing w:before="64" w:line="242" w:lineRule="auto"/>
              <w:ind w:left="116"/>
              <w:rPr>
                <w:color w:val="auto"/>
                <w:highlight w:val="none"/>
              </w:rPr>
            </w:pPr>
            <w:r>
              <w:rPr>
                <w:color w:val="auto"/>
                <w:highlight w:val="none"/>
              </w:rPr>
              <w:t>2</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66DC23DB">
            <w:pPr>
              <w:pStyle w:val="382"/>
              <w:spacing w:before="64" w:line="323" w:lineRule="auto"/>
              <w:ind w:left="123" w:right="108" w:hanging="21"/>
              <w:rPr>
                <w:color w:val="auto"/>
                <w:highlight w:val="none"/>
              </w:rPr>
            </w:pPr>
            <w:r>
              <w:rPr>
                <w:color w:val="auto"/>
                <w:spacing w:val="3"/>
                <w:highlight w:val="none"/>
              </w:rPr>
              <w:t>A020106</w:t>
            </w:r>
            <w:r>
              <w:rPr>
                <w:color w:val="auto"/>
                <w:spacing w:val="34"/>
                <w:highlight w:val="none"/>
              </w:rPr>
              <w:t xml:space="preserve"> </w:t>
            </w:r>
            <w:r>
              <w:rPr>
                <w:color w:val="auto"/>
                <w:spacing w:val="3"/>
                <w:highlight w:val="none"/>
              </w:rPr>
              <w:t>输入输</w:t>
            </w:r>
            <w:r>
              <w:rPr>
                <w:color w:val="auto"/>
                <w:highlight w:val="none"/>
              </w:rPr>
              <w:t xml:space="preserve"> </w:t>
            </w:r>
            <w:r>
              <w:rPr>
                <w:color w:val="auto"/>
                <w:spacing w:val="-5"/>
                <w:highlight w:val="none"/>
              </w:rPr>
              <w:t>出设备</w:t>
            </w:r>
          </w:p>
        </w:tc>
        <w:tc>
          <w:tcPr>
            <w:tcW w:w="2772" w:type="dxa"/>
            <w:vMerge w:val="restart"/>
            <w:tcBorders>
              <w:top w:val="single" w:color="auto" w:sz="4" w:space="0"/>
              <w:left w:val="single" w:color="auto" w:sz="4" w:space="0"/>
              <w:bottom w:val="single" w:color="auto" w:sz="4" w:space="0"/>
              <w:right w:val="single" w:color="auto" w:sz="4" w:space="0"/>
            </w:tcBorders>
            <w:noWrap w:val="0"/>
            <w:vAlign w:val="top"/>
          </w:tcPr>
          <w:p w14:paraId="06889FB8">
            <w:pPr>
              <w:pStyle w:val="382"/>
              <w:spacing w:before="64" w:line="220" w:lineRule="auto"/>
              <w:ind w:left="103"/>
              <w:rPr>
                <w:color w:val="auto"/>
                <w:highlight w:val="none"/>
              </w:rPr>
            </w:pPr>
            <w:r>
              <w:rPr>
                <w:color w:val="auto"/>
                <w:spacing w:val="-1"/>
                <w:highlight w:val="none"/>
              </w:rPr>
              <w:t>A02010601</w:t>
            </w:r>
            <w:r>
              <w:rPr>
                <w:color w:val="auto"/>
                <w:spacing w:val="-31"/>
                <w:highlight w:val="none"/>
              </w:rPr>
              <w:t xml:space="preserve"> </w:t>
            </w:r>
            <w:r>
              <w:rPr>
                <w:color w:val="auto"/>
                <w:spacing w:val="-1"/>
                <w:highlight w:val="none"/>
              </w:rPr>
              <w:t>打印设备</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441DF5C5">
            <w:pPr>
              <w:pStyle w:val="382"/>
              <w:spacing w:before="65" w:line="219" w:lineRule="auto"/>
              <w:ind w:left="105"/>
              <w:rPr>
                <w:color w:val="auto"/>
                <w:highlight w:val="none"/>
              </w:rPr>
            </w:pPr>
            <w:r>
              <w:rPr>
                <w:color w:val="auto"/>
                <w:highlight w:val="none"/>
              </w:rPr>
              <w:t>A0201060101 喷墨打印机</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65C5EDFD">
            <w:pPr>
              <w:pStyle w:val="382"/>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26F43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4C6B65F6">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476456C1">
            <w:pPr>
              <w:rPr>
                <w:rFonts w:ascii="Arial"/>
                <w:color w:val="auto"/>
                <w:sz w:val="21"/>
                <w:highlight w:val="none"/>
              </w:rPr>
            </w:pPr>
          </w:p>
        </w:tc>
        <w:tc>
          <w:tcPr>
            <w:tcW w:w="2772" w:type="dxa"/>
            <w:vMerge w:val="continue"/>
            <w:tcBorders>
              <w:top w:val="single" w:color="auto" w:sz="4" w:space="0"/>
              <w:left w:val="single" w:color="auto" w:sz="4" w:space="0"/>
              <w:bottom w:val="single" w:color="auto" w:sz="4" w:space="0"/>
              <w:right w:val="single" w:color="auto" w:sz="4" w:space="0"/>
            </w:tcBorders>
            <w:noWrap w:val="0"/>
            <w:vAlign w:val="top"/>
          </w:tcPr>
          <w:p w14:paraId="0A675E00">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4833B8E0">
            <w:pPr>
              <w:pStyle w:val="382"/>
              <w:spacing w:before="64" w:line="219" w:lineRule="auto"/>
              <w:ind w:left="105"/>
              <w:rPr>
                <w:color w:val="auto"/>
                <w:highlight w:val="none"/>
              </w:rPr>
            </w:pPr>
            <w:r>
              <w:rPr>
                <w:color w:val="auto"/>
                <w:highlight w:val="none"/>
              </w:rPr>
              <w:t>A0201060102 激光打印机</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6FEEA28A">
            <w:pPr>
              <w:pStyle w:val="382"/>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48CBA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1137BCB6">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48FDC4E6">
            <w:pPr>
              <w:rPr>
                <w:rFonts w:ascii="Arial"/>
                <w:color w:val="auto"/>
                <w:sz w:val="21"/>
                <w:highlight w:val="none"/>
              </w:rPr>
            </w:pPr>
          </w:p>
        </w:tc>
        <w:tc>
          <w:tcPr>
            <w:tcW w:w="2772" w:type="dxa"/>
            <w:vMerge w:val="continue"/>
            <w:tcBorders>
              <w:top w:val="single" w:color="auto" w:sz="4" w:space="0"/>
              <w:left w:val="single" w:color="auto" w:sz="4" w:space="0"/>
              <w:bottom w:val="single" w:color="auto" w:sz="4" w:space="0"/>
              <w:right w:val="single" w:color="auto" w:sz="4" w:space="0"/>
            </w:tcBorders>
            <w:noWrap w:val="0"/>
            <w:vAlign w:val="top"/>
          </w:tcPr>
          <w:p w14:paraId="1E37C3C5">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1B67A5B2">
            <w:pPr>
              <w:pStyle w:val="382"/>
              <w:spacing w:before="64" w:line="219" w:lineRule="auto"/>
              <w:ind w:left="105"/>
              <w:rPr>
                <w:color w:val="auto"/>
                <w:highlight w:val="none"/>
              </w:rPr>
            </w:pPr>
            <w:r>
              <w:rPr>
                <w:color w:val="auto"/>
                <w:highlight w:val="none"/>
              </w:rPr>
              <w:t>A0201060103 热式打印机</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4DD84287">
            <w:pPr>
              <w:pStyle w:val="382"/>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60D94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3D5FE828">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3612AE6A">
            <w:pPr>
              <w:rPr>
                <w:rFonts w:ascii="Arial"/>
                <w:color w:val="auto"/>
                <w:sz w:val="21"/>
                <w:highlight w:val="none"/>
              </w:rPr>
            </w:pPr>
          </w:p>
        </w:tc>
        <w:tc>
          <w:tcPr>
            <w:tcW w:w="2772" w:type="dxa"/>
            <w:vMerge w:val="continue"/>
            <w:tcBorders>
              <w:top w:val="single" w:color="auto" w:sz="4" w:space="0"/>
              <w:left w:val="single" w:color="auto" w:sz="4" w:space="0"/>
              <w:bottom w:val="single" w:color="auto" w:sz="4" w:space="0"/>
              <w:right w:val="single" w:color="auto" w:sz="4" w:space="0"/>
            </w:tcBorders>
            <w:noWrap w:val="0"/>
            <w:vAlign w:val="top"/>
          </w:tcPr>
          <w:p w14:paraId="7B6BD203">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505AE81E">
            <w:pPr>
              <w:pStyle w:val="382"/>
              <w:spacing w:before="65" w:line="219" w:lineRule="auto"/>
              <w:ind w:left="105"/>
              <w:rPr>
                <w:color w:val="auto"/>
                <w:highlight w:val="none"/>
              </w:rPr>
            </w:pPr>
            <w:r>
              <w:rPr>
                <w:color w:val="auto"/>
                <w:highlight w:val="none"/>
              </w:rPr>
              <w:t>A0201060104 针式打印机</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0B41655C">
            <w:pPr>
              <w:pStyle w:val="382"/>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10CB8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163D4FB6">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4A5B890E">
            <w:pPr>
              <w:rPr>
                <w:rFonts w:ascii="Arial"/>
                <w:color w:val="auto"/>
                <w:sz w:val="21"/>
                <w:highlight w:val="none"/>
              </w:rPr>
            </w:pPr>
          </w:p>
        </w:tc>
        <w:tc>
          <w:tcPr>
            <w:tcW w:w="2772" w:type="dxa"/>
            <w:vMerge w:val="restart"/>
            <w:tcBorders>
              <w:top w:val="single" w:color="auto" w:sz="4" w:space="0"/>
              <w:left w:val="single" w:color="auto" w:sz="4" w:space="0"/>
              <w:bottom w:val="single" w:color="auto" w:sz="4" w:space="0"/>
              <w:right w:val="single" w:color="auto" w:sz="4" w:space="0"/>
            </w:tcBorders>
            <w:noWrap w:val="0"/>
            <w:vAlign w:val="top"/>
          </w:tcPr>
          <w:p w14:paraId="6EA8162F">
            <w:pPr>
              <w:pStyle w:val="382"/>
              <w:spacing w:before="64" w:line="222" w:lineRule="auto"/>
              <w:ind w:left="103"/>
              <w:rPr>
                <w:color w:val="auto"/>
                <w:highlight w:val="none"/>
              </w:rPr>
            </w:pPr>
            <w:r>
              <w:rPr>
                <w:color w:val="auto"/>
                <w:highlight w:val="none"/>
              </w:rPr>
              <w:t>A02010604 显示设备</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3D1AAEBD">
            <w:pPr>
              <w:pStyle w:val="382"/>
              <w:spacing w:before="64" w:line="221" w:lineRule="auto"/>
              <w:ind w:left="105"/>
              <w:rPr>
                <w:color w:val="auto"/>
                <w:highlight w:val="none"/>
              </w:rPr>
            </w:pPr>
            <w:r>
              <w:rPr>
                <w:color w:val="auto"/>
                <w:highlight w:val="none"/>
              </w:rPr>
              <w:t>A0201060401 液晶显示器</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789C046B">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33416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37A02EDF">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33842717">
            <w:pPr>
              <w:rPr>
                <w:rFonts w:ascii="Arial"/>
                <w:color w:val="auto"/>
                <w:sz w:val="21"/>
                <w:highlight w:val="none"/>
              </w:rPr>
            </w:pPr>
          </w:p>
        </w:tc>
        <w:tc>
          <w:tcPr>
            <w:tcW w:w="2772" w:type="dxa"/>
            <w:vMerge w:val="continue"/>
            <w:tcBorders>
              <w:top w:val="single" w:color="auto" w:sz="4" w:space="0"/>
              <w:left w:val="single" w:color="auto" w:sz="4" w:space="0"/>
              <w:bottom w:val="single" w:color="auto" w:sz="4" w:space="0"/>
              <w:right w:val="single" w:color="auto" w:sz="4" w:space="0"/>
            </w:tcBorders>
            <w:noWrap w:val="0"/>
            <w:vAlign w:val="top"/>
          </w:tcPr>
          <w:p w14:paraId="6CBF25D1">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09D9D101">
            <w:pPr>
              <w:pStyle w:val="382"/>
              <w:spacing w:before="64" w:line="221" w:lineRule="auto"/>
              <w:ind w:left="105"/>
              <w:rPr>
                <w:color w:val="auto"/>
                <w:highlight w:val="none"/>
              </w:rPr>
            </w:pPr>
            <w:r>
              <w:rPr>
                <w:color w:val="auto"/>
                <w:highlight w:val="none"/>
              </w:rPr>
              <w:t>A0201060499 其他显示器</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58874D99">
            <w:pPr>
              <w:pStyle w:val="382"/>
              <w:spacing w:before="63"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07780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7C64B8DC">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219BDFBD">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085E0A6E">
            <w:pPr>
              <w:pStyle w:val="382"/>
              <w:spacing w:before="64" w:line="220" w:lineRule="auto"/>
              <w:ind w:left="103"/>
              <w:rPr>
                <w:color w:val="auto"/>
                <w:highlight w:val="none"/>
              </w:rPr>
            </w:pPr>
            <w:r>
              <w:rPr>
                <w:color w:val="auto"/>
                <w:spacing w:val="-2"/>
                <w:highlight w:val="none"/>
              </w:rPr>
              <w:t>A02010609</w:t>
            </w:r>
            <w:r>
              <w:rPr>
                <w:color w:val="auto"/>
                <w:spacing w:val="-9"/>
                <w:highlight w:val="none"/>
              </w:rPr>
              <w:t xml:space="preserve"> </w:t>
            </w:r>
            <w:r>
              <w:rPr>
                <w:color w:val="auto"/>
                <w:spacing w:val="-2"/>
                <w:highlight w:val="none"/>
              </w:rPr>
              <w:t>图形图像输入设备</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753BCF27">
            <w:pPr>
              <w:pStyle w:val="382"/>
              <w:spacing w:before="64" w:line="220" w:lineRule="auto"/>
              <w:ind w:left="105"/>
              <w:rPr>
                <w:color w:val="auto"/>
                <w:highlight w:val="none"/>
              </w:rPr>
            </w:pPr>
            <w:r>
              <w:rPr>
                <w:color w:val="auto"/>
                <w:highlight w:val="none"/>
              </w:rPr>
              <w:t>A0201060901 扫描仪</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17F49FB2">
            <w:pPr>
              <w:pStyle w:val="382"/>
              <w:spacing w:before="64" w:line="219" w:lineRule="auto"/>
              <w:ind w:left="109"/>
              <w:rPr>
                <w:color w:val="auto"/>
                <w:highlight w:val="none"/>
              </w:rPr>
            </w:pPr>
            <w:r>
              <w:rPr>
                <w:color w:val="auto"/>
                <w:spacing w:val="-1"/>
                <w:highlight w:val="none"/>
              </w:rPr>
              <w:t>HJ2517</w:t>
            </w:r>
            <w:r>
              <w:rPr>
                <w:color w:val="auto"/>
                <w:spacing w:val="-34"/>
                <w:highlight w:val="none"/>
              </w:rPr>
              <w:t xml:space="preserve"> </w:t>
            </w:r>
            <w:r>
              <w:rPr>
                <w:color w:val="auto"/>
                <w:spacing w:val="-1"/>
                <w:highlight w:val="none"/>
              </w:rPr>
              <w:t>扫描仪</w:t>
            </w:r>
          </w:p>
        </w:tc>
      </w:tr>
      <w:tr w14:paraId="6E7A1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55E23F15">
            <w:pPr>
              <w:pStyle w:val="382"/>
              <w:spacing w:before="64"/>
              <w:ind w:left="118"/>
              <w:rPr>
                <w:color w:val="auto"/>
                <w:highlight w:val="none"/>
              </w:rPr>
            </w:pPr>
            <w:r>
              <w:rPr>
                <w:color w:val="auto"/>
                <w:highlight w:val="none"/>
              </w:rPr>
              <w:t>3</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55F782D3">
            <w:pPr>
              <w:pStyle w:val="382"/>
              <w:spacing w:before="64" w:line="220" w:lineRule="auto"/>
              <w:ind w:left="102"/>
              <w:rPr>
                <w:color w:val="auto"/>
                <w:highlight w:val="none"/>
              </w:rPr>
            </w:pPr>
            <w:r>
              <w:rPr>
                <w:color w:val="auto"/>
                <w:spacing w:val="-1"/>
                <w:highlight w:val="none"/>
              </w:rPr>
              <w:t>A020202</w:t>
            </w:r>
            <w:r>
              <w:rPr>
                <w:color w:val="auto"/>
                <w:spacing w:val="-33"/>
                <w:highlight w:val="none"/>
              </w:rPr>
              <w:t xml:space="preserve"> </w:t>
            </w:r>
            <w:r>
              <w:rPr>
                <w:color w:val="auto"/>
                <w:spacing w:val="-1"/>
                <w:highlight w:val="none"/>
              </w:rPr>
              <w:t>投影仪</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16DFEDAE">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32EEA775">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45606612">
            <w:pPr>
              <w:pStyle w:val="382"/>
              <w:spacing w:before="64" w:line="219" w:lineRule="auto"/>
              <w:ind w:left="109"/>
              <w:rPr>
                <w:color w:val="auto"/>
                <w:highlight w:val="none"/>
              </w:rPr>
            </w:pPr>
            <w:r>
              <w:rPr>
                <w:color w:val="auto"/>
                <w:spacing w:val="-1"/>
                <w:highlight w:val="none"/>
              </w:rPr>
              <w:t>HJ2516</w:t>
            </w:r>
            <w:r>
              <w:rPr>
                <w:color w:val="auto"/>
                <w:spacing w:val="-34"/>
                <w:highlight w:val="none"/>
              </w:rPr>
              <w:t xml:space="preserve"> </w:t>
            </w:r>
            <w:r>
              <w:rPr>
                <w:color w:val="auto"/>
                <w:spacing w:val="-1"/>
                <w:highlight w:val="none"/>
              </w:rPr>
              <w:t>投影仪</w:t>
            </w:r>
          </w:p>
        </w:tc>
      </w:tr>
      <w:tr w14:paraId="2FB0F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095E678B">
            <w:pPr>
              <w:pStyle w:val="382"/>
              <w:spacing w:before="64" w:line="242" w:lineRule="auto"/>
              <w:ind w:left="114"/>
              <w:rPr>
                <w:color w:val="auto"/>
                <w:highlight w:val="none"/>
              </w:rPr>
            </w:pPr>
            <w:r>
              <w:rPr>
                <w:color w:val="auto"/>
                <w:highlight w:val="none"/>
              </w:rPr>
              <w:t>4</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3BB0B586">
            <w:pPr>
              <w:pStyle w:val="382"/>
              <w:spacing w:before="64" w:line="219" w:lineRule="auto"/>
              <w:ind w:left="102"/>
              <w:rPr>
                <w:color w:val="auto"/>
                <w:highlight w:val="none"/>
              </w:rPr>
            </w:pPr>
            <w:r>
              <w:rPr>
                <w:color w:val="auto"/>
                <w:spacing w:val="-1"/>
                <w:highlight w:val="none"/>
              </w:rPr>
              <w:t>A020201</w:t>
            </w:r>
            <w:r>
              <w:rPr>
                <w:color w:val="auto"/>
                <w:spacing w:val="-32"/>
                <w:highlight w:val="none"/>
              </w:rPr>
              <w:t xml:space="preserve"> </w:t>
            </w:r>
            <w:r>
              <w:rPr>
                <w:color w:val="auto"/>
                <w:spacing w:val="-1"/>
                <w:highlight w:val="none"/>
              </w:rPr>
              <w:t>复印机</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1184954A">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5CB12272">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7A3EF398">
            <w:pPr>
              <w:pStyle w:val="382"/>
              <w:spacing w:before="64" w:line="219" w:lineRule="auto"/>
              <w:ind w:left="109"/>
              <w:rPr>
                <w:color w:val="auto"/>
                <w:highlight w:val="none"/>
              </w:rPr>
            </w:pPr>
            <w:r>
              <w:rPr>
                <w:color w:val="auto"/>
                <w:highlight w:val="none"/>
              </w:rPr>
              <w:t>HJ424 数字式复印（包括多功能）设备</w:t>
            </w:r>
          </w:p>
        </w:tc>
      </w:tr>
      <w:tr w14:paraId="3049C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25904DC4">
            <w:pPr>
              <w:pStyle w:val="382"/>
              <w:spacing w:before="65"/>
              <w:ind w:left="118"/>
              <w:rPr>
                <w:color w:val="auto"/>
                <w:highlight w:val="none"/>
              </w:rPr>
            </w:pPr>
            <w:r>
              <w:rPr>
                <w:color w:val="auto"/>
                <w:highlight w:val="none"/>
              </w:rPr>
              <w:t>5</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4045D099">
            <w:pPr>
              <w:pStyle w:val="382"/>
              <w:spacing w:before="64" w:line="284" w:lineRule="auto"/>
              <w:ind w:left="110" w:right="108" w:hanging="8"/>
              <w:rPr>
                <w:color w:val="auto"/>
                <w:highlight w:val="none"/>
              </w:rPr>
            </w:pPr>
            <w:r>
              <w:rPr>
                <w:color w:val="auto"/>
                <w:spacing w:val="2"/>
                <w:highlight w:val="none"/>
              </w:rPr>
              <w:t>A020204</w:t>
            </w:r>
            <w:r>
              <w:rPr>
                <w:color w:val="auto"/>
                <w:spacing w:val="44"/>
                <w:highlight w:val="none"/>
              </w:rPr>
              <w:t xml:space="preserve"> </w:t>
            </w:r>
            <w:r>
              <w:rPr>
                <w:color w:val="auto"/>
                <w:spacing w:val="2"/>
                <w:highlight w:val="none"/>
              </w:rPr>
              <w:t>多功能</w:t>
            </w:r>
            <w:r>
              <w:rPr>
                <w:color w:val="auto"/>
                <w:highlight w:val="none"/>
              </w:rPr>
              <w:t xml:space="preserve"> </w:t>
            </w:r>
            <w:r>
              <w:rPr>
                <w:color w:val="auto"/>
                <w:spacing w:val="-4"/>
                <w:highlight w:val="none"/>
              </w:rPr>
              <w:t>一体机</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6AC2D622">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1E915040">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33611ACB">
            <w:pPr>
              <w:pStyle w:val="382"/>
              <w:spacing w:before="64" w:line="219" w:lineRule="auto"/>
              <w:ind w:left="109"/>
              <w:rPr>
                <w:color w:val="auto"/>
                <w:highlight w:val="none"/>
              </w:rPr>
            </w:pPr>
            <w:r>
              <w:rPr>
                <w:color w:val="auto"/>
                <w:highlight w:val="none"/>
              </w:rPr>
              <w:t>HJ424 数字式复印（包括多功能）设备</w:t>
            </w:r>
          </w:p>
        </w:tc>
      </w:tr>
      <w:tr w14:paraId="1D6BA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2BDAA375">
            <w:pPr>
              <w:pStyle w:val="382"/>
              <w:spacing w:before="65"/>
              <w:ind w:left="116"/>
              <w:rPr>
                <w:color w:val="auto"/>
                <w:highlight w:val="none"/>
              </w:rPr>
            </w:pPr>
            <w:r>
              <w:rPr>
                <w:color w:val="auto"/>
                <w:highlight w:val="none"/>
              </w:rPr>
              <w:t>6</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04D9CF88">
            <w:pPr>
              <w:pStyle w:val="382"/>
              <w:spacing w:before="66" w:line="283" w:lineRule="auto"/>
              <w:ind w:left="109" w:right="108" w:hanging="7"/>
              <w:rPr>
                <w:color w:val="auto"/>
                <w:highlight w:val="none"/>
              </w:rPr>
            </w:pPr>
            <w:r>
              <w:rPr>
                <w:color w:val="auto"/>
                <w:spacing w:val="-1"/>
                <w:highlight w:val="none"/>
              </w:rPr>
              <w:t>A020210</w:t>
            </w:r>
            <w:r>
              <w:rPr>
                <w:color w:val="auto"/>
                <w:spacing w:val="32"/>
                <w:highlight w:val="none"/>
              </w:rPr>
              <w:t xml:space="preserve"> </w:t>
            </w:r>
            <w:r>
              <w:rPr>
                <w:color w:val="auto"/>
                <w:spacing w:val="-1"/>
                <w:highlight w:val="none"/>
              </w:rPr>
              <w:t>文</w:t>
            </w:r>
            <w:r>
              <w:rPr>
                <w:color w:val="auto"/>
                <w:spacing w:val="-48"/>
                <w:highlight w:val="none"/>
              </w:rPr>
              <w:t xml:space="preserve"> </w:t>
            </w:r>
            <w:r>
              <w:rPr>
                <w:color w:val="auto"/>
                <w:spacing w:val="-1"/>
                <w:highlight w:val="none"/>
              </w:rPr>
              <w:t>印设</w:t>
            </w:r>
            <w:r>
              <w:rPr>
                <w:color w:val="auto"/>
                <w:highlight w:val="none"/>
              </w:rPr>
              <w:t xml:space="preserve"> 备</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1698B582">
            <w:pPr>
              <w:pStyle w:val="382"/>
              <w:spacing w:before="65" w:line="219" w:lineRule="auto"/>
              <w:ind w:left="103"/>
              <w:rPr>
                <w:color w:val="auto"/>
                <w:highlight w:val="none"/>
              </w:rPr>
            </w:pPr>
            <w:r>
              <w:rPr>
                <w:color w:val="auto"/>
                <w:highlight w:val="none"/>
              </w:rPr>
              <w:t>A02021001 速印机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62DC2E03">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22DFBF41">
            <w:pPr>
              <w:pStyle w:val="382"/>
              <w:spacing w:before="65" w:line="219" w:lineRule="auto"/>
              <w:ind w:left="109"/>
              <w:rPr>
                <w:color w:val="auto"/>
                <w:highlight w:val="none"/>
              </w:rPr>
            </w:pPr>
            <w:r>
              <w:rPr>
                <w:color w:val="auto"/>
                <w:spacing w:val="-1"/>
                <w:highlight w:val="none"/>
              </w:rPr>
              <w:t>HJ472 数字式一体化速印机</w:t>
            </w:r>
          </w:p>
        </w:tc>
      </w:tr>
      <w:tr w14:paraId="2CEB6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65694048">
            <w:pPr>
              <w:pStyle w:val="382"/>
              <w:spacing w:before="66"/>
              <w:ind w:left="119"/>
              <w:rPr>
                <w:color w:val="auto"/>
                <w:highlight w:val="none"/>
              </w:rPr>
            </w:pPr>
            <w:r>
              <w:rPr>
                <w:color w:val="auto"/>
                <w:highlight w:val="none"/>
              </w:rPr>
              <w:t>7</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1D94BC35">
            <w:pPr>
              <w:pStyle w:val="382"/>
              <w:spacing w:before="67" w:line="301" w:lineRule="auto"/>
              <w:ind w:left="109" w:right="32" w:hanging="7"/>
              <w:rPr>
                <w:color w:val="auto"/>
                <w:highlight w:val="none"/>
              </w:rPr>
            </w:pPr>
            <w:r>
              <w:rPr>
                <w:color w:val="auto"/>
                <w:spacing w:val="3"/>
                <w:highlight w:val="none"/>
              </w:rPr>
              <w:t>A020301</w:t>
            </w:r>
            <w:r>
              <w:rPr>
                <w:color w:val="auto"/>
                <w:spacing w:val="34"/>
                <w:highlight w:val="none"/>
              </w:rPr>
              <w:t xml:space="preserve"> </w:t>
            </w:r>
            <w:r>
              <w:rPr>
                <w:color w:val="auto"/>
                <w:spacing w:val="3"/>
                <w:highlight w:val="none"/>
              </w:rPr>
              <w:t>载货汽</w:t>
            </w:r>
            <w:r>
              <w:rPr>
                <w:color w:val="auto"/>
                <w:highlight w:val="none"/>
              </w:rPr>
              <w:t xml:space="preserve">  </w:t>
            </w:r>
            <w:r>
              <w:rPr>
                <w:color w:val="auto"/>
                <w:spacing w:val="-6"/>
                <w:highlight w:val="none"/>
              </w:rPr>
              <w:t>车（含自卸汽车）</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5294A138">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11EB8B5E">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0997D4A3">
            <w:pPr>
              <w:pStyle w:val="382"/>
              <w:spacing w:before="65"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7AFFB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2A4D7A70">
            <w:pPr>
              <w:pStyle w:val="382"/>
              <w:spacing w:before="67"/>
              <w:ind w:left="115"/>
              <w:rPr>
                <w:color w:val="auto"/>
                <w:highlight w:val="none"/>
              </w:rPr>
            </w:pPr>
            <w:r>
              <w:rPr>
                <w:color w:val="auto"/>
                <w:highlight w:val="none"/>
              </w:rPr>
              <w:t>8</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4D29968B">
            <w:pPr>
              <w:pStyle w:val="382"/>
              <w:spacing w:before="66" w:line="322" w:lineRule="auto"/>
              <w:ind w:left="112" w:right="108" w:hanging="10"/>
              <w:rPr>
                <w:color w:val="auto"/>
                <w:highlight w:val="none"/>
              </w:rPr>
            </w:pPr>
            <w:r>
              <w:rPr>
                <w:color w:val="auto"/>
                <w:spacing w:val="3"/>
                <w:highlight w:val="none"/>
              </w:rPr>
              <w:t>A020305</w:t>
            </w:r>
            <w:r>
              <w:rPr>
                <w:color w:val="auto"/>
                <w:spacing w:val="34"/>
                <w:highlight w:val="none"/>
              </w:rPr>
              <w:t xml:space="preserve"> </w:t>
            </w:r>
            <w:r>
              <w:rPr>
                <w:color w:val="auto"/>
                <w:spacing w:val="3"/>
                <w:highlight w:val="none"/>
              </w:rPr>
              <w:t>乘用车</w:t>
            </w:r>
            <w:r>
              <w:rPr>
                <w:color w:val="auto"/>
                <w:highlight w:val="none"/>
              </w:rPr>
              <w:t xml:space="preserve"> </w:t>
            </w:r>
            <w:r>
              <w:rPr>
                <w:color w:val="auto"/>
                <w:spacing w:val="-3"/>
                <w:highlight w:val="none"/>
              </w:rPr>
              <w:t>（轿车）</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6D372137">
            <w:pPr>
              <w:pStyle w:val="382"/>
              <w:spacing w:before="66" w:line="220" w:lineRule="auto"/>
              <w:ind w:left="103"/>
              <w:rPr>
                <w:color w:val="auto"/>
                <w:highlight w:val="none"/>
              </w:rPr>
            </w:pPr>
            <w:r>
              <w:rPr>
                <w:color w:val="auto"/>
                <w:highlight w:val="none"/>
              </w:rPr>
              <w:t>A02030501 轿车</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4537A78D">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1D8C9458">
            <w:pPr>
              <w:pStyle w:val="382"/>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234EC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49BEDD4F">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0D46D184">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1C8DB955">
            <w:pPr>
              <w:pStyle w:val="382"/>
              <w:spacing w:before="66" w:line="220" w:lineRule="auto"/>
              <w:ind w:left="103"/>
              <w:rPr>
                <w:color w:val="auto"/>
                <w:highlight w:val="none"/>
              </w:rPr>
            </w:pPr>
            <w:r>
              <w:rPr>
                <w:color w:val="auto"/>
                <w:spacing w:val="-1"/>
                <w:highlight w:val="none"/>
              </w:rPr>
              <w:t>A02030599</w:t>
            </w:r>
            <w:r>
              <w:rPr>
                <w:color w:val="auto"/>
                <w:spacing w:val="-28"/>
                <w:highlight w:val="none"/>
              </w:rPr>
              <w:t xml:space="preserve"> </w:t>
            </w:r>
            <w:r>
              <w:rPr>
                <w:color w:val="auto"/>
                <w:spacing w:val="-1"/>
                <w:highlight w:val="none"/>
              </w:rPr>
              <w:t>其他乘用车（轿车）</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0CE5BAA9">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4C6D2902">
            <w:pPr>
              <w:pStyle w:val="382"/>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40730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464B12EC">
            <w:pPr>
              <w:pStyle w:val="382"/>
              <w:spacing w:before="66"/>
              <w:ind w:left="115"/>
              <w:rPr>
                <w:color w:val="auto"/>
                <w:highlight w:val="none"/>
              </w:rPr>
            </w:pPr>
            <w:r>
              <w:rPr>
                <w:color w:val="auto"/>
                <w:highlight w:val="none"/>
              </w:rPr>
              <w:t>9</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428B645F">
            <w:pPr>
              <w:pStyle w:val="382"/>
              <w:spacing w:before="66" w:line="220" w:lineRule="auto"/>
              <w:ind w:left="102"/>
              <w:rPr>
                <w:color w:val="auto"/>
                <w:highlight w:val="none"/>
              </w:rPr>
            </w:pPr>
            <w:r>
              <w:rPr>
                <w:color w:val="auto"/>
                <w:spacing w:val="-1"/>
                <w:highlight w:val="none"/>
              </w:rPr>
              <w:t>A020306</w:t>
            </w:r>
            <w:r>
              <w:rPr>
                <w:color w:val="auto"/>
                <w:spacing w:val="-33"/>
                <w:highlight w:val="none"/>
              </w:rPr>
              <w:t xml:space="preserve"> </w:t>
            </w:r>
            <w:r>
              <w:rPr>
                <w:color w:val="auto"/>
                <w:spacing w:val="-1"/>
                <w:highlight w:val="none"/>
              </w:rPr>
              <w:t>客车</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3A640811">
            <w:pPr>
              <w:pStyle w:val="382"/>
              <w:spacing w:before="66" w:line="220" w:lineRule="auto"/>
              <w:ind w:left="103"/>
              <w:rPr>
                <w:color w:val="auto"/>
                <w:highlight w:val="none"/>
              </w:rPr>
            </w:pPr>
            <w:r>
              <w:rPr>
                <w:color w:val="auto"/>
                <w:spacing w:val="-1"/>
                <w:highlight w:val="none"/>
              </w:rPr>
              <w:t>A02030601</w:t>
            </w:r>
            <w:r>
              <w:rPr>
                <w:color w:val="auto"/>
                <w:spacing w:val="-30"/>
                <w:highlight w:val="none"/>
              </w:rPr>
              <w:t xml:space="preserve"> </w:t>
            </w:r>
            <w:r>
              <w:rPr>
                <w:color w:val="auto"/>
                <w:spacing w:val="-1"/>
                <w:highlight w:val="none"/>
              </w:rPr>
              <w:t>小型客车</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1CE17AF1">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4401CBA4">
            <w:pPr>
              <w:pStyle w:val="382"/>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753E5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26B4FC81">
            <w:pPr>
              <w:pStyle w:val="382"/>
              <w:spacing w:before="67"/>
              <w:ind w:left="128"/>
              <w:rPr>
                <w:color w:val="auto"/>
                <w:highlight w:val="none"/>
              </w:rPr>
            </w:pPr>
            <w:r>
              <w:rPr>
                <w:color w:val="auto"/>
                <w:spacing w:val="-10"/>
                <w:highlight w:val="none"/>
              </w:rPr>
              <w:t>10</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5FA7C7EF">
            <w:pPr>
              <w:pStyle w:val="382"/>
              <w:spacing w:before="66" w:line="283" w:lineRule="auto"/>
              <w:ind w:left="106" w:right="108" w:hanging="4"/>
              <w:rPr>
                <w:color w:val="auto"/>
                <w:spacing w:val="34"/>
                <w:highlight w:val="none"/>
              </w:rPr>
            </w:pPr>
            <w:r>
              <w:rPr>
                <w:color w:val="auto"/>
                <w:spacing w:val="3"/>
                <w:highlight w:val="none"/>
              </w:rPr>
              <w:t>A020307</w:t>
            </w:r>
            <w:r>
              <w:rPr>
                <w:color w:val="auto"/>
                <w:spacing w:val="34"/>
                <w:highlight w:val="none"/>
              </w:rPr>
              <w:t xml:space="preserve"> </w:t>
            </w:r>
          </w:p>
          <w:p w14:paraId="1AADF7DB">
            <w:pPr>
              <w:pStyle w:val="382"/>
              <w:spacing w:before="66" w:line="283" w:lineRule="auto"/>
              <w:ind w:left="106" w:right="108" w:hanging="4"/>
              <w:rPr>
                <w:color w:val="auto"/>
                <w:highlight w:val="none"/>
              </w:rPr>
            </w:pPr>
            <w:r>
              <w:rPr>
                <w:color w:val="auto"/>
                <w:spacing w:val="3"/>
                <w:highlight w:val="none"/>
              </w:rPr>
              <w:t>专用车</w:t>
            </w:r>
            <w:r>
              <w:rPr>
                <w:color w:val="auto"/>
                <w:highlight w:val="none"/>
              </w:rPr>
              <w:t>辆</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2B87FE28">
            <w:pPr>
              <w:pStyle w:val="382"/>
              <w:spacing w:before="66" w:line="220" w:lineRule="auto"/>
              <w:ind w:left="103"/>
              <w:rPr>
                <w:color w:val="auto"/>
                <w:highlight w:val="none"/>
              </w:rPr>
            </w:pPr>
            <w:r>
              <w:rPr>
                <w:color w:val="auto"/>
                <w:spacing w:val="-1"/>
                <w:highlight w:val="none"/>
              </w:rPr>
              <w:t>A02030799</w:t>
            </w:r>
            <w:r>
              <w:rPr>
                <w:color w:val="auto"/>
                <w:spacing w:val="-30"/>
                <w:highlight w:val="none"/>
              </w:rPr>
              <w:t xml:space="preserve"> </w:t>
            </w:r>
            <w:r>
              <w:rPr>
                <w:color w:val="auto"/>
                <w:spacing w:val="-1"/>
                <w:highlight w:val="none"/>
              </w:rPr>
              <w:t>其他专用汽车</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04A1DD9B">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3D5FB2E9">
            <w:pPr>
              <w:pStyle w:val="382"/>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5FC05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6CCA7D70">
            <w:pPr>
              <w:pStyle w:val="382"/>
              <w:spacing w:before="69" w:line="242" w:lineRule="auto"/>
              <w:ind w:left="128"/>
              <w:rPr>
                <w:color w:val="auto"/>
                <w:highlight w:val="none"/>
              </w:rPr>
            </w:pPr>
            <w:r>
              <w:rPr>
                <w:color w:val="auto"/>
                <w:spacing w:val="-10"/>
                <w:highlight w:val="none"/>
              </w:rPr>
              <w:t>11</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04AFA45C">
            <w:pPr>
              <w:pStyle w:val="382"/>
              <w:spacing w:before="69" w:line="323" w:lineRule="auto"/>
              <w:ind w:left="109" w:right="108" w:hanging="7"/>
              <w:rPr>
                <w:color w:val="auto"/>
                <w:highlight w:val="none"/>
              </w:rPr>
            </w:pPr>
            <w:r>
              <w:rPr>
                <w:color w:val="auto"/>
                <w:spacing w:val="3"/>
                <w:highlight w:val="none"/>
              </w:rPr>
              <w:t>A020523</w:t>
            </w:r>
            <w:r>
              <w:rPr>
                <w:color w:val="auto"/>
                <w:spacing w:val="34"/>
                <w:highlight w:val="none"/>
              </w:rPr>
              <w:t xml:space="preserve"> </w:t>
            </w:r>
            <w:r>
              <w:rPr>
                <w:color w:val="auto"/>
                <w:spacing w:val="3"/>
                <w:highlight w:val="none"/>
              </w:rPr>
              <w:t>制冷空</w:t>
            </w:r>
            <w:r>
              <w:rPr>
                <w:color w:val="auto"/>
                <w:highlight w:val="none"/>
              </w:rPr>
              <w:t xml:space="preserve"> </w:t>
            </w:r>
            <w:r>
              <w:rPr>
                <w:color w:val="auto"/>
                <w:spacing w:val="-2"/>
                <w:highlight w:val="none"/>
              </w:rPr>
              <w:t>调设备</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23D04450">
            <w:pPr>
              <w:pStyle w:val="382"/>
              <w:spacing w:before="70" w:line="219" w:lineRule="auto"/>
              <w:ind w:left="103"/>
              <w:rPr>
                <w:color w:val="auto"/>
                <w:highlight w:val="none"/>
              </w:rPr>
            </w:pPr>
            <w:r>
              <w:rPr>
                <w:color w:val="auto"/>
                <w:highlight w:val="none"/>
              </w:rPr>
              <w:t>A02052301 制冷压缩机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09300502">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47D3FCCC">
            <w:pPr>
              <w:pStyle w:val="382"/>
              <w:spacing w:before="69"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4CDF9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64523818">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305E523C">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136D7B43">
            <w:pPr>
              <w:pStyle w:val="382"/>
              <w:spacing w:before="67" w:line="219" w:lineRule="auto"/>
              <w:ind w:left="103"/>
              <w:rPr>
                <w:color w:val="auto"/>
                <w:highlight w:val="none"/>
              </w:rPr>
            </w:pPr>
            <w:r>
              <w:rPr>
                <w:color w:val="auto"/>
                <w:highlight w:val="none"/>
              </w:rPr>
              <w:t>A02052305 空调机组</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580CBCAB">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2BAFD3F8">
            <w:pPr>
              <w:pStyle w:val="382"/>
              <w:spacing w:before="67"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2793B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7D2228C4">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4326E9B4">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4C670C55">
            <w:pPr>
              <w:pStyle w:val="382"/>
              <w:spacing w:before="67" w:line="221" w:lineRule="auto"/>
              <w:ind w:left="103"/>
              <w:rPr>
                <w:color w:val="auto"/>
                <w:highlight w:val="none"/>
              </w:rPr>
            </w:pPr>
            <w:r>
              <w:rPr>
                <w:color w:val="auto"/>
                <w:spacing w:val="-2"/>
                <w:highlight w:val="none"/>
              </w:rPr>
              <w:t>A02052309</w:t>
            </w:r>
            <w:r>
              <w:rPr>
                <w:color w:val="auto"/>
                <w:spacing w:val="-27"/>
                <w:highlight w:val="none"/>
              </w:rPr>
              <w:t xml:space="preserve"> </w:t>
            </w:r>
            <w:r>
              <w:rPr>
                <w:color w:val="auto"/>
                <w:spacing w:val="-2"/>
                <w:highlight w:val="none"/>
              </w:rPr>
              <w:t>专用制冷、空调设备</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300849AC">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3B0CCB41">
            <w:pPr>
              <w:pStyle w:val="382"/>
              <w:spacing w:before="67"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5482D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09169DA6">
            <w:pPr>
              <w:pStyle w:val="382"/>
              <w:spacing w:before="68" w:line="242" w:lineRule="auto"/>
              <w:ind w:left="128"/>
              <w:rPr>
                <w:color w:val="auto"/>
                <w:highlight w:val="none"/>
              </w:rPr>
            </w:pPr>
            <w:r>
              <w:rPr>
                <w:color w:val="auto"/>
                <w:spacing w:val="-10"/>
                <w:highlight w:val="none"/>
              </w:rPr>
              <w:t>12</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1BF76505">
            <w:pPr>
              <w:pStyle w:val="382"/>
              <w:spacing w:before="69" w:line="324" w:lineRule="auto"/>
              <w:ind w:left="128" w:right="108" w:hanging="26"/>
              <w:rPr>
                <w:color w:val="auto"/>
                <w:highlight w:val="none"/>
              </w:rPr>
            </w:pPr>
            <w:r>
              <w:rPr>
                <w:color w:val="auto"/>
                <w:spacing w:val="3"/>
                <w:highlight w:val="none"/>
              </w:rPr>
              <w:t>A020618</w:t>
            </w:r>
            <w:r>
              <w:rPr>
                <w:color w:val="auto"/>
                <w:spacing w:val="34"/>
                <w:highlight w:val="none"/>
              </w:rPr>
              <w:t xml:space="preserve"> </w:t>
            </w:r>
            <w:r>
              <w:rPr>
                <w:color w:val="auto"/>
                <w:spacing w:val="3"/>
                <w:highlight w:val="none"/>
              </w:rPr>
              <w:t>生活用</w:t>
            </w:r>
            <w:r>
              <w:rPr>
                <w:color w:val="auto"/>
                <w:highlight w:val="none"/>
              </w:rPr>
              <w:t xml:space="preserve"> </w:t>
            </w:r>
            <w:r>
              <w:rPr>
                <w:color w:val="auto"/>
                <w:spacing w:val="-8"/>
                <w:highlight w:val="none"/>
              </w:rPr>
              <w:t>电器</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00BAC88A">
            <w:pPr>
              <w:pStyle w:val="382"/>
              <w:spacing w:before="68" w:line="221" w:lineRule="auto"/>
              <w:ind w:left="103"/>
              <w:rPr>
                <w:color w:val="auto"/>
                <w:highlight w:val="none"/>
              </w:rPr>
            </w:pPr>
            <w:r>
              <w:rPr>
                <w:color w:val="auto"/>
                <w:spacing w:val="-1"/>
                <w:highlight w:val="none"/>
              </w:rPr>
              <w:t>A02061802</w:t>
            </w:r>
            <w:r>
              <w:rPr>
                <w:color w:val="auto"/>
                <w:spacing w:val="-29"/>
                <w:highlight w:val="none"/>
              </w:rPr>
              <w:t xml:space="preserve"> </w:t>
            </w:r>
            <w:r>
              <w:rPr>
                <w:color w:val="auto"/>
                <w:spacing w:val="-1"/>
                <w:highlight w:val="none"/>
              </w:rPr>
              <w:t>空气调节电器</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67B0EC62">
            <w:pPr>
              <w:pStyle w:val="382"/>
              <w:spacing w:before="68" w:line="219" w:lineRule="auto"/>
              <w:ind w:left="105"/>
              <w:rPr>
                <w:color w:val="auto"/>
                <w:highlight w:val="none"/>
              </w:rPr>
            </w:pPr>
            <w:r>
              <w:rPr>
                <w:color w:val="auto"/>
                <w:spacing w:val="-1"/>
                <w:highlight w:val="none"/>
              </w:rPr>
              <w:t>A0206180203</w:t>
            </w:r>
            <w:r>
              <w:rPr>
                <w:color w:val="auto"/>
                <w:spacing w:val="-28"/>
                <w:highlight w:val="none"/>
              </w:rPr>
              <w:t xml:space="preserve"> </w:t>
            </w:r>
            <w:r>
              <w:rPr>
                <w:color w:val="auto"/>
                <w:spacing w:val="-1"/>
                <w:highlight w:val="none"/>
              </w:rPr>
              <w:t>空调机</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7DB1B463">
            <w:pPr>
              <w:pStyle w:val="382"/>
              <w:spacing w:before="68" w:line="219" w:lineRule="auto"/>
              <w:ind w:left="109"/>
              <w:rPr>
                <w:color w:val="auto"/>
                <w:highlight w:val="none"/>
              </w:rPr>
            </w:pPr>
            <w:r>
              <w:rPr>
                <w:color w:val="auto"/>
                <w:spacing w:val="-1"/>
                <w:highlight w:val="none"/>
              </w:rPr>
              <w:t>HJ2535</w:t>
            </w:r>
            <w:r>
              <w:rPr>
                <w:color w:val="auto"/>
                <w:spacing w:val="-32"/>
                <w:highlight w:val="none"/>
              </w:rPr>
              <w:t xml:space="preserve"> </w:t>
            </w:r>
            <w:r>
              <w:rPr>
                <w:color w:val="auto"/>
                <w:spacing w:val="-1"/>
                <w:highlight w:val="none"/>
              </w:rPr>
              <w:t>房间空气调节器</w:t>
            </w:r>
          </w:p>
        </w:tc>
      </w:tr>
      <w:tr w14:paraId="79135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single" w:color="auto" w:sz="4" w:space="0"/>
              <w:left w:val="single" w:color="auto" w:sz="4" w:space="0"/>
            </w:tcBorders>
            <w:noWrap w:val="0"/>
            <w:vAlign w:val="top"/>
          </w:tcPr>
          <w:p w14:paraId="0C4CA446">
            <w:pPr>
              <w:rPr>
                <w:rFonts w:ascii="Arial"/>
                <w:color w:val="auto"/>
                <w:sz w:val="21"/>
                <w:highlight w:val="none"/>
              </w:rPr>
            </w:pPr>
          </w:p>
        </w:tc>
        <w:tc>
          <w:tcPr>
            <w:tcW w:w="1542" w:type="dxa"/>
            <w:vMerge w:val="continue"/>
            <w:tcBorders>
              <w:top w:val="single" w:color="auto" w:sz="4" w:space="0"/>
            </w:tcBorders>
            <w:noWrap w:val="0"/>
            <w:vAlign w:val="top"/>
          </w:tcPr>
          <w:p w14:paraId="51C61E22">
            <w:pPr>
              <w:rPr>
                <w:rFonts w:ascii="Arial"/>
                <w:color w:val="auto"/>
                <w:sz w:val="21"/>
                <w:highlight w:val="none"/>
              </w:rPr>
            </w:pPr>
          </w:p>
        </w:tc>
        <w:tc>
          <w:tcPr>
            <w:tcW w:w="2772" w:type="dxa"/>
            <w:tcBorders>
              <w:top w:val="single" w:color="auto" w:sz="4" w:space="0"/>
            </w:tcBorders>
            <w:noWrap w:val="0"/>
            <w:vAlign w:val="top"/>
          </w:tcPr>
          <w:p w14:paraId="04F4B08F">
            <w:pPr>
              <w:pStyle w:val="382"/>
              <w:spacing w:before="68" w:line="220" w:lineRule="auto"/>
              <w:ind w:left="103"/>
              <w:rPr>
                <w:color w:val="auto"/>
                <w:highlight w:val="none"/>
              </w:rPr>
            </w:pPr>
            <w:r>
              <w:rPr>
                <w:color w:val="auto"/>
                <w:spacing w:val="-1"/>
                <w:highlight w:val="none"/>
              </w:rPr>
              <w:t>A02061808</w:t>
            </w:r>
            <w:r>
              <w:rPr>
                <w:color w:val="auto"/>
                <w:spacing w:val="-31"/>
                <w:highlight w:val="none"/>
              </w:rPr>
              <w:t xml:space="preserve"> </w:t>
            </w:r>
            <w:r>
              <w:rPr>
                <w:color w:val="auto"/>
                <w:spacing w:val="-1"/>
                <w:highlight w:val="none"/>
              </w:rPr>
              <w:t>热水器</w:t>
            </w:r>
          </w:p>
        </w:tc>
        <w:tc>
          <w:tcPr>
            <w:tcW w:w="2148" w:type="dxa"/>
            <w:tcBorders>
              <w:top w:val="single" w:color="auto" w:sz="4" w:space="0"/>
            </w:tcBorders>
            <w:noWrap w:val="0"/>
            <w:vAlign w:val="top"/>
          </w:tcPr>
          <w:p w14:paraId="6514FD90">
            <w:pPr>
              <w:rPr>
                <w:rFonts w:ascii="Arial"/>
                <w:color w:val="auto"/>
                <w:sz w:val="21"/>
                <w:highlight w:val="none"/>
              </w:rPr>
            </w:pPr>
          </w:p>
        </w:tc>
        <w:tc>
          <w:tcPr>
            <w:tcW w:w="3543" w:type="dxa"/>
            <w:tcBorders>
              <w:top w:val="single" w:color="auto" w:sz="4" w:space="0"/>
            </w:tcBorders>
            <w:noWrap w:val="0"/>
            <w:vAlign w:val="top"/>
          </w:tcPr>
          <w:p w14:paraId="3F00F3D4">
            <w:pPr>
              <w:pStyle w:val="382"/>
              <w:spacing w:before="67" w:line="219" w:lineRule="auto"/>
              <w:ind w:left="109"/>
              <w:rPr>
                <w:color w:val="auto"/>
                <w:highlight w:val="none"/>
              </w:rPr>
            </w:pPr>
            <w:r>
              <w:rPr>
                <w:color w:val="auto"/>
                <w:spacing w:val="-1"/>
                <w:highlight w:val="none"/>
              </w:rPr>
              <w:t>HJ/T362</w:t>
            </w:r>
            <w:r>
              <w:rPr>
                <w:color w:val="auto"/>
                <w:spacing w:val="-33"/>
                <w:highlight w:val="none"/>
              </w:rPr>
              <w:t xml:space="preserve"> </w:t>
            </w:r>
            <w:r>
              <w:rPr>
                <w:color w:val="auto"/>
                <w:spacing w:val="-1"/>
                <w:highlight w:val="none"/>
              </w:rPr>
              <w:t>太阳能集热器</w:t>
            </w:r>
          </w:p>
        </w:tc>
      </w:tr>
    </w:tbl>
    <w:p w14:paraId="1C80FA8B">
      <w:pPr>
        <w:spacing w:line="91" w:lineRule="auto"/>
        <w:rPr>
          <w:rFonts w:ascii="Arial"/>
          <w:color w:val="auto"/>
          <w:sz w:val="2"/>
          <w:highlight w:val="none"/>
        </w:rPr>
      </w:pPr>
    </w:p>
    <w:tbl>
      <w:tblPr>
        <w:tblStyle w:val="385"/>
        <w:tblW w:w="105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41C11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noWrap w:val="0"/>
            <w:vAlign w:val="top"/>
          </w:tcPr>
          <w:p w14:paraId="58EA10EA">
            <w:pPr>
              <w:pStyle w:val="382"/>
              <w:spacing w:before="68"/>
              <w:ind w:left="128"/>
              <w:rPr>
                <w:color w:val="auto"/>
                <w:highlight w:val="none"/>
              </w:rPr>
            </w:pPr>
            <w:r>
              <w:rPr>
                <w:color w:val="auto"/>
                <w:spacing w:val="-10"/>
                <w:highlight w:val="none"/>
              </w:rPr>
              <w:t>13</w:t>
            </w:r>
          </w:p>
        </w:tc>
        <w:tc>
          <w:tcPr>
            <w:tcW w:w="1542" w:type="dxa"/>
            <w:noWrap w:val="0"/>
            <w:vAlign w:val="top"/>
          </w:tcPr>
          <w:p w14:paraId="507DD718">
            <w:pPr>
              <w:pStyle w:val="382"/>
              <w:spacing w:before="69" w:line="284" w:lineRule="auto"/>
              <w:ind w:left="109" w:right="108" w:hanging="7"/>
              <w:rPr>
                <w:color w:val="auto"/>
                <w:highlight w:val="none"/>
              </w:rPr>
            </w:pPr>
            <w:r>
              <w:rPr>
                <w:color w:val="auto"/>
                <w:spacing w:val="-2"/>
                <w:highlight w:val="none"/>
              </w:rPr>
              <w:t>A020619</w:t>
            </w:r>
            <w:r>
              <w:rPr>
                <w:color w:val="auto"/>
                <w:spacing w:val="39"/>
                <w:highlight w:val="none"/>
              </w:rPr>
              <w:t xml:space="preserve"> </w:t>
            </w:r>
            <w:r>
              <w:rPr>
                <w:color w:val="auto"/>
                <w:spacing w:val="-2"/>
                <w:highlight w:val="none"/>
              </w:rPr>
              <w:t>照</w:t>
            </w:r>
            <w:r>
              <w:rPr>
                <w:color w:val="auto"/>
                <w:spacing w:val="-45"/>
                <w:highlight w:val="none"/>
              </w:rPr>
              <w:t xml:space="preserve"> </w:t>
            </w:r>
            <w:r>
              <w:rPr>
                <w:color w:val="auto"/>
                <w:spacing w:val="-2"/>
                <w:highlight w:val="none"/>
              </w:rPr>
              <w:t>明设</w:t>
            </w:r>
            <w:r>
              <w:rPr>
                <w:color w:val="auto"/>
                <w:highlight w:val="none"/>
              </w:rPr>
              <w:t xml:space="preserve"> 备</w:t>
            </w:r>
          </w:p>
        </w:tc>
        <w:tc>
          <w:tcPr>
            <w:tcW w:w="2672" w:type="dxa"/>
            <w:noWrap w:val="0"/>
            <w:vAlign w:val="top"/>
          </w:tcPr>
          <w:p w14:paraId="4034DC3F">
            <w:pPr>
              <w:pStyle w:val="382"/>
              <w:spacing w:before="68" w:line="220" w:lineRule="auto"/>
              <w:ind w:left="103"/>
              <w:rPr>
                <w:color w:val="auto"/>
                <w:highlight w:val="none"/>
              </w:rPr>
            </w:pPr>
            <w:r>
              <w:rPr>
                <w:color w:val="auto"/>
                <w:spacing w:val="-1"/>
                <w:highlight w:val="none"/>
              </w:rPr>
              <w:t>A02061908</w:t>
            </w:r>
            <w:r>
              <w:rPr>
                <w:color w:val="auto"/>
                <w:spacing w:val="-29"/>
                <w:highlight w:val="none"/>
              </w:rPr>
              <w:t xml:space="preserve"> </w:t>
            </w:r>
            <w:r>
              <w:rPr>
                <w:color w:val="auto"/>
                <w:spacing w:val="-1"/>
                <w:highlight w:val="none"/>
              </w:rPr>
              <w:t>室内照明灯具</w:t>
            </w:r>
          </w:p>
        </w:tc>
        <w:tc>
          <w:tcPr>
            <w:tcW w:w="2248" w:type="dxa"/>
            <w:noWrap w:val="0"/>
            <w:vAlign w:val="top"/>
          </w:tcPr>
          <w:p w14:paraId="108764F5">
            <w:pPr>
              <w:rPr>
                <w:rFonts w:ascii="Arial"/>
                <w:color w:val="auto"/>
                <w:sz w:val="21"/>
                <w:highlight w:val="none"/>
              </w:rPr>
            </w:pPr>
          </w:p>
        </w:tc>
        <w:tc>
          <w:tcPr>
            <w:tcW w:w="3543" w:type="dxa"/>
            <w:noWrap w:val="0"/>
            <w:vAlign w:val="top"/>
          </w:tcPr>
          <w:p w14:paraId="18F0EA92">
            <w:pPr>
              <w:pStyle w:val="382"/>
              <w:spacing w:before="67" w:line="219" w:lineRule="auto"/>
              <w:ind w:left="109"/>
              <w:rPr>
                <w:color w:val="auto"/>
                <w:highlight w:val="none"/>
              </w:rPr>
            </w:pPr>
            <w:r>
              <w:rPr>
                <w:color w:val="auto"/>
                <w:spacing w:val="-1"/>
                <w:highlight w:val="none"/>
              </w:rPr>
              <w:t>HJ2518</w:t>
            </w:r>
            <w:r>
              <w:rPr>
                <w:color w:val="auto"/>
                <w:spacing w:val="-35"/>
                <w:highlight w:val="none"/>
              </w:rPr>
              <w:t xml:space="preserve"> </w:t>
            </w:r>
            <w:r>
              <w:rPr>
                <w:color w:val="auto"/>
                <w:spacing w:val="-1"/>
                <w:highlight w:val="none"/>
              </w:rPr>
              <w:t>照明光源</w:t>
            </w:r>
          </w:p>
        </w:tc>
      </w:tr>
      <w:tr w14:paraId="49BCE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noWrap w:val="0"/>
            <w:vAlign w:val="top"/>
          </w:tcPr>
          <w:p w14:paraId="0D39F4F4">
            <w:pPr>
              <w:pStyle w:val="382"/>
              <w:spacing w:before="63" w:line="242" w:lineRule="auto"/>
              <w:ind w:left="128"/>
              <w:rPr>
                <w:color w:val="auto"/>
                <w:highlight w:val="none"/>
              </w:rPr>
            </w:pPr>
            <w:r>
              <w:rPr>
                <w:color w:val="auto"/>
                <w:spacing w:val="-10"/>
                <w:highlight w:val="none"/>
              </w:rPr>
              <w:t>14</w:t>
            </w:r>
          </w:p>
        </w:tc>
        <w:tc>
          <w:tcPr>
            <w:tcW w:w="1542" w:type="dxa"/>
            <w:noWrap w:val="0"/>
            <w:vAlign w:val="top"/>
          </w:tcPr>
          <w:p w14:paraId="4407758F">
            <w:pPr>
              <w:pStyle w:val="382"/>
              <w:spacing w:before="64" w:line="296" w:lineRule="auto"/>
              <w:ind w:left="109" w:right="106" w:hanging="7"/>
              <w:jc w:val="both"/>
              <w:rPr>
                <w:color w:val="auto"/>
                <w:highlight w:val="none"/>
              </w:rPr>
            </w:pPr>
            <w:r>
              <w:rPr>
                <w:color w:val="auto"/>
                <w:spacing w:val="3"/>
                <w:highlight w:val="none"/>
              </w:rPr>
              <w:t>A020810</w:t>
            </w:r>
            <w:r>
              <w:rPr>
                <w:color w:val="auto"/>
                <w:spacing w:val="34"/>
                <w:highlight w:val="none"/>
              </w:rPr>
              <w:t xml:space="preserve"> </w:t>
            </w:r>
            <w:r>
              <w:rPr>
                <w:color w:val="auto"/>
                <w:spacing w:val="3"/>
                <w:highlight w:val="none"/>
              </w:rPr>
              <w:t>传真及</w:t>
            </w:r>
            <w:r>
              <w:rPr>
                <w:color w:val="auto"/>
                <w:highlight w:val="none"/>
              </w:rPr>
              <w:t xml:space="preserve"> </w:t>
            </w:r>
            <w:r>
              <w:rPr>
                <w:color w:val="auto"/>
                <w:spacing w:val="8"/>
                <w:highlight w:val="none"/>
              </w:rPr>
              <w:t>数据数字通信设</w:t>
            </w:r>
            <w:r>
              <w:rPr>
                <w:color w:val="auto"/>
                <w:spacing w:val="4"/>
                <w:highlight w:val="none"/>
              </w:rPr>
              <w:t xml:space="preserve"> </w:t>
            </w:r>
            <w:r>
              <w:rPr>
                <w:color w:val="auto"/>
                <w:highlight w:val="none"/>
              </w:rPr>
              <w:t>备</w:t>
            </w:r>
          </w:p>
        </w:tc>
        <w:tc>
          <w:tcPr>
            <w:tcW w:w="2672" w:type="dxa"/>
            <w:noWrap w:val="0"/>
            <w:vAlign w:val="top"/>
          </w:tcPr>
          <w:p w14:paraId="75A48B21">
            <w:pPr>
              <w:pStyle w:val="382"/>
              <w:spacing w:before="64" w:line="219" w:lineRule="auto"/>
              <w:ind w:left="103"/>
              <w:rPr>
                <w:color w:val="auto"/>
                <w:highlight w:val="none"/>
              </w:rPr>
            </w:pPr>
            <w:r>
              <w:rPr>
                <w:color w:val="auto"/>
                <w:spacing w:val="-1"/>
                <w:highlight w:val="none"/>
              </w:rPr>
              <w:t>A02081001</w:t>
            </w:r>
            <w:r>
              <w:rPr>
                <w:color w:val="auto"/>
                <w:spacing w:val="-30"/>
                <w:highlight w:val="none"/>
              </w:rPr>
              <w:t xml:space="preserve"> </w:t>
            </w:r>
            <w:r>
              <w:rPr>
                <w:color w:val="auto"/>
                <w:spacing w:val="-1"/>
                <w:highlight w:val="none"/>
              </w:rPr>
              <w:t>传真通信设备</w:t>
            </w:r>
          </w:p>
        </w:tc>
        <w:tc>
          <w:tcPr>
            <w:tcW w:w="2248" w:type="dxa"/>
            <w:noWrap w:val="0"/>
            <w:vAlign w:val="top"/>
          </w:tcPr>
          <w:p w14:paraId="771C0901">
            <w:pPr>
              <w:rPr>
                <w:rFonts w:ascii="Arial"/>
                <w:color w:val="auto"/>
                <w:sz w:val="21"/>
                <w:highlight w:val="none"/>
              </w:rPr>
            </w:pPr>
          </w:p>
        </w:tc>
        <w:tc>
          <w:tcPr>
            <w:tcW w:w="3543" w:type="dxa"/>
            <w:noWrap w:val="0"/>
            <w:vAlign w:val="top"/>
          </w:tcPr>
          <w:p w14:paraId="64CA250B">
            <w:pPr>
              <w:pStyle w:val="382"/>
              <w:spacing w:before="63"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3D93F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noWrap w:val="0"/>
            <w:vAlign w:val="top"/>
          </w:tcPr>
          <w:p w14:paraId="253772B1">
            <w:pPr>
              <w:pStyle w:val="382"/>
              <w:spacing w:before="64"/>
              <w:ind w:left="128"/>
              <w:rPr>
                <w:color w:val="auto"/>
                <w:highlight w:val="none"/>
              </w:rPr>
            </w:pPr>
            <w:r>
              <w:rPr>
                <w:color w:val="auto"/>
                <w:spacing w:val="-10"/>
                <w:highlight w:val="none"/>
              </w:rPr>
              <w:t>15</w:t>
            </w:r>
          </w:p>
        </w:tc>
        <w:tc>
          <w:tcPr>
            <w:tcW w:w="1542" w:type="dxa"/>
            <w:vMerge w:val="restart"/>
            <w:tcBorders>
              <w:bottom w:val="nil"/>
            </w:tcBorders>
            <w:noWrap w:val="0"/>
            <w:vAlign w:val="top"/>
          </w:tcPr>
          <w:p w14:paraId="07A9966C">
            <w:pPr>
              <w:pStyle w:val="382"/>
              <w:spacing w:before="64" w:line="323" w:lineRule="auto"/>
              <w:ind w:left="109" w:right="108" w:hanging="7"/>
              <w:rPr>
                <w:color w:val="auto"/>
                <w:highlight w:val="none"/>
              </w:rPr>
            </w:pPr>
            <w:r>
              <w:rPr>
                <w:color w:val="auto"/>
                <w:spacing w:val="1"/>
                <w:highlight w:val="none"/>
              </w:rPr>
              <w:t>A020910</w:t>
            </w:r>
            <w:r>
              <w:rPr>
                <w:color w:val="auto"/>
                <w:spacing w:val="54"/>
                <w:highlight w:val="none"/>
              </w:rPr>
              <w:t xml:space="preserve"> </w:t>
            </w:r>
            <w:r>
              <w:rPr>
                <w:color w:val="auto"/>
                <w:spacing w:val="1"/>
                <w:highlight w:val="none"/>
              </w:rPr>
              <w:t>电视设</w:t>
            </w:r>
            <w:r>
              <w:rPr>
                <w:color w:val="auto"/>
                <w:highlight w:val="none"/>
              </w:rPr>
              <w:t xml:space="preserve"> 备</w:t>
            </w:r>
          </w:p>
        </w:tc>
        <w:tc>
          <w:tcPr>
            <w:tcW w:w="2672" w:type="dxa"/>
            <w:noWrap w:val="0"/>
            <w:vAlign w:val="top"/>
          </w:tcPr>
          <w:p w14:paraId="08E5B4A6">
            <w:pPr>
              <w:pStyle w:val="382"/>
              <w:spacing w:before="64" w:line="284" w:lineRule="auto"/>
              <w:ind w:left="107" w:right="107" w:hanging="4"/>
              <w:rPr>
                <w:color w:val="auto"/>
                <w:highlight w:val="none"/>
              </w:rPr>
            </w:pPr>
            <w:r>
              <w:rPr>
                <w:color w:val="auto"/>
                <w:spacing w:val="-2"/>
                <w:highlight w:val="none"/>
              </w:rPr>
              <w:t>A02091001</w:t>
            </w:r>
            <w:r>
              <w:rPr>
                <w:color w:val="auto"/>
                <w:spacing w:val="-29"/>
                <w:highlight w:val="none"/>
              </w:rPr>
              <w:t xml:space="preserve"> </w:t>
            </w:r>
            <w:r>
              <w:rPr>
                <w:color w:val="auto"/>
                <w:spacing w:val="-2"/>
                <w:highlight w:val="none"/>
              </w:rPr>
              <w:t>普通电视设备（电视</w:t>
            </w:r>
            <w:r>
              <w:rPr>
                <w:color w:val="auto"/>
                <w:highlight w:val="none"/>
              </w:rPr>
              <w:t xml:space="preserve"> </w:t>
            </w:r>
            <w:r>
              <w:rPr>
                <w:color w:val="auto"/>
                <w:spacing w:val="-4"/>
                <w:highlight w:val="none"/>
              </w:rPr>
              <w:t>机）</w:t>
            </w:r>
          </w:p>
        </w:tc>
        <w:tc>
          <w:tcPr>
            <w:tcW w:w="2248" w:type="dxa"/>
            <w:noWrap w:val="0"/>
            <w:vAlign w:val="top"/>
          </w:tcPr>
          <w:p w14:paraId="403FBB25">
            <w:pPr>
              <w:rPr>
                <w:rFonts w:ascii="Arial"/>
                <w:color w:val="auto"/>
                <w:sz w:val="21"/>
                <w:highlight w:val="none"/>
              </w:rPr>
            </w:pPr>
          </w:p>
        </w:tc>
        <w:tc>
          <w:tcPr>
            <w:tcW w:w="3543" w:type="dxa"/>
            <w:noWrap w:val="0"/>
            <w:vAlign w:val="top"/>
          </w:tcPr>
          <w:p w14:paraId="0A972D15">
            <w:pPr>
              <w:pStyle w:val="382"/>
              <w:spacing w:before="64" w:line="219" w:lineRule="auto"/>
              <w:ind w:left="109"/>
              <w:rPr>
                <w:color w:val="auto"/>
                <w:highlight w:val="none"/>
              </w:rPr>
            </w:pPr>
            <w:r>
              <w:rPr>
                <w:color w:val="auto"/>
                <w:spacing w:val="-1"/>
                <w:highlight w:val="none"/>
              </w:rPr>
              <w:t>HJ2506</w:t>
            </w:r>
            <w:r>
              <w:rPr>
                <w:color w:val="auto"/>
                <w:spacing w:val="-31"/>
                <w:highlight w:val="none"/>
              </w:rPr>
              <w:t xml:space="preserve"> </w:t>
            </w:r>
            <w:r>
              <w:rPr>
                <w:color w:val="auto"/>
                <w:spacing w:val="-1"/>
                <w:highlight w:val="none"/>
              </w:rPr>
              <w:t>彩色电视广播接收机</w:t>
            </w:r>
          </w:p>
        </w:tc>
      </w:tr>
      <w:tr w14:paraId="75536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noWrap w:val="0"/>
            <w:vAlign w:val="top"/>
          </w:tcPr>
          <w:p w14:paraId="4E08CF00">
            <w:pPr>
              <w:rPr>
                <w:rFonts w:ascii="Arial"/>
                <w:color w:val="auto"/>
                <w:sz w:val="21"/>
                <w:highlight w:val="none"/>
              </w:rPr>
            </w:pPr>
          </w:p>
        </w:tc>
        <w:tc>
          <w:tcPr>
            <w:tcW w:w="1542" w:type="dxa"/>
            <w:vMerge w:val="continue"/>
            <w:tcBorders>
              <w:top w:val="nil"/>
            </w:tcBorders>
            <w:noWrap w:val="0"/>
            <w:vAlign w:val="top"/>
          </w:tcPr>
          <w:p w14:paraId="47B5EECC">
            <w:pPr>
              <w:rPr>
                <w:rFonts w:ascii="Arial"/>
                <w:color w:val="auto"/>
                <w:sz w:val="21"/>
                <w:highlight w:val="none"/>
              </w:rPr>
            </w:pPr>
          </w:p>
        </w:tc>
        <w:tc>
          <w:tcPr>
            <w:tcW w:w="2672" w:type="dxa"/>
            <w:noWrap w:val="0"/>
            <w:vAlign w:val="top"/>
          </w:tcPr>
          <w:p w14:paraId="36814DA2">
            <w:pPr>
              <w:pStyle w:val="382"/>
              <w:spacing w:before="67" w:line="284" w:lineRule="auto"/>
              <w:ind w:left="111" w:right="107" w:hanging="8"/>
              <w:rPr>
                <w:color w:val="auto"/>
                <w:highlight w:val="none"/>
              </w:rPr>
            </w:pPr>
            <w:r>
              <w:rPr>
                <w:color w:val="auto"/>
                <w:spacing w:val="6"/>
                <w:highlight w:val="none"/>
              </w:rPr>
              <w:t>A02091003 特殊功能应用电视</w:t>
            </w:r>
            <w:r>
              <w:rPr>
                <w:color w:val="auto"/>
                <w:spacing w:val="7"/>
                <w:highlight w:val="none"/>
              </w:rPr>
              <w:t xml:space="preserve"> </w:t>
            </w:r>
            <w:r>
              <w:rPr>
                <w:color w:val="auto"/>
                <w:spacing w:val="-3"/>
                <w:highlight w:val="none"/>
              </w:rPr>
              <w:t>设备</w:t>
            </w:r>
          </w:p>
        </w:tc>
        <w:tc>
          <w:tcPr>
            <w:tcW w:w="2248" w:type="dxa"/>
            <w:noWrap w:val="0"/>
            <w:vAlign w:val="top"/>
          </w:tcPr>
          <w:p w14:paraId="638C2716">
            <w:pPr>
              <w:rPr>
                <w:rFonts w:ascii="Arial"/>
                <w:color w:val="auto"/>
                <w:sz w:val="21"/>
                <w:highlight w:val="none"/>
              </w:rPr>
            </w:pPr>
          </w:p>
        </w:tc>
        <w:tc>
          <w:tcPr>
            <w:tcW w:w="3543" w:type="dxa"/>
            <w:noWrap w:val="0"/>
            <w:vAlign w:val="top"/>
          </w:tcPr>
          <w:p w14:paraId="33483633">
            <w:pPr>
              <w:pStyle w:val="382"/>
              <w:spacing w:before="67" w:line="219" w:lineRule="auto"/>
              <w:ind w:left="109"/>
              <w:rPr>
                <w:color w:val="auto"/>
                <w:highlight w:val="none"/>
              </w:rPr>
            </w:pPr>
            <w:r>
              <w:rPr>
                <w:color w:val="auto"/>
                <w:spacing w:val="-1"/>
                <w:highlight w:val="none"/>
              </w:rPr>
              <w:t>HJ2506</w:t>
            </w:r>
            <w:r>
              <w:rPr>
                <w:color w:val="auto"/>
                <w:spacing w:val="-31"/>
                <w:highlight w:val="none"/>
              </w:rPr>
              <w:t xml:space="preserve"> </w:t>
            </w:r>
            <w:r>
              <w:rPr>
                <w:color w:val="auto"/>
                <w:spacing w:val="-1"/>
                <w:highlight w:val="none"/>
              </w:rPr>
              <w:t>彩色电视广播接收机</w:t>
            </w:r>
          </w:p>
        </w:tc>
      </w:tr>
      <w:tr w14:paraId="7748D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noWrap w:val="0"/>
            <w:vAlign w:val="top"/>
          </w:tcPr>
          <w:p w14:paraId="4CE238CE">
            <w:pPr>
              <w:pStyle w:val="382"/>
              <w:spacing w:before="65"/>
              <w:ind w:left="128"/>
              <w:rPr>
                <w:color w:val="auto"/>
                <w:highlight w:val="none"/>
              </w:rPr>
            </w:pPr>
            <w:r>
              <w:rPr>
                <w:color w:val="auto"/>
                <w:spacing w:val="-10"/>
                <w:highlight w:val="none"/>
              </w:rPr>
              <w:t>16</w:t>
            </w:r>
          </w:p>
        </w:tc>
        <w:tc>
          <w:tcPr>
            <w:tcW w:w="1542" w:type="dxa"/>
            <w:vMerge w:val="restart"/>
            <w:tcBorders>
              <w:bottom w:val="nil"/>
            </w:tcBorders>
            <w:noWrap w:val="0"/>
            <w:vAlign w:val="top"/>
          </w:tcPr>
          <w:p w14:paraId="191C2B9B">
            <w:pPr>
              <w:pStyle w:val="382"/>
              <w:spacing w:before="65" w:line="220" w:lineRule="auto"/>
              <w:ind w:left="193"/>
              <w:rPr>
                <w:color w:val="auto"/>
                <w:highlight w:val="none"/>
              </w:rPr>
            </w:pPr>
            <w:r>
              <w:rPr>
                <w:color w:val="auto"/>
                <w:spacing w:val="-1"/>
                <w:highlight w:val="none"/>
              </w:rPr>
              <w:t>A0601</w:t>
            </w:r>
            <w:r>
              <w:rPr>
                <w:color w:val="auto"/>
                <w:spacing w:val="-36"/>
                <w:highlight w:val="none"/>
              </w:rPr>
              <w:t xml:space="preserve"> </w:t>
            </w:r>
            <w:r>
              <w:rPr>
                <w:color w:val="auto"/>
                <w:spacing w:val="-1"/>
                <w:highlight w:val="none"/>
              </w:rPr>
              <w:t>床类</w:t>
            </w:r>
          </w:p>
        </w:tc>
        <w:tc>
          <w:tcPr>
            <w:tcW w:w="2672" w:type="dxa"/>
            <w:noWrap w:val="0"/>
            <w:vAlign w:val="top"/>
          </w:tcPr>
          <w:p w14:paraId="6D34C43C">
            <w:pPr>
              <w:pStyle w:val="382"/>
              <w:spacing w:before="65" w:line="220" w:lineRule="auto"/>
              <w:ind w:left="103"/>
              <w:rPr>
                <w:color w:val="auto"/>
                <w:highlight w:val="none"/>
              </w:rPr>
            </w:pPr>
            <w:r>
              <w:rPr>
                <w:color w:val="auto"/>
                <w:spacing w:val="-1"/>
                <w:highlight w:val="none"/>
              </w:rPr>
              <w:t>A060101</w:t>
            </w:r>
            <w:r>
              <w:rPr>
                <w:color w:val="auto"/>
                <w:spacing w:val="-34"/>
                <w:highlight w:val="none"/>
              </w:rPr>
              <w:t xml:space="preserve"> </w:t>
            </w:r>
            <w:r>
              <w:rPr>
                <w:color w:val="auto"/>
                <w:spacing w:val="-1"/>
                <w:highlight w:val="none"/>
              </w:rPr>
              <w:t>钢木床类</w:t>
            </w:r>
          </w:p>
        </w:tc>
        <w:tc>
          <w:tcPr>
            <w:tcW w:w="2248" w:type="dxa"/>
            <w:noWrap w:val="0"/>
            <w:vAlign w:val="top"/>
          </w:tcPr>
          <w:p w14:paraId="7634C960">
            <w:pPr>
              <w:rPr>
                <w:rFonts w:ascii="Arial"/>
                <w:color w:val="auto"/>
                <w:sz w:val="21"/>
                <w:highlight w:val="none"/>
              </w:rPr>
            </w:pPr>
          </w:p>
        </w:tc>
        <w:tc>
          <w:tcPr>
            <w:tcW w:w="3543" w:type="dxa"/>
            <w:noWrap w:val="0"/>
            <w:vAlign w:val="top"/>
          </w:tcPr>
          <w:p w14:paraId="18F130F5">
            <w:pPr>
              <w:pStyle w:val="382"/>
              <w:spacing w:before="64"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55A3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noWrap w:val="0"/>
            <w:vAlign w:val="top"/>
          </w:tcPr>
          <w:p w14:paraId="644F6A4A">
            <w:pPr>
              <w:rPr>
                <w:rFonts w:ascii="Arial"/>
                <w:color w:val="auto"/>
                <w:sz w:val="21"/>
                <w:highlight w:val="none"/>
              </w:rPr>
            </w:pPr>
          </w:p>
        </w:tc>
        <w:tc>
          <w:tcPr>
            <w:tcW w:w="1542" w:type="dxa"/>
            <w:vMerge w:val="continue"/>
            <w:tcBorders>
              <w:top w:val="nil"/>
              <w:bottom w:val="nil"/>
            </w:tcBorders>
            <w:noWrap w:val="0"/>
            <w:vAlign w:val="top"/>
          </w:tcPr>
          <w:p w14:paraId="655EFAF4">
            <w:pPr>
              <w:rPr>
                <w:rFonts w:ascii="Arial"/>
                <w:color w:val="auto"/>
                <w:sz w:val="21"/>
                <w:highlight w:val="none"/>
              </w:rPr>
            </w:pPr>
          </w:p>
        </w:tc>
        <w:tc>
          <w:tcPr>
            <w:tcW w:w="2672" w:type="dxa"/>
            <w:noWrap w:val="0"/>
            <w:vAlign w:val="top"/>
          </w:tcPr>
          <w:p w14:paraId="12111084">
            <w:pPr>
              <w:pStyle w:val="382"/>
              <w:spacing w:before="65" w:line="220" w:lineRule="auto"/>
              <w:ind w:left="103"/>
              <w:rPr>
                <w:color w:val="auto"/>
                <w:highlight w:val="none"/>
              </w:rPr>
            </w:pPr>
            <w:r>
              <w:rPr>
                <w:color w:val="auto"/>
                <w:spacing w:val="-1"/>
                <w:highlight w:val="none"/>
              </w:rPr>
              <w:t>A060104</w:t>
            </w:r>
            <w:r>
              <w:rPr>
                <w:color w:val="auto"/>
                <w:spacing w:val="-33"/>
                <w:highlight w:val="none"/>
              </w:rPr>
              <w:t xml:space="preserve"> </w:t>
            </w:r>
            <w:r>
              <w:rPr>
                <w:color w:val="auto"/>
                <w:spacing w:val="-1"/>
                <w:highlight w:val="none"/>
              </w:rPr>
              <w:t>木制床类</w:t>
            </w:r>
          </w:p>
        </w:tc>
        <w:tc>
          <w:tcPr>
            <w:tcW w:w="2248" w:type="dxa"/>
            <w:noWrap w:val="0"/>
            <w:vAlign w:val="top"/>
          </w:tcPr>
          <w:p w14:paraId="148EEC2A">
            <w:pPr>
              <w:rPr>
                <w:rFonts w:ascii="Arial"/>
                <w:color w:val="auto"/>
                <w:sz w:val="21"/>
                <w:highlight w:val="none"/>
              </w:rPr>
            </w:pPr>
          </w:p>
        </w:tc>
        <w:tc>
          <w:tcPr>
            <w:tcW w:w="3543" w:type="dxa"/>
            <w:noWrap w:val="0"/>
            <w:vAlign w:val="top"/>
          </w:tcPr>
          <w:p w14:paraId="72D02A8D">
            <w:pPr>
              <w:pStyle w:val="382"/>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12C9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noWrap w:val="0"/>
            <w:vAlign w:val="top"/>
          </w:tcPr>
          <w:p w14:paraId="0FB8B3AC">
            <w:pPr>
              <w:rPr>
                <w:rFonts w:ascii="Arial"/>
                <w:color w:val="auto"/>
                <w:sz w:val="21"/>
                <w:highlight w:val="none"/>
              </w:rPr>
            </w:pPr>
          </w:p>
        </w:tc>
        <w:tc>
          <w:tcPr>
            <w:tcW w:w="1542" w:type="dxa"/>
            <w:vMerge w:val="continue"/>
            <w:tcBorders>
              <w:top w:val="nil"/>
            </w:tcBorders>
            <w:noWrap w:val="0"/>
            <w:vAlign w:val="top"/>
          </w:tcPr>
          <w:p w14:paraId="5B4C7135">
            <w:pPr>
              <w:rPr>
                <w:rFonts w:ascii="Arial"/>
                <w:color w:val="auto"/>
                <w:sz w:val="21"/>
                <w:highlight w:val="none"/>
              </w:rPr>
            </w:pPr>
          </w:p>
        </w:tc>
        <w:tc>
          <w:tcPr>
            <w:tcW w:w="2672" w:type="dxa"/>
            <w:noWrap w:val="0"/>
            <w:vAlign w:val="top"/>
          </w:tcPr>
          <w:p w14:paraId="34B6A892">
            <w:pPr>
              <w:pStyle w:val="382"/>
              <w:spacing w:before="65" w:line="220" w:lineRule="auto"/>
              <w:ind w:left="103"/>
              <w:rPr>
                <w:color w:val="auto"/>
                <w:highlight w:val="none"/>
              </w:rPr>
            </w:pPr>
            <w:r>
              <w:rPr>
                <w:color w:val="auto"/>
                <w:spacing w:val="-1"/>
                <w:highlight w:val="none"/>
              </w:rPr>
              <w:t>A060199</w:t>
            </w:r>
            <w:r>
              <w:rPr>
                <w:color w:val="auto"/>
                <w:spacing w:val="-33"/>
                <w:highlight w:val="none"/>
              </w:rPr>
              <w:t xml:space="preserve"> </w:t>
            </w:r>
            <w:r>
              <w:rPr>
                <w:color w:val="auto"/>
                <w:spacing w:val="-1"/>
                <w:highlight w:val="none"/>
              </w:rPr>
              <w:t>其他床类</w:t>
            </w:r>
          </w:p>
        </w:tc>
        <w:tc>
          <w:tcPr>
            <w:tcW w:w="2248" w:type="dxa"/>
            <w:noWrap w:val="0"/>
            <w:vAlign w:val="top"/>
          </w:tcPr>
          <w:p w14:paraId="26DED673">
            <w:pPr>
              <w:rPr>
                <w:rFonts w:ascii="Arial"/>
                <w:color w:val="auto"/>
                <w:sz w:val="21"/>
                <w:highlight w:val="none"/>
              </w:rPr>
            </w:pPr>
          </w:p>
        </w:tc>
        <w:tc>
          <w:tcPr>
            <w:tcW w:w="3543" w:type="dxa"/>
            <w:noWrap w:val="0"/>
            <w:vAlign w:val="top"/>
          </w:tcPr>
          <w:p w14:paraId="4073D93F">
            <w:pPr>
              <w:pStyle w:val="382"/>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A6A1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4CC741FD">
            <w:pPr>
              <w:pStyle w:val="382"/>
              <w:spacing w:before="66"/>
              <w:ind w:left="128"/>
              <w:rPr>
                <w:color w:val="auto"/>
                <w:highlight w:val="none"/>
              </w:rPr>
            </w:pPr>
            <w:r>
              <w:rPr>
                <w:color w:val="auto"/>
                <w:spacing w:val="-10"/>
                <w:highlight w:val="none"/>
              </w:rPr>
              <w:t>17</w:t>
            </w:r>
          </w:p>
        </w:tc>
        <w:tc>
          <w:tcPr>
            <w:tcW w:w="1542" w:type="dxa"/>
            <w:vMerge w:val="restart"/>
            <w:tcBorders>
              <w:bottom w:val="nil"/>
            </w:tcBorders>
            <w:noWrap w:val="0"/>
            <w:vAlign w:val="top"/>
          </w:tcPr>
          <w:p w14:paraId="63E9971C">
            <w:pPr>
              <w:pStyle w:val="382"/>
              <w:spacing w:before="65" w:line="220" w:lineRule="auto"/>
              <w:ind w:left="102"/>
              <w:rPr>
                <w:color w:val="auto"/>
                <w:highlight w:val="none"/>
              </w:rPr>
            </w:pPr>
            <w:r>
              <w:rPr>
                <w:color w:val="auto"/>
                <w:spacing w:val="-2"/>
                <w:highlight w:val="none"/>
              </w:rPr>
              <w:t>A0602</w:t>
            </w:r>
            <w:r>
              <w:rPr>
                <w:color w:val="auto"/>
                <w:spacing w:val="-22"/>
                <w:highlight w:val="none"/>
              </w:rPr>
              <w:t xml:space="preserve"> </w:t>
            </w:r>
            <w:r>
              <w:rPr>
                <w:color w:val="auto"/>
                <w:spacing w:val="-2"/>
                <w:highlight w:val="none"/>
              </w:rPr>
              <w:t>台、桌类</w:t>
            </w:r>
          </w:p>
        </w:tc>
        <w:tc>
          <w:tcPr>
            <w:tcW w:w="2672" w:type="dxa"/>
            <w:noWrap w:val="0"/>
            <w:vAlign w:val="top"/>
          </w:tcPr>
          <w:p w14:paraId="2D788788">
            <w:pPr>
              <w:pStyle w:val="382"/>
              <w:spacing w:before="65" w:line="220" w:lineRule="auto"/>
              <w:ind w:left="103"/>
              <w:rPr>
                <w:color w:val="auto"/>
                <w:highlight w:val="none"/>
              </w:rPr>
            </w:pPr>
            <w:r>
              <w:rPr>
                <w:color w:val="auto"/>
                <w:spacing w:val="-1"/>
                <w:highlight w:val="none"/>
              </w:rPr>
              <w:t>A060201</w:t>
            </w:r>
            <w:r>
              <w:rPr>
                <w:color w:val="auto"/>
                <w:spacing w:val="-29"/>
                <w:highlight w:val="none"/>
              </w:rPr>
              <w:t xml:space="preserve"> </w:t>
            </w:r>
            <w:r>
              <w:rPr>
                <w:color w:val="auto"/>
                <w:spacing w:val="-1"/>
                <w:highlight w:val="none"/>
              </w:rPr>
              <w:t>钢木台、桌类</w:t>
            </w:r>
          </w:p>
        </w:tc>
        <w:tc>
          <w:tcPr>
            <w:tcW w:w="2248" w:type="dxa"/>
            <w:noWrap w:val="0"/>
            <w:vAlign w:val="top"/>
          </w:tcPr>
          <w:p w14:paraId="756B8F12">
            <w:pPr>
              <w:rPr>
                <w:rFonts w:ascii="Arial"/>
                <w:color w:val="auto"/>
                <w:sz w:val="21"/>
                <w:highlight w:val="none"/>
              </w:rPr>
            </w:pPr>
          </w:p>
        </w:tc>
        <w:tc>
          <w:tcPr>
            <w:tcW w:w="3543" w:type="dxa"/>
            <w:noWrap w:val="0"/>
            <w:vAlign w:val="top"/>
          </w:tcPr>
          <w:p w14:paraId="2EA6C578">
            <w:pPr>
              <w:pStyle w:val="382"/>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C71A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noWrap w:val="0"/>
            <w:vAlign w:val="top"/>
          </w:tcPr>
          <w:p w14:paraId="7637687F">
            <w:pPr>
              <w:rPr>
                <w:rFonts w:ascii="Arial"/>
                <w:color w:val="auto"/>
                <w:sz w:val="21"/>
                <w:highlight w:val="none"/>
              </w:rPr>
            </w:pPr>
          </w:p>
        </w:tc>
        <w:tc>
          <w:tcPr>
            <w:tcW w:w="1542" w:type="dxa"/>
            <w:vMerge w:val="continue"/>
            <w:tcBorders>
              <w:top w:val="nil"/>
              <w:bottom w:val="nil"/>
            </w:tcBorders>
            <w:noWrap w:val="0"/>
            <w:vAlign w:val="top"/>
          </w:tcPr>
          <w:p w14:paraId="50DBC35E">
            <w:pPr>
              <w:rPr>
                <w:rFonts w:ascii="Arial"/>
                <w:color w:val="auto"/>
                <w:sz w:val="21"/>
                <w:highlight w:val="none"/>
              </w:rPr>
            </w:pPr>
          </w:p>
        </w:tc>
        <w:tc>
          <w:tcPr>
            <w:tcW w:w="2672" w:type="dxa"/>
            <w:noWrap w:val="0"/>
            <w:vAlign w:val="top"/>
          </w:tcPr>
          <w:p w14:paraId="302EBBDE">
            <w:pPr>
              <w:pStyle w:val="382"/>
              <w:spacing w:before="65" w:line="220" w:lineRule="auto"/>
              <w:ind w:left="103"/>
              <w:rPr>
                <w:color w:val="auto"/>
                <w:highlight w:val="none"/>
              </w:rPr>
            </w:pPr>
            <w:r>
              <w:rPr>
                <w:color w:val="auto"/>
                <w:spacing w:val="-1"/>
                <w:highlight w:val="none"/>
              </w:rPr>
              <w:t>A060205</w:t>
            </w:r>
            <w:r>
              <w:rPr>
                <w:color w:val="auto"/>
                <w:spacing w:val="-29"/>
                <w:highlight w:val="none"/>
              </w:rPr>
              <w:t xml:space="preserve"> </w:t>
            </w:r>
            <w:r>
              <w:rPr>
                <w:color w:val="auto"/>
                <w:spacing w:val="-1"/>
                <w:highlight w:val="none"/>
              </w:rPr>
              <w:t>木制台、桌类</w:t>
            </w:r>
          </w:p>
        </w:tc>
        <w:tc>
          <w:tcPr>
            <w:tcW w:w="2248" w:type="dxa"/>
            <w:noWrap w:val="0"/>
            <w:vAlign w:val="top"/>
          </w:tcPr>
          <w:p w14:paraId="0A792AC4">
            <w:pPr>
              <w:rPr>
                <w:rFonts w:ascii="Arial"/>
                <w:color w:val="auto"/>
                <w:sz w:val="21"/>
                <w:highlight w:val="none"/>
              </w:rPr>
            </w:pPr>
          </w:p>
        </w:tc>
        <w:tc>
          <w:tcPr>
            <w:tcW w:w="3543" w:type="dxa"/>
            <w:noWrap w:val="0"/>
            <w:vAlign w:val="top"/>
          </w:tcPr>
          <w:p w14:paraId="17F4CE4D">
            <w:pPr>
              <w:pStyle w:val="382"/>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E96D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noWrap w:val="0"/>
            <w:vAlign w:val="top"/>
          </w:tcPr>
          <w:p w14:paraId="7F893FA3">
            <w:pPr>
              <w:rPr>
                <w:rFonts w:ascii="Arial"/>
                <w:color w:val="auto"/>
                <w:sz w:val="21"/>
                <w:highlight w:val="none"/>
              </w:rPr>
            </w:pPr>
          </w:p>
        </w:tc>
        <w:tc>
          <w:tcPr>
            <w:tcW w:w="1542" w:type="dxa"/>
            <w:vMerge w:val="continue"/>
            <w:tcBorders>
              <w:top w:val="nil"/>
            </w:tcBorders>
            <w:noWrap w:val="0"/>
            <w:vAlign w:val="top"/>
          </w:tcPr>
          <w:p w14:paraId="5A1CA43F">
            <w:pPr>
              <w:rPr>
                <w:rFonts w:ascii="Arial"/>
                <w:color w:val="auto"/>
                <w:sz w:val="21"/>
                <w:highlight w:val="none"/>
              </w:rPr>
            </w:pPr>
          </w:p>
        </w:tc>
        <w:tc>
          <w:tcPr>
            <w:tcW w:w="2672" w:type="dxa"/>
            <w:noWrap w:val="0"/>
            <w:vAlign w:val="top"/>
          </w:tcPr>
          <w:p w14:paraId="62CF1E38">
            <w:pPr>
              <w:pStyle w:val="382"/>
              <w:spacing w:before="66" w:line="220" w:lineRule="auto"/>
              <w:ind w:left="103"/>
              <w:rPr>
                <w:color w:val="auto"/>
                <w:highlight w:val="none"/>
              </w:rPr>
            </w:pPr>
            <w:r>
              <w:rPr>
                <w:color w:val="auto"/>
                <w:spacing w:val="-1"/>
                <w:highlight w:val="none"/>
              </w:rPr>
              <w:t>A060299</w:t>
            </w:r>
            <w:r>
              <w:rPr>
                <w:color w:val="auto"/>
                <w:spacing w:val="-29"/>
                <w:highlight w:val="none"/>
              </w:rPr>
              <w:t xml:space="preserve"> </w:t>
            </w:r>
            <w:r>
              <w:rPr>
                <w:color w:val="auto"/>
                <w:spacing w:val="-1"/>
                <w:highlight w:val="none"/>
              </w:rPr>
              <w:t>其他台、桌类</w:t>
            </w:r>
          </w:p>
        </w:tc>
        <w:tc>
          <w:tcPr>
            <w:tcW w:w="2248" w:type="dxa"/>
            <w:noWrap w:val="0"/>
            <w:vAlign w:val="top"/>
          </w:tcPr>
          <w:p w14:paraId="36E8B49A">
            <w:pPr>
              <w:rPr>
                <w:rFonts w:ascii="Arial"/>
                <w:color w:val="auto"/>
                <w:sz w:val="21"/>
                <w:highlight w:val="none"/>
              </w:rPr>
            </w:pPr>
          </w:p>
        </w:tc>
        <w:tc>
          <w:tcPr>
            <w:tcW w:w="3543" w:type="dxa"/>
            <w:noWrap w:val="0"/>
            <w:vAlign w:val="top"/>
          </w:tcPr>
          <w:p w14:paraId="66546DCC">
            <w:pPr>
              <w:pStyle w:val="382"/>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FFCC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60A1230E">
            <w:pPr>
              <w:pStyle w:val="382"/>
              <w:spacing w:before="67"/>
              <w:ind w:left="128"/>
              <w:rPr>
                <w:color w:val="auto"/>
                <w:highlight w:val="none"/>
              </w:rPr>
            </w:pPr>
            <w:r>
              <w:rPr>
                <w:color w:val="auto"/>
                <w:spacing w:val="-10"/>
                <w:highlight w:val="none"/>
              </w:rPr>
              <w:t>18</w:t>
            </w:r>
          </w:p>
        </w:tc>
        <w:tc>
          <w:tcPr>
            <w:tcW w:w="1542" w:type="dxa"/>
            <w:vMerge w:val="restart"/>
            <w:tcBorders>
              <w:bottom w:val="nil"/>
            </w:tcBorders>
            <w:noWrap w:val="0"/>
            <w:vAlign w:val="top"/>
          </w:tcPr>
          <w:p w14:paraId="06C3079C">
            <w:pPr>
              <w:pStyle w:val="382"/>
              <w:spacing w:before="66" w:line="220" w:lineRule="auto"/>
              <w:ind w:left="102"/>
              <w:rPr>
                <w:color w:val="auto"/>
                <w:highlight w:val="none"/>
              </w:rPr>
            </w:pPr>
            <w:r>
              <w:rPr>
                <w:color w:val="auto"/>
                <w:spacing w:val="-1"/>
                <w:highlight w:val="none"/>
              </w:rPr>
              <w:t>A0603</w:t>
            </w:r>
            <w:r>
              <w:rPr>
                <w:color w:val="auto"/>
                <w:spacing w:val="-36"/>
                <w:highlight w:val="none"/>
              </w:rPr>
              <w:t xml:space="preserve"> </w:t>
            </w:r>
            <w:r>
              <w:rPr>
                <w:color w:val="auto"/>
                <w:spacing w:val="-1"/>
                <w:highlight w:val="none"/>
              </w:rPr>
              <w:t>椅凳类</w:t>
            </w:r>
          </w:p>
        </w:tc>
        <w:tc>
          <w:tcPr>
            <w:tcW w:w="2672" w:type="dxa"/>
            <w:noWrap w:val="0"/>
            <w:vAlign w:val="top"/>
          </w:tcPr>
          <w:p w14:paraId="5610D93F">
            <w:pPr>
              <w:pStyle w:val="382"/>
              <w:spacing w:before="66" w:line="220" w:lineRule="auto"/>
              <w:ind w:left="103"/>
              <w:rPr>
                <w:color w:val="auto"/>
                <w:highlight w:val="none"/>
              </w:rPr>
            </w:pPr>
            <w:r>
              <w:rPr>
                <w:color w:val="auto"/>
                <w:spacing w:val="-1"/>
                <w:highlight w:val="none"/>
              </w:rPr>
              <w:t>A060301</w:t>
            </w:r>
            <w:r>
              <w:rPr>
                <w:color w:val="auto"/>
                <w:spacing w:val="-46"/>
                <w:highlight w:val="none"/>
              </w:rPr>
              <w:t xml:space="preserve"> </w:t>
            </w:r>
            <w:r>
              <w:rPr>
                <w:color w:val="auto"/>
                <w:spacing w:val="-1"/>
                <w:highlight w:val="none"/>
              </w:rPr>
              <w:t>金属骨架为主的椅凳类</w:t>
            </w:r>
          </w:p>
        </w:tc>
        <w:tc>
          <w:tcPr>
            <w:tcW w:w="2248" w:type="dxa"/>
            <w:noWrap w:val="0"/>
            <w:vAlign w:val="top"/>
          </w:tcPr>
          <w:p w14:paraId="508FCAB2">
            <w:pPr>
              <w:rPr>
                <w:rFonts w:ascii="Arial"/>
                <w:color w:val="auto"/>
                <w:sz w:val="21"/>
                <w:highlight w:val="none"/>
              </w:rPr>
            </w:pPr>
          </w:p>
        </w:tc>
        <w:tc>
          <w:tcPr>
            <w:tcW w:w="3543" w:type="dxa"/>
            <w:noWrap w:val="0"/>
            <w:vAlign w:val="top"/>
          </w:tcPr>
          <w:p w14:paraId="6C2DD0E4">
            <w:pPr>
              <w:pStyle w:val="382"/>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171C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noWrap w:val="0"/>
            <w:vAlign w:val="top"/>
          </w:tcPr>
          <w:p w14:paraId="63539C9C">
            <w:pPr>
              <w:rPr>
                <w:rFonts w:ascii="Arial"/>
                <w:color w:val="auto"/>
                <w:sz w:val="21"/>
                <w:highlight w:val="none"/>
              </w:rPr>
            </w:pPr>
          </w:p>
        </w:tc>
        <w:tc>
          <w:tcPr>
            <w:tcW w:w="1542" w:type="dxa"/>
            <w:vMerge w:val="continue"/>
            <w:tcBorders>
              <w:top w:val="nil"/>
              <w:bottom w:val="nil"/>
            </w:tcBorders>
            <w:noWrap w:val="0"/>
            <w:vAlign w:val="top"/>
          </w:tcPr>
          <w:p w14:paraId="7F68611E">
            <w:pPr>
              <w:rPr>
                <w:rFonts w:ascii="Arial"/>
                <w:color w:val="auto"/>
                <w:sz w:val="21"/>
                <w:highlight w:val="none"/>
              </w:rPr>
            </w:pPr>
          </w:p>
        </w:tc>
        <w:tc>
          <w:tcPr>
            <w:tcW w:w="2672" w:type="dxa"/>
            <w:noWrap w:val="0"/>
            <w:vAlign w:val="top"/>
          </w:tcPr>
          <w:p w14:paraId="28BF149C">
            <w:pPr>
              <w:pStyle w:val="382"/>
              <w:spacing w:before="66" w:line="220" w:lineRule="auto"/>
              <w:ind w:left="103"/>
              <w:rPr>
                <w:color w:val="auto"/>
                <w:highlight w:val="none"/>
              </w:rPr>
            </w:pPr>
            <w:r>
              <w:rPr>
                <w:color w:val="auto"/>
                <w:spacing w:val="-1"/>
                <w:highlight w:val="none"/>
              </w:rPr>
              <w:t>A060302</w:t>
            </w:r>
            <w:r>
              <w:rPr>
                <w:color w:val="auto"/>
                <w:spacing w:val="-29"/>
                <w:highlight w:val="none"/>
              </w:rPr>
              <w:t xml:space="preserve"> </w:t>
            </w:r>
            <w:r>
              <w:rPr>
                <w:color w:val="auto"/>
                <w:spacing w:val="-1"/>
                <w:highlight w:val="none"/>
              </w:rPr>
              <w:t>木骨架为主的椅凳类</w:t>
            </w:r>
          </w:p>
        </w:tc>
        <w:tc>
          <w:tcPr>
            <w:tcW w:w="2248" w:type="dxa"/>
            <w:noWrap w:val="0"/>
            <w:vAlign w:val="top"/>
          </w:tcPr>
          <w:p w14:paraId="06F060D3">
            <w:pPr>
              <w:rPr>
                <w:rFonts w:ascii="Arial"/>
                <w:color w:val="auto"/>
                <w:sz w:val="21"/>
                <w:highlight w:val="none"/>
              </w:rPr>
            </w:pPr>
          </w:p>
        </w:tc>
        <w:tc>
          <w:tcPr>
            <w:tcW w:w="3543" w:type="dxa"/>
            <w:noWrap w:val="0"/>
            <w:vAlign w:val="top"/>
          </w:tcPr>
          <w:p w14:paraId="2DEE0128">
            <w:pPr>
              <w:pStyle w:val="382"/>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4310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noWrap w:val="0"/>
            <w:vAlign w:val="top"/>
          </w:tcPr>
          <w:p w14:paraId="4D018327">
            <w:pPr>
              <w:rPr>
                <w:rFonts w:ascii="Arial"/>
                <w:color w:val="auto"/>
                <w:sz w:val="21"/>
                <w:highlight w:val="none"/>
              </w:rPr>
            </w:pPr>
          </w:p>
        </w:tc>
        <w:tc>
          <w:tcPr>
            <w:tcW w:w="1542" w:type="dxa"/>
            <w:vMerge w:val="continue"/>
            <w:tcBorders>
              <w:top w:val="nil"/>
            </w:tcBorders>
            <w:noWrap w:val="0"/>
            <w:vAlign w:val="top"/>
          </w:tcPr>
          <w:p w14:paraId="7F1B5484">
            <w:pPr>
              <w:rPr>
                <w:rFonts w:ascii="Arial"/>
                <w:color w:val="auto"/>
                <w:sz w:val="21"/>
                <w:highlight w:val="none"/>
              </w:rPr>
            </w:pPr>
          </w:p>
        </w:tc>
        <w:tc>
          <w:tcPr>
            <w:tcW w:w="2672" w:type="dxa"/>
            <w:noWrap w:val="0"/>
            <w:vAlign w:val="top"/>
          </w:tcPr>
          <w:p w14:paraId="58089247">
            <w:pPr>
              <w:pStyle w:val="382"/>
              <w:spacing w:before="67" w:line="220" w:lineRule="auto"/>
              <w:ind w:left="103"/>
              <w:rPr>
                <w:color w:val="auto"/>
                <w:highlight w:val="none"/>
              </w:rPr>
            </w:pPr>
            <w:r>
              <w:rPr>
                <w:color w:val="auto"/>
                <w:spacing w:val="-1"/>
                <w:highlight w:val="none"/>
              </w:rPr>
              <w:t>A060399</w:t>
            </w:r>
            <w:r>
              <w:rPr>
                <w:color w:val="auto"/>
                <w:spacing w:val="-33"/>
                <w:highlight w:val="none"/>
              </w:rPr>
              <w:t xml:space="preserve"> </w:t>
            </w:r>
            <w:r>
              <w:rPr>
                <w:color w:val="auto"/>
                <w:spacing w:val="-1"/>
                <w:highlight w:val="none"/>
              </w:rPr>
              <w:t>其他椅凳类</w:t>
            </w:r>
          </w:p>
        </w:tc>
        <w:tc>
          <w:tcPr>
            <w:tcW w:w="2248" w:type="dxa"/>
            <w:noWrap w:val="0"/>
            <w:vAlign w:val="top"/>
          </w:tcPr>
          <w:p w14:paraId="1672102A">
            <w:pPr>
              <w:rPr>
                <w:rFonts w:ascii="Arial"/>
                <w:color w:val="auto"/>
                <w:sz w:val="21"/>
                <w:highlight w:val="none"/>
              </w:rPr>
            </w:pPr>
          </w:p>
        </w:tc>
        <w:tc>
          <w:tcPr>
            <w:tcW w:w="3543" w:type="dxa"/>
            <w:noWrap w:val="0"/>
            <w:vAlign w:val="top"/>
          </w:tcPr>
          <w:p w14:paraId="23D363D0">
            <w:pPr>
              <w:pStyle w:val="382"/>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3080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noWrap w:val="0"/>
            <w:vAlign w:val="top"/>
          </w:tcPr>
          <w:p w14:paraId="00BC3F5F">
            <w:pPr>
              <w:pStyle w:val="382"/>
              <w:spacing w:before="67"/>
              <w:ind w:left="128"/>
              <w:rPr>
                <w:color w:val="auto"/>
                <w:highlight w:val="none"/>
              </w:rPr>
            </w:pPr>
            <w:r>
              <w:rPr>
                <w:color w:val="auto"/>
                <w:spacing w:val="-10"/>
                <w:highlight w:val="none"/>
              </w:rPr>
              <w:t>19</w:t>
            </w:r>
          </w:p>
        </w:tc>
        <w:tc>
          <w:tcPr>
            <w:tcW w:w="1542" w:type="dxa"/>
            <w:noWrap w:val="0"/>
            <w:vAlign w:val="top"/>
          </w:tcPr>
          <w:p w14:paraId="345F86DD">
            <w:pPr>
              <w:pStyle w:val="382"/>
              <w:spacing w:before="67" w:line="220" w:lineRule="auto"/>
              <w:ind w:left="102"/>
              <w:rPr>
                <w:color w:val="auto"/>
                <w:highlight w:val="none"/>
              </w:rPr>
            </w:pPr>
            <w:r>
              <w:rPr>
                <w:color w:val="auto"/>
                <w:spacing w:val="-1"/>
                <w:highlight w:val="none"/>
              </w:rPr>
              <w:t>A0604</w:t>
            </w:r>
            <w:r>
              <w:rPr>
                <w:color w:val="auto"/>
                <w:spacing w:val="-35"/>
                <w:highlight w:val="none"/>
              </w:rPr>
              <w:t xml:space="preserve"> </w:t>
            </w:r>
            <w:r>
              <w:rPr>
                <w:color w:val="auto"/>
                <w:spacing w:val="-1"/>
                <w:highlight w:val="none"/>
              </w:rPr>
              <w:t>沙发类</w:t>
            </w:r>
          </w:p>
        </w:tc>
        <w:tc>
          <w:tcPr>
            <w:tcW w:w="2672" w:type="dxa"/>
            <w:noWrap w:val="0"/>
            <w:vAlign w:val="top"/>
          </w:tcPr>
          <w:p w14:paraId="40FE667F">
            <w:pPr>
              <w:pStyle w:val="382"/>
              <w:spacing w:before="67" w:line="220" w:lineRule="auto"/>
              <w:ind w:left="103"/>
              <w:rPr>
                <w:color w:val="auto"/>
                <w:highlight w:val="none"/>
              </w:rPr>
            </w:pPr>
            <w:r>
              <w:rPr>
                <w:color w:val="auto"/>
                <w:spacing w:val="-1"/>
                <w:highlight w:val="none"/>
              </w:rPr>
              <w:t>A060499</w:t>
            </w:r>
            <w:r>
              <w:rPr>
                <w:color w:val="auto"/>
                <w:spacing w:val="-33"/>
                <w:highlight w:val="none"/>
              </w:rPr>
              <w:t xml:space="preserve"> </w:t>
            </w:r>
            <w:r>
              <w:rPr>
                <w:color w:val="auto"/>
                <w:spacing w:val="-1"/>
                <w:highlight w:val="none"/>
              </w:rPr>
              <w:t>其他沙发类</w:t>
            </w:r>
          </w:p>
        </w:tc>
        <w:tc>
          <w:tcPr>
            <w:tcW w:w="2248" w:type="dxa"/>
            <w:noWrap w:val="0"/>
            <w:vAlign w:val="top"/>
          </w:tcPr>
          <w:p w14:paraId="2B2F430E">
            <w:pPr>
              <w:rPr>
                <w:rFonts w:ascii="Arial"/>
                <w:color w:val="auto"/>
                <w:sz w:val="21"/>
                <w:highlight w:val="none"/>
              </w:rPr>
            </w:pPr>
          </w:p>
        </w:tc>
        <w:tc>
          <w:tcPr>
            <w:tcW w:w="3543" w:type="dxa"/>
            <w:noWrap w:val="0"/>
            <w:vAlign w:val="top"/>
          </w:tcPr>
          <w:p w14:paraId="53ABC985">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200A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66A1369F">
            <w:pPr>
              <w:pStyle w:val="382"/>
              <w:spacing w:before="67"/>
              <w:ind w:left="116"/>
              <w:rPr>
                <w:color w:val="auto"/>
                <w:highlight w:val="none"/>
              </w:rPr>
            </w:pPr>
            <w:r>
              <w:rPr>
                <w:color w:val="auto"/>
                <w:spacing w:val="-4"/>
                <w:highlight w:val="none"/>
              </w:rPr>
              <w:t>20</w:t>
            </w:r>
          </w:p>
        </w:tc>
        <w:tc>
          <w:tcPr>
            <w:tcW w:w="1542" w:type="dxa"/>
            <w:vMerge w:val="restart"/>
            <w:tcBorders>
              <w:bottom w:val="nil"/>
            </w:tcBorders>
            <w:noWrap w:val="0"/>
            <w:vAlign w:val="top"/>
          </w:tcPr>
          <w:p w14:paraId="5A500AAF">
            <w:pPr>
              <w:pStyle w:val="382"/>
              <w:spacing w:before="67" w:line="220" w:lineRule="auto"/>
              <w:ind w:left="193"/>
              <w:rPr>
                <w:color w:val="auto"/>
                <w:highlight w:val="none"/>
              </w:rPr>
            </w:pPr>
            <w:r>
              <w:rPr>
                <w:color w:val="auto"/>
                <w:spacing w:val="-1"/>
                <w:highlight w:val="none"/>
              </w:rPr>
              <w:t>A0605</w:t>
            </w:r>
            <w:r>
              <w:rPr>
                <w:color w:val="auto"/>
                <w:spacing w:val="-36"/>
                <w:highlight w:val="none"/>
              </w:rPr>
              <w:t xml:space="preserve"> </w:t>
            </w:r>
            <w:r>
              <w:rPr>
                <w:color w:val="auto"/>
                <w:spacing w:val="-1"/>
                <w:highlight w:val="none"/>
              </w:rPr>
              <w:t>柜类</w:t>
            </w:r>
          </w:p>
        </w:tc>
        <w:tc>
          <w:tcPr>
            <w:tcW w:w="2672" w:type="dxa"/>
            <w:noWrap w:val="0"/>
            <w:vAlign w:val="top"/>
          </w:tcPr>
          <w:p w14:paraId="3B996D6D">
            <w:pPr>
              <w:pStyle w:val="382"/>
              <w:spacing w:before="67" w:line="220" w:lineRule="auto"/>
              <w:ind w:left="103"/>
              <w:rPr>
                <w:color w:val="auto"/>
                <w:highlight w:val="none"/>
              </w:rPr>
            </w:pPr>
            <w:r>
              <w:rPr>
                <w:color w:val="auto"/>
                <w:spacing w:val="-1"/>
                <w:highlight w:val="none"/>
              </w:rPr>
              <w:t>A060501</w:t>
            </w:r>
            <w:r>
              <w:rPr>
                <w:color w:val="auto"/>
                <w:spacing w:val="-33"/>
                <w:highlight w:val="none"/>
              </w:rPr>
              <w:t xml:space="preserve"> </w:t>
            </w:r>
            <w:r>
              <w:rPr>
                <w:color w:val="auto"/>
                <w:spacing w:val="-1"/>
                <w:highlight w:val="none"/>
              </w:rPr>
              <w:t>木质柜类</w:t>
            </w:r>
          </w:p>
        </w:tc>
        <w:tc>
          <w:tcPr>
            <w:tcW w:w="2248" w:type="dxa"/>
            <w:noWrap w:val="0"/>
            <w:vAlign w:val="top"/>
          </w:tcPr>
          <w:p w14:paraId="3CBD2639">
            <w:pPr>
              <w:rPr>
                <w:rFonts w:ascii="Arial"/>
                <w:color w:val="auto"/>
                <w:sz w:val="21"/>
                <w:highlight w:val="none"/>
              </w:rPr>
            </w:pPr>
          </w:p>
        </w:tc>
        <w:tc>
          <w:tcPr>
            <w:tcW w:w="3543" w:type="dxa"/>
            <w:noWrap w:val="0"/>
            <w:vAlign w:val="top"/>
          </w:tcPr>
          <w:p w14:paraId="73658CB9">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E4FF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noWrap w:val="0"/>
            <w:vAlign w:val="top"/>
          </w:tcPr>
          <w:p w14:paraId="4DA9D946">
            <w:pPr>
              <w:rPr>
                <w:rFonts w:ascii="Arial"/>
                <w:color w:val="auto"/>
                <w:sz w:val="21"/>
                <w:highlight w:val="none"/>
              </w:rPr>
            </w:pPr>
          </w:p>
        </w:tc>
        <w:tc>
          <w:tcPr>
            <w:tcW w:w="1542" w:type="dxa"/>
            <w:vMerge w:val="continue"/>
            <w:tcBorders>
              <w:top w:val="nil"/>
              <w:bottom w:val="nil"/>
            </w:tcBorders>
            <w:noWrap w:val="0"/>
            <w:vAlign w:val="top"/>
          </w:tcPr>
          <w:p w14:paraId="1E0FFC0E">
            <w:pPr>
              <w:rPr>
                <w:rFonts w:ascii="Arial"/>
                <w:color w:val="auto"/>
                <w:sz w:val="21"/>
                <w:highlight w:val="none"/>
              </w:rPr>
            </w:pPr>
          </w:p>
        </w:tc>
        <w:tc>
          <w:tcPr>
            <w:tcW w:w="2672" w:type="dxa"/>
            <w:noWrap w:val="0"/>
            <w:vAlign w:val="top"/>
          </w:tcPr>
          <w:p w14:paraId="151C5475">
            <w:pPr>
              <w:pStyle w:val="382"/>
              <w:spacing w:before="67" w:line="220" w:lineRule="auto"/>
              <w:ind w:left="103"/>
              <w:rPr>
                <w:color w:val="auto"/>
                <w:highlight w:val="none"/>
              </w:rPr>
            </w:pPr>
            <w:r>
              <w:rPr>
                <w:color w:val="auto"/>
                <w:spacing w:val="-1"/>
                <w:highlight w:val="none"/>
              </w:rPr>
              <w:t>A060503</w:t>
            </w:r>
            <w:r>
              <w:rPr>
                <w:color w:val="auto"/>
                <w:spacing w:val="-32"/>
                <w:highlight w:val="none"/>
              </w:rPr>
              <w:t xml:space="preserve"> </w:t>
            </w:r>
            <w:r>
              <w:rPr>
                <w:color w:val="auto"/>
                <w:spacing w:val="-1"/>
                <w:highlight w:val="none"/>
              </w:rPr>
              <w:t>金属质柜类</w:t>
            </w:r>
          </w:p>
        </w:tc>
        <w:tc>
          <w:tcPr>
            <w:tcW w:w="2248" w:type="dxa"/>
            <w:noWrap w:val="0"/>
            <w:vAlign w:val="top"/>
          </w:tcPr>
          <w:p w14:paraId="2995010C">
            <w:pPr>
              <w:rPr>
                <w:rFonts w:ascii="Arial"/>
                <w:color w:val="auto"/>
                <w:sz w:val="21"/>
                <w:highlight w:val="none"/>
              </w:rPr>
            </w:pPr>
          </w:p>
        </w:tc>
        <w:tc>
          <w:tcPr>
            <w:tcW w:w="3543" w:type="dxa"/>
            <w:noWrap w:val="0"/>
            <w:vAlign w:val="top"/>
          </w:tcPr>
          <w:p w14:paraId="7F5F3DEF">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A5C2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noWrap w:val="0"/>
            <w:vAlign w:val="top"/>
          </w:tcPr>
          <w:p w14:paraId="58D37B95">
            <w:pPr>
              <w:rPr>
                <w:rFonts w:ascii="Arial"/>
                <w:color w:val="auto"/>
                <w:sz w:val="21"/>
                <w:highlight w:val="none"/>
              </w:rPr>
            </w:pPr>
          </w:p>
        </w:tc>
        <w:tc>
          <w:tcPr>
            <w:tcW w:w="1542" w:type="dxa"/>
            <w:vMerge w:val="continue"/>
            <w:tcBorders>
              <w:top w:val="nil"/>
            </w:tcBorders>
            <w:noWrap w:val="0"/>
            <w:vAlign w:val="top"/>
          </w:tcPr>
          <w:p w14:paraId="18C48D57">
            <w:pPr>
              <w:rPr>
                <w:rFonts w:ascii="Arial"/>
                <w:color w:val="auto"/>
                <w:sz w:val="21"/>
                <w:highlight w:val="none"/>
              </w:rPr>
            </w:pPr>
          </w:p>
        </w:tc>
        <w:tc>
          <w:tcPr>
            <w:tcW w:w="2672" w:type="dxa"/>
            <w:noWrap w:val="0"/>
            <w:vAlign w:val="top"/>
          </w:tcPr>
          <w:p w14:paraId="383E6F5C">
            <w:pPr>
              <w:pStyle w:val="382"/>
              <w:spacing w:before="67" w:line="220" w:lineRule="auto"/>
              <w:ind w:left="103"/>
              <w:rPr>
                <w:color w:val="auto"/>
                <w:highlight w:val="none"/>
              </w:rPr>
            </w:pPr>
            <w:r>
              <w:rPr>
                <w:color w:val="auto"/>
                <w:spacing w:val="-1"/>
                <w:highlight w:val="none"/>
              </w:rPr>
              <w:t>A060599</w:t>
            </w:r>
            <w:r>
              <w:rPr>
                <w:color w:val="auto"/>
                <w:spacing w:val="-33"/>
                <w:highlight w:val="none"/>
              </w:rPr>
              <w:t xml:space="preserve"> </w:t>
            </w:r>
            <w:r>
              <w:rPr>
                <w:color w:val="auto"/>
                <w:spacing w:val="-1"/>
                <w:highlight w:val="none"/>
              </w:rPr>
              <w:t>其他柜类</w:t>
            </w:r>
          </w:p>
        </w:tc>
        <w:tc>
          <w:tcPr>
            <w:tcW w:w="2248" w:type="dxa"/>
            <w:noWrap w:val="0"/>
            <w:vAlign w:val="top"/>
          </w:tcPr>
          <w:p w14:paraId="50F7DE5F">
            <w:pPr>
              <w:rPr>
                <w:rFonts w:ascii="Arial"/>
                <w:color w:val="auto"/>
                <w:sz w:val="21"/>
                <w:highlight w:val="none"/>
              </w:rPr>
            </w:pPr>
          </w:p>
        </w:tc>
        <w:tc>
          <w:tcPr>
            <w:tcW w:w="3543" w:type="dxa"/>
            <w:noWrap w:val="0"/>
            <w:vAlign w:val="top"/>
          </w:tcPr>
          <w:p w14:paraId="792C0B92">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DE89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699BD902">
            <w:pPr>
              <w:pStyle w:val="382"/>
              <w:spacing w:before="67" w:line="242" w:lineRule="auto"/>
              <w:ind w:left="116"/>
              <w:rPr>
                <w:color w:val="auto"/>
                <w:highlight w:val="none"/>
              </w:rPr>
            </w:pPr>
            <w:r>
              <w:rPr>
                <w:color w:val="auto"/>
                <w:spacing w:val="-4"/>
                <w:highlight w:val="none"/>
              </w:rPr>
              <w:t>21</w:t>
            </w:r>
          </w:p>
        </w:tc>
        <w:tc>
          <w:tcPr>
            <w:tcW w:w="1542" w:type="dxa"/>
            <w:vMerge w:val="restart"/>
            <w:tcBorders>
              <w:bottom w:val="nil"/>
            </w:tcBorders>
            <w:noWrap w:val="0"/>
            <w:vAlign w:val="top"/>
          </w:tcPr>
          <w:p w14:paraId="313A1EAB">
            <w:pPr>
              <w:pStyle w:val="382"/>
              <w:spacing w:before="67" w:line="220" w:lineRule="auto"/>
              <w:ind w:left="102"/>
              <w:rPr>
                <w:color w:val="auto"/>
                <w:highlight w:val="none"/>
              </w:rPr>
            </w:pPr>
            <w:r>
              <w:rPr>
                <w:color w:val="auto"/>
                <w:spacing w:val="-1"/>
                <w:highlight w:val="none"/>
              </w:rPr>
              <w:t>A0606</w:t>
            </w:r>
            <w:r>
              <w:rPr>
                <w:color w:val="auto"/>
                <w:spacing w:val="-35"/>
                <w:highlight w:val="none"/>
              </w:rPr>
              <w:t xml:space="preserve"> </w:t>
            </w:r>
            <w:r>
              <w:rPr>
                <w:color w:val="auto"/>
                <w:spacing w:val="-1"/>
                <w:highlight w:val="none"/>
              </w:rPr>
              <w:t>架类</w:t>
            </w:r>
          </w:p>
        </w:tc>
        <w:tc>
          <w:tcPr>
            <w:tcW w:w="2672" w:type="dxa"/>
            <w:noWrap w:val="0"/>
            <w:vAlign w:val="top"/>
          </w:tcPr>
          <w:p w14:paraId="5ED49AA5">
            <w:pPr>
              <w:pStyle w:val="382"/>
              <w:spacing w:before="67" w:line="220" w:lineRule="auto"/>
              <w:ind w:left="103"/>
              <w:rPr>
                <w:color w:val="auto"/>
                <w:highlight w:val="none"/>
              </w:rPr>
            </w:pPr>
            <w:r>
              <w:rPr>
                <w:color w:val="auto"/>
                <w:spacing w:val="-1"/>
                <w:highlight w:val="none"/>
              </w:rPr>
              <w:t>A060601</w:t>
            </w:r>
            <w:r>
              <w:rPr>
                <w:color w:val="auto"/>
                <w:spacing w:val="-33"/>
                <w:highlight w:val="none"/>
              </w:rPr>
              <w:t xml:space="preserve"> </w:t>
            </w:r>
            <w:r>
              <w:rPr>
                <w:color w:val="auto"/>
                <w:spacing w:val="-1"/>
                <w:highlight w:val="none"/>
              </w:rPr>
              <w:t>木质架类</w:t>
            </w:r>
          </w:p>
        </w:tc>
        <w:tc>
          <w:tcPr>
            <w:tcW w:w="2248" w:type="dxa"/>
            <w:noWrap w:val="0"/>
            <w:vAlign w:val="top"/>
          </w:tcPr>
          <w:p w14:paraId="49535048">
            <w:pPr>
              <w:rPr>
                <w:rFonts w:ascii="Arial"/>
                <w:color w:val="auto"/>
                <w:sz w:val="21"/>
                <w:highlight w:val="none"/>
              </w:rPr>
            </w:pPr>
          </w:p>
        </w:tc>
        <w:tc>
          <w:tcPr>
            <w:tcW w:w="3543" w:type="dxa"/>
            <w:noWrap w:val="0"/>
            <w:vAlign w:val="top"/>
          </w:tcPr>
          <w:p w14:paraId="5BA71B2F">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6880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noWrap w:val="0"/>
            <w:vAlign w:val="top"/>
          </w:tcPr>
          <w:p w14:paraId="02A03242">
            <w:pPr>
              <w:rPr>
                <w:rFonts w:ascii="Arial"/>
                <w:color w:val="auto"/>
                <w:sz w:val="21"/>
                <w:highlight w:val="none"/>
              </w:rPr>
            </w:pPr>
          </w:p>
        </w:tc>
        <w:tc>
          <w:tcPr>
            <w:tcW w:w="1542" w:type="dxa"/>
            <w:vMerge w:val="continue"/>
            <w:tcBorders>
              <w:top w:val="nil"/>
            </w:tcBorders>
            <w:noWrap w:val="0"/>
            <w:vAlign w:val="top"/>
          </w:tcPr>
          <w:p w14:paraId="2A506222">
            <w:pPr>
              <w:rPr>
                <w:rFonts w:ascii="Arial"/>
                <w:color w:val="auto"/>
                <w:sz w:val="21"/>
                <w:highlight w:val="none"/>
              </w:rPr>
            </w:pPr>
          </w:p>
        </w:tc>
        <w:tc>
          <w:tcPr>
            <w:tcW w:w="2672" w:type="dxa"/>
            <w:noWrap w:val="0"/>
            <w:vAlign w:val="top"/>
          </w:tcPr>
          <w:p w14:paraId="3426A18C">
            <w:pPr>
              <w:pStyle w:val="382"/>
              <w:spacing w:before="67" w:line="220" w:lineRule="auto"/>
              <w:ind w:left="103"/>
              <w:rPr>
                <w:color w:val="auto"/>
                <w:highlight w:val="none"/>
              </w:rPr>
            </w:pPr>
            <w:r>
              <w:rPr>
                <w:color w:val="auto"/>
                <w:spacing w:val="-1"/>
                <w:highlight w:val="none"/>
              </w:rPr>
              <w:t>A060602</w:t>
            </w:r>
            <w:r>
              <w:rPr>
                <w:color w:val="auto"/>
                <w:spacing w:val="-32"/>
                <w:highlight w:val="none"/>
              </w:rPr>
              <w:t xml:space="preserve"> </w:t>
            </w:r>
            <w:r>
              <w:rPr>
                <w:color w:val="auto"/>
                <w:spacing w:val="-1"/>
                <w:highlight w:val="none"/>
              </w:rPr>
              <w:t>金属质架类</w:t>
            </w:r>
          </w:p>
        </w:tc>
        <w:tc>
          <w:tcPr>
            <w:tcW w:w="2248" w:type="dxa"/>
            <w:noWrap w:val="0"/>
            <w:vAlign w:val="top"/>
          </w:tcPr>
          <w:p w14:paraId="20835B69">
            <w:pPr>
              <w:rPr>
                <w:rFonts w:ascii="Arial"/>
                <w:color w:val="auto"/>
                <w:sz w:val="21"/>
                <w:highlight w:val="none"/>
              </w:rPr>
            </w:pPr>
          </w:p>
        </w:tc>
        <w:tc>
          <w:tcPr>
            <w:tcW w:w="3543" w:type="dxa"/>
            <w:noWrap w:val="0"/>
            <w:vAlign w:val="top"/>
          </w:tcPr>
          <w:p w14:paraId="739C69EE">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76CB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611BE8CD">
            <w:pPr>
              <w:pStyle w:val="382"/>
              <w:spacing w:before="67" w:line="242" w:lineRule="auto"/>
              <w:ind w:left="116"/>
              <w:rPr>
                <w:color w:val="auto"/>
                <w:highlight w:val="none"/>
              </w:rPr>
            </w:pPr>
            <w:r>
              <w:rPr>
                <w:color w:val="auto"/>
                <w:spacing w:val="-4"/>
                <w:highlight w:val="none"/>
              </w:rPr>
              <w:t>22</w:t>
            </w:r>
          </w:p>
        </w:tc>
        <w:tc>
          <w:tcPr>
            <w:tcW w:w="1542" w:type="dxa"/>
            <w:vMerge w:val="restart"/>
            <w:tcBorders>
              <w:bottom w:val="nil"/>
            </w:tcBorders>
            <w:noWrap w:val="0"/>
            <w:vAlign w:val="top"/>
          </w:tcPr>
          <w:p w14:paraId="4C4B7CB8">
            <w:pPr>
              <w:pStyle w:val="382"/>
              <w:spacing w:before="67" w:line="220" w:lineRule="auto"/>
              <w:ind w:left="102"/>
              <w:rPr>
                <w:color w:val="auto"/>
                <w:highlight w:val="none"/>
              </w:rPr>
            </w:pPr>
            <w:r>
              <w:rPr>
                <w:color w:val="auto"/>
                <w:spacing w:val="-1"/>
                <w:highlight w:val="none"/>
              </w:rPr>
              <w:t>A0607</w:t>
            </w:r>
            <w:r>
              <w:rPr>
                <w:color w:val="auto"/>
                <w:spacing w:val="-35"/>
                <w:highlight w:val="none"/>
              </w:rPr>
              <w:t xml:space="preserve"> </w:t>
            </w:r>
            <w:r>
              <w:rPr>
                <w:color w:val="auto"/>
                <w:spacing w:val="-1"/>
                <w:highlight w:val="none"/>
              </w:rPr>
              <w:t>屏风类</w:t>
            </w:r>
          </w:p>
        </w:tc>
        <w:tc>
          <w:tcPr>
            <w:tcW w:w="2672" w:type="dxa"/>
            <w:noWrap w:val="0"/>
            <w:vAlign w:val="top"/>
          </w:tcPr>
          <w:p w14:paraId="391A4D21">
            <w:pPr>
              <w:pStyle w:val="382"/>
              <w:spacing w:before="67" w:line="220" w:lineRule="auto"/>
              <w:ind w:left="103"/>
              <w:rPr>
                <w:color w:val="auto"/>
                <w:highlight w:val="none"/>
              </w:rPr>
            </w:pPr>
            <w:r>
              <w:rPr>
                <w:color w:val="auto"/>
                <w:spacing w:val="-1"/>
                <w:highlight w:val="none"/>
              </w:rPr>
              <w:t>A060701</w:t>
            </w:r>
            <w:r>
              <w:rPr>
                <w:color w:val="auto"/>
                <w:spacing w:val="-33"/>
                <w:highlight w:val="none"/>
              </w:rPr>
              <w:t xml:space="preserve"> </w:t>
            </w:r>
            <w:r>
              <w:rPr>
                <w:color w:val="auto"/>
                <w:spacing w:val="-1"/>
                <w:highlight w:val="none"/>
              </w:rPr>
              <w:t>木质屏风类</w:t>
            </w:r>
          </w:p>
        </w:tc>
        <w:tc>
          <w:tcPr>
            <w:tcW w:w="2248" w:type="dxa"/>
            <w:noWrap w:val="0"/>
            <w:vAlign w:val="top"/>
          </w:tcPr>
          <w:p w14:paraId="3D48F1BD">
            <w:pPr>
              <w:rPr>
                <w:rFonts w:ascii="Arial"/>
                <w:color w:val="auto"/>
                <w:sz w:val="21"/>
                <w:highlight w:val="none"/>
              </w:rPr>
            </w:pPr>
          </w:p>
        </w:tc>
        <w:tc>
          <w:tcPr>
            <w:tcW w:w="3543" w:type="dxa"/>
            <w:noWrap w:val="0"/>
            <w:vAlign w:val="top"/>
          </w:tcPr>
          <w:p w14:paraId="6857E5F9">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FE0A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noWrap w:val="0"/>
            <w:vAlign w:val="top"/>
          </w:tcPr>
          <w:p w14:paraId="24A384FC">
            <w:pPr>
              <w:rPr>
                <w:rFonts w:ascii="Arial"/>
                <w:color w:val="auto"/>
                <w:sz w:val="21"/>
                <w:highlight w:val="none"/>
              </w:rPr>
            </w:pPr>
          </w:p>
        </w:tc>
        <w:tc>
          <w:tcPr>
            <w:tcW w:w="1542" w:type="dxa"/>
            <w:vMerge w:val="continue"/>
            <w:tcBorders>
              <w:top w:val="nil"/>
            </w:tcBorders>
            <w:noWrap w:val="0"/>
            <w:vAlign w:val="top"/>
          </w:tcPr>
          <w:p w14:paraId="17C14DE3">
            <w:pPr>
              <w:rPr>
                <w:rFonts w:ascii="Arial"/>
                <w:color w:val="auto"/>
                <w:sz w:val="21"/>
                <w:highlight w:val="none"/>
              </w:rPr>
            </w:pPr>
          </w:p>
        </w:tc>
        <w:tc>
          <w:tcPr>
            <w:tcW w:w="2672" w:type="dxa"/>
            <w:noWrap w:val="0"/>
            <w:vAlign w:val="top"/>
          </w:tcPr>
          <w:p w14:paraId="0227311C">
            <w:pPr>
              <w:pStyle w:val="382"/>
              <w:spacing w:before="67" w:line="220" w:lineRule="auto"/>
              <w:ind w:left="103"/>
              <w:rPr>
                <w:color w:val="auto"/>
                <w:highlight w:val="none"/>
              </w:rPr>
            </w:pPr>
            <w:r>
              <w:rPr>
                <w:color w:val="auto"/>
                <w:spacing w:val="-1"/>
                <w:highlight w:val="none"/>
              </w:rPr>
              <w:t>A060702</w:t>
            </w:r>
            <w:r>
              <w:rPr>
                <w:color w:val="auto"/>
                <w:spacing w:val="-32"/>
                <w:highlight w:val="none"/>
              </w:rPr>
              <w:t xml:space="preserve"> </w:t>
            </w:r>
            <w:r>
              <w:rPr>
                <w:color w:val="auto"/>
                <w:spacing w:val="-1"/>
                <w:highlight w:val="none"/>
              </w:rPr>
              <w:t>金属质屏风类</w:t>
            </w:r>
          </w:p>
        </w:tc>
        <w:tc>
          <w:tcPr>
            <w:tcW w:w="2248" w:type="dxa"/>
            <w:noWrap w:val="0"/>
            <w:vAlign w:val="top"/>
          </w:tcPr>
          <w:p w14:paraId="68C8BB94">
            <w:pPr>
              <w:rPr>
                <w:rFonts w:ascii="Arial"/>
                <w:color w:val="auto"/>
                <w:sz w:val="21"/>
                <w:highlight w:val="none"/>
              </w:rPr>
            </w:pPr>
          </w:p>
        </w:tc>
        <w:tc>
          <w:tcPr>
            <w:tcW w:w="3543" w:type="dxa"/>
            <w:noWrap w:val="0"/>
            <w:vAlign w:val="top"/>
          </w:tcPr>
          <w:p w14:paraId="2B163371">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5831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noWrap w:val="0"/>
            <w:vAlign w:val="top"/>
          </w:tcPr>
          <w:p w14:paraId="1A7399CF">
            <w:pPr>
              <w:pStyle w:val="382"/>
              <w:spacing w:before="67"/>
              <w:ind w:left="116"/>
              <w:rPr>
                <w:color w:val="auto"/>
                <w:highlight w:val="none"/>
              </w:rPr>
            </w:pPr>
            <w:r>
              <w:rPr>
                <w:color w:val="auto"/>
                <w:spacing w:val="-4"/>
                <w:highlight w:val="none"/>
              </w:rPr>
              <w:t>23</w:t>
            </w:r>
          </w:p>
        </w:tc>
        <w:tc>
          <w:tcPr>
            <w:tcW w:w="1542" w:type="dxa"/>
            <w:noWrap w:val="0"/>
            <w:vAlign w:val="top"/>
          </w:tcPr>
          <w:p w14:paraId="10294671">
            <w:pPr>
              <w:pStyle w:val="382"/>
              <w:spacing w:before="67" w:line="220" w:lineRule="auto"/>
              <w:ind w:left="102"/>
              <w:rPr>
                <w:color w:val="auto"/>
                <w:highlight w:val="none"/>
              </w:rPr>
            </w:pPr>
            <w:r>
              <w:rPr>
                <w:color w:val="auto"/>
                <w:spacing w:val="-1"/>
                <w:highlight w:val="none"/>
              </w:rPr>
              <w:t>A060804</w:t>
            </w:r>
            <w:r>
              <w:rPr>
                <w:color w:val="auto"/>
                <w:spacing w:val="-32"/>
                <w:highlight w:val="none"/>
              </w:rPr>
              <w:t xml:space="preserve"> </w:t>
            </w:r>
            <w:r>
              <w:rPr>
                <w:color w:val="auto"/>
                <w:spacing w:val="-1"/>
                <w:highlight w:val="none"/>
              </w:rPr>
              <w:t>水池</w:t>
            </w:r>
          </w:p>
        </w:tc>
        <w:tc>
          <w:tcPr>
            <w:tcW w:w="2672" w:type="dxa"/>
            <w:noWrap w:val="0"/>
            <w:vAlign w:val="top"/>
          </w:tcPr>
          <w:p w14:paraId="46412883">
            <w:pPr>
              <w:rPr>
                <w:rFonts w:ascii="Arial"/>
                <w:color w:val="auto"/>
                <w:sz w:val="21"/>
                <w:highlight w:val="none"/>
              </w:rPr>
            </w:pPr>
          </w:p>
        </w:tc>
        <w:tc>
          <w:tcPr>
            <w:tcW w:w="2248" w:type="dxa"/>
            <w:noWrap w:val="0"/>
            <w:vAlign w:val="top"/>
          </w:tcPr>
          <w:p w14:paraId="20038E3E">
            <w:pPr>
              <w:rPr>
                <w:rFonts w:ascii="Arial"/>
                <w:color w:val="auto"/>
                <w:sz w:val="21"/>
                <w:highlight w:val="none"/>
              </w:rPr>
            </w:pPr>
          </w:p>
        </w:tc>
        <w:tc>
          <w:tcPr>
            <w:tcW w:w="3543" w:type="dxa"/>
            <w:noWrap w:val="0"/>
            <w:vAlign w:val="top"/>
          </w:tcPr>
          <w:p w14:paraId="07B279EE">
            <w:pPr>
              <w:pStyle w:val="382"/>
              <w:spacing w:before="66" w:line="219" w:lineRule="auto"/>
              <w:ind w:left="109"/>
              <w:rPr>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24C2E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noWrap w:val="0"/>
            <w:vAlign w:val="top"/>
          </w:tcPr>
          <w:p w14:paraId="2B8EB16E">
            <w:pPr>
              <w:pStyle w:val="382"/>
              <w:spacing w:before="67" w:line="242" w:lineRule="auto"/>
              <w:ind w:left="116"/>
              <w:rPr>
                <w:color w:val="auto"/>
                <w:highlight w:val="none"/>
              </w:rPr>
            </w:pPr>
            <w:r>
              <w:rPr>
                <w:color w:val="auto"/>
                <w:spacing w:val="-4"/>
                <w:highlight w:val="none"/>
              </w:rPr>
              <w:t>24</w:t>
            </w:r>
          </w:p>
        </w:tc>
        <w:tc>
          <w:tcPr>
            <w:tcW w:w="1542" w:type="dxa"/>
            <w:noWrap w:val="0"/>
            <w:vAlign w:val="top"/>
          </w:tcPr>
          <w:p w14:paraId="51F2D4F0">
            <w:pPr>
              <w:pStyle w:val="382"/>
              <w:spacing w:before="67" w:line="220" w:lineRule="auto"/>
              <w:ind w:left="102"/>
              <w:rPr>
                <w:color w:val="auto"/>
                <w:highlight w:val="none"/>
              </w:rPr>
            </w:pPr>
            <w:r>
              <w:rPr>
                <w:color w:val="auto"/>
                <w:spacing w:val="-1"/>
                <w:highlight w:val="none"/>
              </w:rPr>
              <w:t>A060805</w:t>
            </w:r>
            <w:r>
              <w:rPr>
                <w:color w:val="auto"/>
                <w:spacing w:val="-33"/>
                <w:highlight w:val="none"/>
              </w:rPr>
              <w:t xml:space="preserve"> </w:t>
            </w:r>
            <w:r>
              <w:rPr>
                <w:color w:val="auto"/>
                <w:spacing w:val="-1"/>
                <w:highlight w:val="none"/>
              </w:rPr>
              <w:t>便器</w:t>
            </w:r>
          </w:p>
        </w:tc>
        <w:tc>
          <w:tcPr>
            <w:tcW w:w="2672" w:type="dxa"/>
            <w:noWrap w:val="0"/>
            <w:vAlign w:val="top"/>
          </w:tcPr>
          <w:p w14:paraId="406BE361">
            <w:pPr>
              <w:rPr>
                <w:rFonts w:ascii="Arial"/>
                <w:color w:val="auto"/>
                <w:sz w:val="21"/>
                <w:highlight w:val="none"/>
              </w:rPr>
            </w:pPr>
          </w:p>
        </w:tc>
        <w:tc>
          <w:tcPr>
            <w:tcW w:w="2248" w:type="dxa"/>
            <w:noWrap w:val="0"/>
            <w:vAlign w:val="top"/>
          </w:tcPr>
          <w:p w14:paraId="4A407832">
            <w:pPr>
              <w:rPr>
                <w:rFonts w:ascii="Arial"/>
                <w:color w:val="auto"/>
                <w:sz w:val="21"/>
                <w:highlight w:val="none"/>
              </w:rPr>
            </w:pPr>
          </w:p>
        </w:tc>
        <w:tc>
          <w:tcPr>
            <w:tcW w:w="3543" w:type="dxa"/>
            <w:noWrap w:val="0"/>
            <w:vAlign w:val="top"/>
          </w:tcPr>
          <w:p w14:paraId="3D4D489F">
            <w:pPr>
              <w:pStyle w:val="382"/>
              <w:spacing w:before="67" w:line="219" w:lineRule="auto"/>
              <w:ind w:left="109"/>
              <w:rPr>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72197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noWrap w:val="0"/>
            <w:vAlign w:val="top"/>
          </w:tcPr>
          <w:p w14:paraId="5186351E">
            <w:pPr>
              <w:pStyle w:val="382"/>
              <w:spacing w:before="67"/>
              <w:ind w:left="116"/>
              <w:rPr>
                <w:color w:val="auto"/>
                <w:highlight w:val="none"/>
              </w:rPr>
            </w:pPr>
            <w:r>
              <w:rPr>
                <w:color w:val="auto"/>
                <w:spacing w:val="-4"/>
                <w:highlight w:val="none"/>
              </w:rPr>
              <w:t>25</w:t>
            </w:r>
          </w:p>
        </w:tc>
        <w:tc>
          <w:tcPr>
            <w:tcW w:w="1542" w:type="dxa"/>
            <w:noWrap w:val="0"/>
            <w:vAlign w:val="top"/>
          </w:tcPr>
          <w:p w14:paraId="09C21CD0">
            <w:pPr>
              <w:pStyle w:val="382"/>
              <w:spacing w:before="67" w:line="220" w:lineRule="auto"/>
              <w:ind w:left="102"/>
              <w:rPr>
                <w:color w:val="auto"/>
                <w:highlight w:val="none"/>
              </w:rPr>
            </w:pPr>
            <w:r>
              <w:rPr>
                <w:color w:val="auto"/>
                <w:spacing w:val="-1"/>
                <w:highlight w:val="none"/>
              </w:rPr>
              <w:t>A060806</w:t>
            </w:r>
            <w:r>
              <w:rPr>
                <w:color w:val="auto"/>
                <w:spacing w:val="-32"/>
                <w:highlight w:val="none"/>
              </w:rPr>
              <w:t xml:space="preserve"> </w:t>
            </w:r>
            <w:r>
              <w:rPr>
                <w:color w:val="auto"/>
                <w:spacing w:val="-1"/>
                <w:highlight w:val="none"/>
              </w:rPr>
              <w:t>水嘴</w:t>
            </w:r>
          </w:p>
        </w:tc>
        <w:tc>
          <w:tcPr>
            <w:tcW w:w="2672" w:type="dxa"/>
            <w:noWrap w:val="0"/>
            <w:vAlign w:val="top"/>
          </w:tcPr>
          <w:p w14:paraId="1484DD1A">
            <w:pPr>
              <w:rPr>
                <w:rFonts w:ascii="Arial"/>
                <w:color w:val="auto"/>
                <w:sz w:val="21"/>
                <w:highlight w:val="none"/>
              </w:rPr>
            </w:pPr>
          </w:p>
        </w:tc>
        <w:tc>
          <w:tcPr>
            <w:tcW w:w="2248" w:type="dxa"/>
            <w:noWrap w:val="0"/>
            <w:vAlign w:val="top"/>
          </w:tcPr>
          <w:p w14:paraId="431937F3">
            <w:pPr>
              <w:rPr>
                <w:rFonts w:ascii="Arial"/>
                <w:color w:val="auto"/>
                <w:sz w:val="21"/>
                <w:highlight w:val="none"/>
              </w:rPr>
            </w:pPr>
          </w:p>
        </w:tc>
        <w:tc>
          <w:tcPr>
            <w:tcW w:w="3543" w:type="dxa"/>
            <w:noWrap w:val="0"/>
            <w:vAlign w:val="top"/>
          </w:tcPr>
          <w:p w14:paraId="24548F3D">
            <w:pPr>
              <w:pStyle w:val="382"/>
              <w:spacing w:before="67" w:line="219" w:lineRule="auto"/>
              <w:ind w:left="109"/>
              <w:rPr>
                <w:color w:val="auto"/>
                <w:highlight w:val="none"/>
              </w:rPr>
            </w:pPr>
            <w:r>
              <w:rPr>
                <w:color w:val="auto"/>
                <w:spacing w:val="-1"/>
                <w:highlight w:val="none"/>
              </w:rPr>
              <w:t>HJ/T411</w:t>
            </w:r>
            <w:r>
              <w:rPr>
                <w:color w:val="auto"/>
                <w:spacing w:val="-34"/>
                <w:highlight w:val="none"/>
              </w:rPr>
              <w:t xml:space="preserve"> </w:t>
            </w:r>
            <w:r>
              <w:rPr>
                <w:color w:val="auto"/>
                <w:spacing w:val="-1"/>
                <w:highlight w:val="none"/>
              </w:rPr>
              <w:t>水嘴</w:t>
            </w:r>
          </w:p>
        </w:tc>
      </w:tr>
      <w:tr w14:paraId="43446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noWrap w:val="0"/>
            <w:vAlign w:val="top"/>
          </w:tcPr>
          <w:p w14:paraId="0F03C680">
            <w:pPr>
              <w:pStyle w:val="382"/>
              <w:spacing w:before="67"/>
              <w:ind w:left="116"/>
              <w:rPr>
                <w:color w:val="auto"/>
                <w:highlight w:val="none"/>
              </w:rPr>
            </w:pPr>
            <w:r>
              <w:rPr>
                <w:color w:val="auto"/>
                <w:spacing w:val="-4"/>
                <w:highlight w:val="none"/>
              </w:rPr>
              <w:t>26</w:t>
            </w:r>
          </w:p>
        </w:tc>
        <w:tc>
          <w:tcPr>
            <w:tcW w:w="1542" w:type="dxa"/>
            <w:noWrap w:val="0"/>
            <w:vAlign w:val="top"/>
          </w:tcPr>
          <w:p w14:paraId="068EF416">
            <w:pPr>
              <w:pStyle w:val="382"/>
              <w:spacing w:before="67" w:line="221" w:lineRule="auto"/>
              <w:ind w:left="102"/>
              <w:rPr>
                <w:color w:val="auto"/>
                <w:highlight w:val="none"/>
              </w:rPr>
            </w:pPr>
            <w:r>
              <w:rPr>
                <w:color w:val="auto"/>
                <w:spacing w:val="-1"/>
                <w:highlight w:val="none"/>
              </w:rPr>
              <w:t>A0609</w:t>
            </w:r>
            <w:r>
              <w:rPr>
                <w:color w:val="auto"/>
                <w:spacing w:val="-34"/>
                <w:highlight w:val="none"/>
              </w:rPr>
              <w:t xml:space="preserve"> </w:t>
            </w:r>
            <w:r>
              <w:rPr>
                <w:color w:val="auto"/>
                <w:spacing w:val="-1"/>
                <w:highlight w:val="none"/>
              </w:rPr>
              <w:t>组合家具</w:t>
            </w:r>
          </w:p>
        </w:tc>
        <w:tc>
          <w:tcPr>
            <w:tcW w:w="2672" w:type="dxa"/>
            <w:noWrap w:val="0"/>
            <w:vAlign w:val="top"/>
          </w:tcPr>
          <w:p w14:paraId="59103FC5">
            <w:pPr>
              <w:rPr>
                <w:rFonts w:ascii="Arial"/>
                <w:color w:val="auto"/>
                <w:sz w:val="21"/>
                <w:highlight w:val="none"/>
              </w:rPr>
            </w:pPr>
          </w:p>
        </w:tc>
        <w:tc>
          <w:tcPr>
            <w:tcW w:w="2248" w:type="dxa"/>
            <w:noWrap w:val="0"/>
            <w:vAlign w:val="top"/>
          </w:tcPr>
          <w:p w14:paraId="187385E7">
            <w:pPr>
              <w:rPr>
                <w:rFonts w:ascii="Arial"/>
                <w:color w:val="auto"/>
                <w:sz w:val="21"/>
                <w:highlight w:val="none"/>
              </w:rPr>
            </w:pPr>
          </w:p>
        </w:tc>
        <w:tc>
          <w:tcPr>
            <w:tcW w:w="3543" w:type="dxa"/>
            <w:noWrap w:val="0"/>
            <w:vAlign w:val="top"/>
          </w:tcPr>
          <w:p w14:paraId="3F72D3AA">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99F7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noWrap w:val="0"/>
            <w:vAlign w:val="top"/>
          </w:tcPr>
          <w:p w14:paraId="54EEF03F">
            <w:pPr>
              <w:pStyle w:val="382"/>
              <w:spacing w:before="68"/>
              <w:ind w:left="116"/>
              <w:rPr>
                <w:color w:val="auto"/>
                <w:highlight w:val="none"/>
              </w:rPr>
            </w:pPr>
            <w:r>
              <w:rPr>
                <w:color w:val="auto"/>
                <w:spacing w:val="-4"/>
                <w:highlight w:val="none"/>
              </w:rPr>
              <w:t>27</w:t>
            </w:r>
          </w:p>
        </w:tc>
        <w:tc>
          <w:tcPr>
            <w:tcW w:w="1542" w:type="dxa"/>
            <w:noWrap w:val="0"/>
            <w:vAlign w:val="top"/>
          </w:tcPr>
          <w:p w14:paraId="1B9AC8E5">
            <w:pPr>
              <w:pStyle w:val="382"/>
              <w:spacing w:before="68" w:line="282" w:lineRule="auto"/>
              <w:ind w:left="108" w:right="106" w:hanging="6"/>
              <w:rPr>
                <w:color w:val="auto"/>
                <w:highlight w:val="none"/>
              </w:rPr>
            </w:pPr>
            <w:r>
              <w:rPr>
                <w:color w:val="auto"/>
                <w:spacing w:val="4"/>
                <w:highlight w:val="none"/>
              </w:rPr>
              <w:t>A0610</w:t>
            </w:r>
            <w:r>
              <w:rPr>
                <w:color w:val="auto"/>
                <w:spacing w:val="31"/>
                <w:highlight w:val="none"/>
              </w:rPr>
              <w:t xml:space="preserve"> </w:t>
            </w:r>
            <w:r>
              <w:rPr>
                <w:color w:val="auto"/>
                <w:spacing w:val="4"/>
                <w:highlight w:val="none"/>
              </w:rPr>
              <w:t>家用家具</w:t>
            </w:r>
            <w:r>
              <w:rPr>
                <w:color w:val="auto"/>
                <w:highlight w:val="none"/>
              </w:rPr>
              <w:t xml:space="preserve"> </w:t>
            </w:r>
            <w:r>
              <w:rPr>
                <w:color w:val="auto"/>
                <w:spacing w:val="-2"/>
                <w:highlight w:val="none"/>
              </w:rPr>
              <w:t>零配件</w:t>
            </w:r>
          </w:p>
        </w:tc>
        <w:tc>
          <w:tcPr>
            <w:tcW w:w="2672" w:type="dxa"/>
            <w:noWrap w:val="0"/>
            <w:vAlign w:val="top"/>
          </w:tcPr>
          <w:p w14:paraId="6C5D9B7C">
            <w:pPr>
              <w:rPr>
                <w:rFonts w:ascii="Arial"/>
                <w:color w:val="auto"/>
                <w:sz w:val="21"/>
                <w:highlight w:val="none"/>
              </w:rPr>
            </w:pPr>
          </w:p>
        </w:tc>
        <w:tc>
          <w:tcPr>
            <w:tcW w:w="2248" w:type="dxa"/>
            <w:noWrap w:val="0"/>
            <w:vAlign w:val="top"/>
          </w:tcPr>
          <w:p w14:paraId="16F5B9AC">
            <w:pPr>
              <w:rPr>
                <w:rFonts w:ascii="Arial"/>
                <w:color w:val="auto"/>
                <w:sz w:val="21"/>
                <w:highlight w:val="none"/>
              </w:rPr>
            </w:pPr>
          </w:p>
        </w:tc>
        <w:tc>
          <w:tcPr>
            <w:tcW w:w="3543" w:type="dxa"/>
            <w:noWrap w:val="0"/>
            <w:vAlign w:val="top"/>
          </w:tcPr>
          <w:p w14:paraId="77BE7DC9">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0C3C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noWrap w:val="0"/>
            <w:vAlign w:val="top"/>
          </w:tcPr>
          <w:p w14:paraId="1B0CD97D">
            <w:pPr>
              <w:pStyle w:val="382"/>
              <w:spacing w:before="70"/>
              <w:ind w:left="116"/>
              <w:rPr>
                <w:color w:val="auto"/>
                <w:highlight w:val="none"/>
              </w:rPr>
            </w:pPr>
            <w:r>
              <w:rPr>
                <w:color w:val="auto"/>
                <w:spacing w:val="-4"/>
                <w:highlight w:val="none"/>
              </w:rPr>
              <w:t>28</w:t>
            </w:r>
          </w:p>
        </w:tc>
        <w:tc>
          <w:tcPr>
            <w:tcW w:w="1542" w:type="dxa"/>
            <w:noWrap w:val="0"/>
            <w:vAlign w:val="top"/>
          </w:tcPr>
          <w:p w14:paraId="37D5052C">
            <w:pPr>
              <w:pStyle w:val="382"/>
              <w:spacing w:before="71" w:line="282" w:lineRule="auto"/>
              <w:ind w:left="109" w:right="106" w:hanging="7"/>
              <w:rPr>
                <w:color w:val="auto"/>
                <w:highlight w:val="none"/>
              </w:rPr>
            </w:pPr>
            <w:r>
              <w:rPr>
                <w:color w:val="auto"/>
                <w:spacing w:val="4"/>
                <w:highlight w:val="none"/>
              </w:rPr>
              <w:t>A0699</w:t>
            </w:r>
            <w:r>
              <w:rPr>
                <w:color w:val="auto"/>
                <w:spacing w:val="31"/>
                <w:highlight w:val="none"/>
              </w:rPr>
              <w:t xml:space="preserve"> </w:t>
            </w:r>
            <w:r>
              <w:rPr>
                <w:color w:val="auto"/>
                <w:spacing w:val="4"/>
                <w:highlight w:val="none"/>
              </w:rPr>
              <w:t>其他家具</w:t>
            </w:r>
            <w:r>
              <w:rPr>
                <w:color w:val="auto"/>
                <w:highlight w:val="none"/>
              </w:rPr>
              <w:t xml:space="preserve"> </w:t>
            </w:r>
            <w:r>
              <w:rPr>
                <w:color w:val="auto"/>
                <w:spacing w:val="-3"/>
                <w:highlight w:val="none"/>
              </w:rPr>
              <w:t>用具</w:t>
            </w:r>
          </w:p>
        </w:tc>
        <w:tc>
          <w:tcPr>
            <w:tcW w:w="2672" w:type="dxa"/>
            <w:noWrap w:val="0"/>
            <w:vAlign w:val="top"/>
          </w:tcPr>
          <w:p w14:paraId="71366FEE">
            <w:pPr>
              <w:rPr>
                <w:rFonts w:ascii="Arial"/>
                <w:color w:val="auto"/>
                <w:sz w:val="21"/>
                <w:highlight w:val="none"/>
              </w:rPr>
            </w:pPr>
          </w:p>
        </w:tc>
        <w:tc>
          <w:tcPr>
            <w:tcW w:w="2248" w:type="dxa"/>
            <w:noWrap w:val="0"/>
            <w:vAlign w:val="top"/>
          </w:tcPr>
          <w:p w14:paraId="34857FFB">
            <w:pPr>
              <w:rPr>
                <w:rFonts w:ascii="Arial"/>
                <w:color w:val="auto"/>
                <w:sz w:val="21"/>
                <w:highlight w:val="none"/>
              </w:rPr>
            </w:pPr>
          </w:p>
        </w:tc>
        <w:tc>
          <w:tcPr>
            <w:tcW w:w="3543" w:type="dxa"/>
            <w:noWrap w:val="0"/>
            <w:vAlign w:val="top"/>
          </w:tcPr>
          <w:p w14:paraId="7499DA88">
            <w:pPr>
              <w:pStyle w:val="382"/>
              <w:spacing w:before="70"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5CF8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noWrap w:val="0"/>
            <w:vAlign w:val="top"/>
          </w:tcPr>
          <w:p w14:paraId="397EC842">
            <w:pPr>
              <w:pStyle w:val="382"/>
              <w:spacing w:before="68"/>
              <w:ind w:left="116"/>
              <w:rPr>
                <w:color w:val="auto"/>
                <w:highlight w:val="none"/>
              </w:rPr>
            </w:pPr>
            <w:r>
              <w:rPr>
                <w:color w:val="auto"/>
                <w:spacing w:val="-4"/>
                <w:highlight w:val="none"/>
              </w:rPr>
              <w:t>29</w:t>
            </w:r>
          </w:p>
        </w:tc>
        <w:tc>
          <w:tcPr>
            <w:tcW w:w="1542" w:type="dxa"/>
            <w:noWrap w:val="0"/>
            <w:vAlign w:val="top"/>
          </w:tcPr>
          <w:p w14:paraId="030B9736">
            <w:pPr>
              <w:pStyle w:val="382"/>
              <w:spacing w:before="69" w:line="284" w:lineRule="auto"/>
              <w:ind w:left="111" w:right="106" w:hanging="9"/>
              <w:rPr>
                <w:color w:val="auto"/>
                <w:highlight w:val="none"/>
              </w:rPr>
            </w:pPr>
            <w:r>
              <w:rPr>
                <w:color w:val="auto"/>
                <w:spacing w:val="-7"/>
                <w:highlight w:val="none"/>
              </w:rPr>
              <w:t>A070101</w:t>
            </w:r>
            <w:r>
              <w:rPr>
                <w:color w:val="auto"/>
                <w:spacing w:val="-36"/>
                <w:highlight w:val="none"/>
              </w:rPr>
              <w:t xml:space="preserve"> </w:t>
            </w:r>
            <w:r>
              <w:rPr>
                <w:color w:val="auto"/>
                <w:spacing w:val="-7"/>
                <w:highlight w:val="none"/>
              </w:rPr>
              <w:t>棉、化纤</w:t>
            </w:r>
            <w:r>
              <w:rPr>
                <w:color w:val="auto"/>
                <w:highlight w:val="none"/>
              </w:rPr>
              <w:t xml:space="preserve"> </w:t>
            </w:r>
            <w:r>
              <w:rPr>
                <w:color w:val="auto"/>
                <w:spacing w:val="-2"/>
                <w:highlight w:val="none"/>
              </w:rPr>
              <w:t>纺织及印染原料</w:t>
            </w:r>
          </w:p>
        </w:tc>
        <w:tc>
          <w:tcPr>
            <w:tcW w:w="2672" w:type="dxa"/>
            <w:noWrap w:val="0"/>
            <w:vAlign w:val="top"/>
          </w:tcPr>
          <w:p w14:paraId="682343C3">
            <w:pPr>
              <w:rPr>
                <w:rFonts w:ascii="Arial"/>
                <w:color w:val="auto"/>
                <w:sz w:val="21"/>
                <w:highlight w:val="none"/>
              </w:rPr>
            </w:pPr>
          </w:p>
        </w:tc>
        <w:tc>
          <w:tcPr>
            <w:tcW w:w="2248" w:type="dxa"/>
            <w:noWrap w:val="0"/>
            <w:vAlign w:val="top"/>
          </w:tcPr>
          <w:p w14:paraId="00FABAC7">
            <w:pPr>
              <w:rPr>
                <w:rFonts w:ascii="Arial"/>
                <w:color w:val="auto"/>
                <w:sz w:val="21"/>
                <w:highlight w:val="none"/>
              </w:rPr>
            </w:pPr>
          </w:p>
        </w:tc>
        <w:tc>
          <w:tcPr>
            <w:tcW w:w="3543" w:type="dxa"/>
            <w:noWrap w:val="0"/>
            <w:vAlign w:val="top"/>
          </w:tcPr>
          <w:p w14:paraId="470A565A">
            <w:pPr>
              <w:pStyle w:val="382"/>
              <w:spacing w:before="67" w:line="219" w:lineRule="auto"/>
              <w:ind w:left="109"/>
              <w:rPr>
                <w:color w:val="auto"/>
                <w:highlight w:val="none"/>
              </w:rPr>
            </w:pPr>
            <w:r>
              <w:rPr>
                <w:color w:val="auto"/>
                <w:spacing w:val="-1"/>
                <w:highlight w:val="none"/>
              </w:rPr>
              <w:t>HJ2546</w:t>
            </w:r>
            <w:r>
              <w:rPr>
                <w:color w:val="auto"/>
                <w:spacing w:val="-34"/>
                <w:highlight w:val="none"/>
              </w:rPr>
              <w:t xml:space="preserve"> </w:t>
            </w:r>
            <w:r>
              <w:rPr>
                <w:color w:val="auto"/>
                <w:spacing w:val="-1"/>
                <w:highlight w:val="none"/>
              </w:rPr>
              <w:t>纺织产品</w:t>
            </w:r>
          </w:p>
        </w:tc>
      </w:tr>
      <w:tr w14:paraId="32AA7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noWrap w:val="0"/>
            <w:vAlign w:val="top"/>
          </w:tcPr>
          <w:p w14:paraId="3E80457F">
            <w:pPr>
              <w:pStyle w:val="382"/>
              <w:spacing w:before="68"/>
              <w:ind w:left="118"/>
              <w:rPr>
                <w:color w:val="auto"/>
                <w:highlight w:val="none"/>
              </w:rPr>
            </w:pPr>
            <w:r>
              <w:rPr>
                <w:color w:val="auto"/>
                <w:spacing w:val="-5"/>
                <w:highlight w:val="none"/>
              </w:rPr>
              <w:t>30</w:t>
            </w:r>
          </w:p>
        </w:tc>
        <w:tc>
          <w:tcPr>
            <w:tcW w:w="1542" w:type="dxa"/>
            <w:noWrap w:val="0"/>
            <w:vAlign w:val="top"/>
          </w:tcPr>
          <w:p w14:paraId="503923C4">
            <w:pPr>
              <w:pStyle w:val="382"/>
              <w:spacing w:before="69" w:line="296" w:lineRule="auto"/>
              <w:ind w:left="109" w:right="106" w:hanging="7"/>
              <w:jc w:val="both"/>
              <w:rPr>
                <w:color w:val="auto"/>
                <w:highlight w:val="none"/>
              </w:rPr>
            </w:pPr>
            <w:r>
              <w:rPr>
                <w:color w:val="auto"/>
                <w:spacing w:val="-2"/>
                <w:highlight w:val="none"/>
              </w:rPr>
              <w:t>A090101</w:t>
            </w:r>
            <w:r>
              <w:rPr>
                <w:color w:val="auto"/>
                <w:spacing w:val="42"/>
                <w:highlight w:val="none"/>
              </w:rPr>
              <w:t xml:space="preserve"> </w:t>
            </w:r>
            <w:r>
              <w:rPr>
                <w:color w:val="auto"/>
                <w:spacing w:val="-2"/>
                <w:highlight w:val="none"/>
              </w:rPr>
              <w:t>复</w:t>
            </w:r>
            <w:r>
              <w:rPr>
                <w:color w:val="auto"/>
                <w:spacing w:val="-48"/>
                <w:highlight w:val="none"/>
              </w:rPr>
              <w:t xml:space="preserve"> </w:t>
            </w:r>
            <w:r>
              <w:rPr>
                <w:color w:val="auto"/>
                <w:spacing w:val="-2"/>
                <w:highlight w:val="none"/>
              </w:rPr>
              <w:t>印纸</w:t>
            </w:r>
            <w:r>
              <w:rPr>
                <w:color w:val="auto"/>
                <w:highlight w:val="none"/>
              </w:rPr>
              <w:t xml:space="preserve"> </w:t>
            </w:r>
            <w:r>
              <w:rPr>
                <w:color w:val="auto"/>
                <w:spacing w:val="8"/>
                <w:highlight w:val="none"/>
              </w:rPr>
              <w:t>（包括再生复印</w:t>
            </w:r>
            <w:r>
              <w:rPr>
                <w:color w:val="auto"/>
                <w:spacing w:val="4"/>
                <w:highlight w:val="none"/>
              </w:rPr>
              <w:t xml:space="preserve"> </w:t>
            </w:r>
            <w:r>
              <w:rPr>
                <w:color w:val="auto"/>
                <w:spacing w:val="-5"/>
                <w:highlight w:val="none"/>
              </w:rPr>
              <w:t>纸）</w:t>
            </w:r>
          </w:p>
        </w:tc>
        <w:tc>
          <w:tcPr>
            <w:tcW w:w="2672" w:type="dxa"/>
            <w:noWrap w:val="0"/>
            <w:vAlign w:val="top"/>
          </w:tcPr>
          <w:p w14:paraId="6F5E2B29">
            <w:pPr>
              <w:rPr>
                <w:rFonts w:ascii="Arial"/>
                <w:color w:val="auto"/>
                <w:sz w:val="21"/>
                <w:highlight w:val="none"/>
              </w:rPr>
            </w:pPr>
          </w:p>
        </w:tc>
        <w:tc>
          <w:tcPr>
            <w:tcW w:w="2248" w:type="dxa"/>
            <w:noWrap w:val="0"/>
            <w:vAlign w:val="top"/>
          </w:tcPr>
          <w:p w14:paraId="5C3B2ADC">
            <w:pPr>
              <w:rPr>
                <w:rFonts w:ascii="Arial"/>
                <w:color w:val="auto"/>
                <w:sz w:val="21"/>
                <w:highlight w:val="none"/>
              </w:rPr>
            </w:pPr>
          </w:p>
        </w:tc>
        <w:tc>
          <w:tcPr>
            <w:tcW w:w="3543" w:type="dxa"/>
            <w:noWrap w:val="0"/>
            <w:vAlign w:val="top"/>
          </w:tcPr>
          <w:p w14:paraId="6C562DF0">
            <w:pPr>
              <w:pStyle w:val="382"/>
              <w:spacing w:before="67" w:line="219" w:lineRule="auto"/>
              <w:ind w:left="109"/>
              <w:rPr>
                <w:color w:val="auto"/>
                <w:highlight w:val="none"/>
              </w:rPr>
            </w:pPr>
            <w:r>
              <w:rPr>
                <w:color w:val="auto"/>
                <w:spacing w:val="-2"/>
                <w:highlight w:val="none"/>
              </w:rPr>
              <w:t>HJ410</w:t>
            </w:r>
            <w:r>
              <w:rPr>
                <w:color w:val="auto"/>
                <w:spacing w:val="-27"/>
                <w:highlight w:val="none"/>
              </w:rPr>
              <w:t xml:space="preserve"> </w:t>
            </w:r>
            <w:r>
              <w:rPr>
                <w:color w:val="auto"/>
                <w:spacing w:val="-2"/>
                <w:highlight w:val="none"/>
              </w:rPr>
              <w:t>文化用纸</w:t>
            </w:r>
          </w:p>
        </w:tc>
      </w:tr>
      <w:tr w14:paraId="6CD8E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noWrap w:val="0"/>
            <w:vAlign w:val="top"/>
          </w:tcPr>
          <w:p w14:paraId="676BBFA2">
            <w:pPr>
              <w:pStyle w:val="382"/>
              <w:spacing w:before="64"/>
              <w:ind w:left="118"/>
              <w:rPr>
                <w:color w:val="auto"/>
                <w:highlight w:val="none"/>
              </w:rPr>
            </w:pPr>
            <w:r>
              <w:rPr>
                <w:color w:val="auto"/>
                <w:spacing w:val="-5"/>
                <w:highlight w:val="none"/>
              </w:rPr>
              <w:t>31</w:t>
            </w:r>
          </w:p>
        </w:tc>
        <w:tc>
          <w:tcPr>
            <w:tcW w:w="1542" w:type="dxa"/>
            <w:noWrap w:val="0"/>
            <w:vAlign w:val="top"/>
          </w:tcPr>
          <w:p w14:paraId="205E28B8">
            <w:pPr>
              <w:pStyle w:val="382"/>
              <w:spacing w:before="64" w:line="296" w:lineRule="auto"/>
              <w:ind w:left="109" w:right="106" w:hanging="7"/>
              <w:jc w:val="both"/>
              <w:rPr>
                <w:color w:val="auto"/>
                <w:highlight w:val="none"/>
              </w:rPr>
            </w:pPr>
            <w:r>
              <w:rPr>
                <w:color w:val="auto"/>
                <w:spacing w:val="3"/>
                <w:highlight w:val="none"/>
              </w:rPr>
              <w:t>A090201</w:t>
            </w:r>
            <w:r>
              <w:rPr>
                <w:color w:val="auto"/>
                <w:spacing w:val="34"/>
                <w:highlight w:val="none"/>
              </w:rPr>
              <w:t xml:space="preserve"> </w:t>
            </w:r>
            <w:r>
              <w:rPr>
                <w:color w:val="auto"/>
                <w:spacing w:val="3"/>
                <w:highlight w:val="none"/>
              </w:rPr>
              <w:t>鼓粉盒</w:t>
            </w:r>
            <w:r>
              <w:rPr>
                <w:color w:val="auto"/>
                <w:highlight w:val="none"/>
              </w:rPr>
              <w:t xml:space="preserve"> </w:t>
            </w:r>
            <w:r>
              <w:rPr>
                <w:color w:val="auto"/>
                <w:spacing w:val="8"/>
                <w:highlight w:val="none"/>
              </w:rPr>
              <w:t>（包括再生鼓粉</w:t>
            </w:r>
            <w:r>
              <w:rPr>
                <w:color w:val="auto"/>
                <w:spacing w:val="4"/>
                <w:highlight w:val="none"/>
              </w:rPr>
              <w:t xml:space="preserve"> </w:t>
            </w:r>
            <w:r>
              <w:rPr>
                <w:color w:val="auto"/>
                <w:spacing w:val="-5"/>
                <w:highlight w:val="none"/>
              </w:rPr>
              <w:t>盒）</w:t>
            </w:r>
          </w:p>
        </w:tc>
        <w:tc>
          <w:tcPr>
            <w:tcW w:w="2672" w:type="dxa"/>
            <w:noWrap w:val="0"/>
            <w:vAlign w:val="top"/>
          </w:tcPr>
          <w:p w14:paraId="3CB82241">
            <w:pPr>
              <w:rPr>
                <w:rFonts w:ascii="Arial"/>
                <w:color w:val="auto"/>
                <w:sz w:val="21"/>
                <w:highlight w:val="none"/>
              </w:rPr>
            </w:pPr>
          </w:p>
        </w:tc>
        <w:tc>
          <w:tcPr>
            <w:tcW w:w="2248" w:type="dxa"/>
            <w:noWrap w:val="0"/>
            <w:vAlign w:val="top"/>
          </w:tcPr>
          <w:p w14:paraId="780471B9">
            <w:pPr>
              <w:rPr>
                <w:rFonts w:ascii="Arial"/>
                <w:color w:val="auto"/>
                <w:sz w:val="21"/>
                <w:highlight w:val="none"/>
              </w:rPr>
            </w:pPr>
          </w:p>
        </w:tc>
        <w:tc>
          <w:tcPr>
            <w:tcW w:w="3543" w:type="dxa"/>
            <w:noWrap w:val="0"/>
            <w:vAlign w:val="top"/>
          </w:tcPr>
          <w:p w14:paraId="5B18D8E6">
            <w:pPr>
              <w:pStyle w:val="382"/>
              <w:spacing w:before="63" w:line="219" w:lineRule="auto"/>
              <w:ind w:left="109"/>
              <w:rPr>
                <w:color w:val="auto"/>
                <w:highlight w:val="none"/>
              </w:rPr>
            </w:pPr>
            <w:r>
              <w:rPr>
                <w:color w:val="auto"/>
                <w:spacing w:val="-1"/>
                <w:highlight w:val="none"/>
              </w:rPr>
              <w:t>HJ/T413</w:t>
            </w:r>
            <w:r>
              <w:rPr>
                <w:color w:val="auto"/>
                <w:spacing w:val="-34"/>
                <w:highlight w:val="none"/>
              </w:rPr>
              <w:t xml:space="preserve"> </w:t>
            </w:r>
            <w:r>
              <w:rPr>
                <w:color w:val="auto"/>
                <w:spacing w:val="-1"/>
                <w:highlight w:val="none"/>
              </w:rPr>
              <w:t>再生鼓粉盒</w:t>
            </w:r>
          </w:p>
        </w:tc>
      </w:tr>
      <w:tr w14:paraId="6A843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noWrap w:val="0"/>
            <w:vAlign w:val="top"/>
          </w:tcPr>
          <w:p w14:paraId="33D770B1">
            <w:pPr>
              <w:pStyle w:val="382"/>
              <w:spacing w:before="64"/>
              <w:ind w:left="118"/>
              <w:rPr>
                <w:color w:val="auto"/>
                <w:highlight w:val="none"/>
              </w:rPr>
            </w:pPr>
            <w:r>
              <w:rPr>
                <w:color w:val="auto"/>
                <w:spacing w:val="-5"/>
                <w:highlight w:val="none"/>
              </w:rPr>
              <w:t>32</w:t>
            </w:r>
          </w:p>
        </w:tc>
        <w:tc>
          <w:tcPr>
            <w:tcW w:w="1542" w:type="dxa"/>
            <w:vMerge w:val="restart"/>
            <w:tcBorders>
              <w:bottom w:val="nil"/>
            </w:tcBorders>
            <w:noWrap w:val="0"/>
            <w:vAlign w:val="top"/>
          </w:tcPr>
          <w:p w14:paraId="5299C03C">
            <w:pPr>
              <w:pStyle w:val="382"/>
              <w:spacing w:before="64" w:line="219" w:lineRule="auto"/>
              <w:ind w:left="102"/>
              <w:rPr>
                <w:color w:val="auto"/>
                <w:highlight w:val="none"/>
              </w:rPr>
            </w:pPr>
            <w:r>
              <w:rPr>
                <w:color w:val="auto"/>
                <w:spacing w:val="-1"/>
                <w:highlight w:val="none"/>
              </w:rPr>
              <w:t>A100203</w:t>
            </w:r>
            <w:r>
              <w:rPr>
                <w:color w:val="auto"/>
                <w:spacing w:val="-33"/>
                <w:highlight w:val="none"/>
              </w:rPr>
              <w:t xml:space="preserve"> </w:t>
            </w:r>
            <w:r>
              <w:rPr>
                <w:color w:val="auto"/>
                <w:spacing w:val="-1"/>
                <w:highlight w:val="none"/>
              </w:rPr>
              <w:t>人造板</w:t>
            </w:r>
          </w:p>
        </w:tc>
        <w:tc>
          <w:tcPr>
            <w:tcW w:w="2672" w:type="dxa"/>
            <w:noWrap w:val="0"/>
            <w:vAlign w:val="top"/>
          </w:tcPr>
          <w:p w14:paraId="14BD9AC1">
            <w:pPr>
              <w:pStyle w:val="382"/>
              <w:spacing w:before="64" w:line="219" w:lineRule="auto"/>
              <w:ind w:left="103"/>
              <w:rPr>
                <w:color w:val="auto"/>
                <w:highlight w:val="none"/>
              </w:rPr>
            </w:pPr>
            <w:r>
              <w:rPr>
                <w:color w:val="auto"/>
                <w:spacing w:val="-1"/>
                <w:highlight w:val="none"/>
              </w:rPr>
              <w:t>A10020301</w:t>
            </w:r>
            <w:r>
              <w:rPr>
                <w:color w:val="auto"/>
                <w:spacing w:val="-32"/>
                <w:highlight w:val="none"/>
              </w:rPr>
              <w:t xml:space="preserve"> </w:t>
            </w:r>
            <w:r>
              <w:rPr>
                <w:color w:val="auto"/>
                <w:spacing w:val="-1"/>
                <w:highlight w:val="none"/>
              </w:rPr>
              <w:t>胶合板</w:t>
            </w:r>
          </w:p>
        </w:tc>
        <w:tc>
          <w:tcPr>
            <w:tcW w:w="2248" w:type="dxa"/>
            <w:noWrap w:val="0"/>
            <w:vAlign w:val="top"/>
          </w:tcPr>
          <w:p w14:paraId="13ED6738">
            <w:pPr>
              <w:rPr>
                <w:rFonts w:ascii="Arial"/>
                <w:color w:val="auto"/>
                <w:sz w:val="21"/>
                <w:highlight w:val="none"/>
              </w:rPr>
            </w:pPr>
          </w:p>
        </w:tc>
        <w:tc>
          <w:tcPr>
            <w:tcW w:w="3543" w:type="dxa"/>
            <w:noWrap w:val="0"/>
            <w:vAlign w:val="top"/>
          </w:tcPr>
          <w:p w14:paraId="64A4B7D4">
            <w:pPr>
              <w:pStyle w:val="382"/>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754CE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noWrap w:val="0"/>
            <w:vAlign w:val="top"/>
          </w:tcPr>
          <w:p w14:paraId="6847A366">
            <w:pPr>
              <w:rPr>
                <w:rFonts w:ascii="Arial"/>
                <w:color w:val="auto"/>
                <w:sz w:val="21"/>
                <w:highlight w:val="none"/>
              </w:rPr>
            </w:pPr>
          </w:p>
        </w:tc>
        <w:tc>
          <w:tcPr>
            <w:tcW w:w="1542" w:type="dxa"/>
            <w:vMerge w:val="continue"/>
            <w:tcBorders>
              <w:top w:val="nil"/>
              <w:bottom w:val="nil"/>
            </w:tcBorders>
            <w:noWrap w:val="0"/>
            <w:vAlign w:val="top"/>
          </w:tcPr>
          <w:p w14:paraId="2910DF99">
            <w:pPr>
              <w:rPr>
                <w:rFonts w:ascii="Arial"/>
                <w:color w:val="auto"/>
                <w:sz w:val="21"/>
                <w:highlight w:val="none"/>
              </w:rPr>
            </w:pPr>
          </w:p>
        </w:tc>
        <w:tc>
          <w:tcPr>
            <w:tcW w:w="2672" w:type="dxa"/>
            <w:noWrap w:val="0"/>
            <w:vAlign w:val="top"/>
          </w:tcPr>
          <w:p w14:paraId="50CBC994">
            <w:pPr>
              <w:pStyle w:val="382"/>
              <w:spacing w:before="65" w:line="219" w:lineRule="auto"/>
              <w:ind w:left="103"/>
              <w:rPr>
                <w:color w:val="auto"/>
                <w:highlight w:val="none"/>
              </w:rPr>
            </w:pPr>
            <w:r>
              <w:rPr>
                <w:color w:val="auto"/>
                <w:spacing w:val="-1"/>
                <w:highlight w:val="none"/>
              </w:rPr>
              <w:t>A10020302</w:t>
            </w:r>
            <w:r>
              <w:rPr>
                <w:color w:val="auto"/>
                <w:spacing w:val="-30"/>
                <w:highlight w:val="none"/>
              </w:rPr>
              <w:t xml:space="preserve"> </w:t>
            </w:r>
            <w:r>
              <w:rPr>
                <w:color w:val="auto"/>
                <w:spacing w:val="-1"/>
                <w:highlight w:val="none"/>
              </w:rPr>
              <w:t>纤维板</w:t>
            </w:r>
          </w:p>
        </w:tc>
        <w:tc>
          <w:tcPr>
            <w:tcW w:w="2248" w:type="dxa"/>
            <w:noWrap w:val="0"/>
            <w:vAlign w:val="top"/>
          </w:tcPr>
          <w:p w14:paraId="3EDE9930">
            <w:pPr>
              <w:rPr>
                <w:rFonts w:ascii="Arial"/>
                <w:color w:val="auto"/>
                <w:sz w:val="21"/>
                <w:highlight w:val="none"/>
              </w:rPr>
            </w:pPr>
          </w:p>
        </w:tc>
        <w:tc>
          <w:tcPr>
            <w:tcW w:w="3543" w:type="dxa"/>
            <w:noWrap w:val="0"/>
            <w:vAlign w:val="top"/>
          </w:tcPr>
          <w:p w14:paraId="7A360AB1">
            <w:pPr>
              <w:pStyle w:val="382"/>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0EC6A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noWrap w:val="0"/>
            <w:vAlign w:val="top"/>
          </w:tcPr>
          <w:p w14:paraId="41758CD6">
            <w:pPr>
              <w:rPr>
                <w:rFonts w:ascii="Arial"/>
                <w:color w:val="auto"/>
                <w:sz w:val="21"/>
                <w:highlight w:val="none"/>
              </w:rPr>
            </w:pPr>
          </w:p>
        </w:tc>
        <w:tc>
          <w:tcPr>
            <w:tcW w:w="1542" w:type="dxa"/>
            <w:vMerge w:val="continue"/>
            <w:tcBorders>
              <w:top w:val="nil"/>
              <w:bottom w:val="nil"/>
            </w:tcBorders>
            <w:noWrap w:val="0"/>
            <w:vAlign w:val="top"/>
          </w:tcPr>
          <w:p w14:paraId="597DCCE5">
            <w:pPr>
              <w:rPr>
                <w:rFonts w:ascii="Arial"/>
                <w:color w:val="auto"/>
                <w:sz w:val="21"/>
                <w:highlight w:val="none"/>
              </w:rPr>
            </w:pPr>
          </w:p>
        </w:tc>
        <w:tc>
          <w:tcPr>
            <w:tcW w:w="2672" w:type="dxa"/>
            <w:noWrap w:val="0"/>
            <w:vAlign w:val="top"/>
          </w:tcPr>
          <w:p w14:paraId="240488F8">
            <w:pPr>
              <w:pStyle w:val="382"/>
              <w:spacing w:before="65" w:line="219" w:lineRule="auto"/>
              <w:ind w:left="103"/>
              <w:rPr>
                <w:color w:val="auto"/>
                <w:highlight w:val="none"/>
              </w:rPr>
            </w:pPr>
            <w:r>
              <w:rPr>
                <w:color w:val="auto"/>
                <w:spacing w:val="-1"/>
                <w:highlight w:val="none"/>
              </w:rPr>
              <w:t>A10020303</w:t>
            </w:r>
            <w:r>
              <w:rPr>
                <w:color w:val="auto"/>
                <w:spacing w:val="-32"/>
                <w:highlight w:val="none"/>
              </w:rPr>
              <w:t xml:space="preserve"> </w:t>
            </w:r>
            <w:r>
              <w:rPr>
                <w:color w:val="auto"/>
                <w:spacing w:val="-1"/>
                <w:highlight w:val="none"/>
              </w:rPr>
              <w:t>刨花板</w:t>
            </w:r>
          </w:p>
        </w:tc>
        <w:tc>
          <w:tcPr>
            <w:tcW w:w="2248" w:type="dxa"/>
            <w:noWrap w:val="0"/>
            <w:vAlign w:val="top"/>
          </w:tcPr>
          <w:p w14:paraId="35C9F7E5">
            <w:pPr>
              <w:rPr>
                <w:rFonts w:ascii="Arial"/>
                <w:color w:val="auto"/>
                <w:sz w:val="21"/>
                <w:highlight w:val="none"/>
              </w:rPr>
            </w:pPr>
          </w:p>
        </w:tc>
        <w:tc>
          <w:tcPr>
            <w:tcW w:w="3543" w:type="dxa"/>
            <w:noWrap w:val="0"/>
            <w:vAlign w:val="top"/>
          </w:tcPr>
          <w:p w14:paraId="772086B1">
            <w:pPr>
              <w:pStyle w:val="382"/>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602DB0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noWrap w:val="0"/>
            <w:vAlign w:val="top"/>
          </w:tcPr>
          <w:p w14:paraId="1D26AAE8">
            <w:pPr>
              <w:rPr>
                <w:rFonts w:ascii="Arial"/>
                <w:color w:val="auto"/>
                <w:sz w:val="21"/>
                <w:highlight w:val="none"/>
              </w:rPr>
            </w:pPr>
          </w:p>
        </w:tc>
        <w:tc>
          <w:tcPr>
            <w:tcW w:w="1542" w:type="dxa"/>
            <w:vMerge w:val="continue"/>
            <w:tcBorders>
              <w:top w:val="nil"/>
              <w:bottom w:val="nil"/>
            </w:tcBorders>
            <w:noWrap w:val="0"/>
            <w:vAlign w:val="top"/>
          </w:tcPr>
          <w:p w14:paraId="3E910100">
            <w:pPr>
              <w:rPr>
                <w:rFonts w:ascii="Arial"/>
                <w:color w:val="auto"/>
                <w:sz w:val="21"/>
                <w:highlight w:val="none"/>
              </w:rPr>
            </w:pPr>
          </w:p>
        </w:tc>
        <w:tc>
          <w:tcPr>
            <w:tcW w:w="2672" w:type="dxa"/>
            <w:noWrap w:val="0"/>
            <w:vAlign w:val="top"/>
          </w:tcPr>
          <w:p w14:paraId="6627D252">
            <w:pPr>
              <w:pStyle w:val="382"/>
              <w:spacing w:before="68" w:line="219" w:lineRule="auto"/>
              <w:ind w:left="103"/>
              <w:rPr>
                <w:color w:val="auto"/>
                <w:highlight w:val="none"/>
              </w:rPr>
            </w:pPr>
            <w:r>
              <w:rPr>
                <w:color w:val="auto"/>
                <w:spacing w:val="-1"/>
                <w:highlight w:val="none"/>
              </w:rPr>
              <w:t>A10020304</w:t>
            </w:r>
            <w:r>
              <w:rPr>
                <w:color w:val="auto"/>
                <w:spacing w:val="-31"/>
                <w:highlight w:val="none"/>
              </w:rPr>
              <w:t xml:space="preserve"> </w:t>
            </w:r>
            <w:r>
              <w:rPr>
                <w:color w:val="auto"/>
                <w:spacing w:val="-1"/>
                <w:highlight w:val="none"/>
              </w:rPr>
              <w:t>细木工板</w:t>
            </w:r>
          </w:p>
        </w:tc>
        <w:tc>
          <w:tcPr>
            <w:tcW w:w="2248" w:type="dxa"/>
            <w:noWrap w:val="0"/>
            <w:vAlign w:val="top"/>
          </w:tcPr>
          <w:p w14:paraId="6D8540C0">
            <w:pPr>
              <w:rPr>
                <w:rFonts w:ascii="Arial"/>
                <w:color w:val="auto"/>
                <w:sz w:val="21"/>
                <w:highlight w:val="none"/>
              </w:rPr>
            </w:pPr>
          </w:p>
        </w:tc>
        <w:tc>
          <w:tcPr>
            <w:tcW w:w="3543" w:type="dxa"/>
            <w:noWrap w:val="0"/>
            <w:vAlign w:val="top"/>
          </w:tcPr>
          <w:p w14:paraId="6CEB1AFD">
            <w:pPr>
              <w:pStyle w:val="382"/>
              <w:spacing w:before="67"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3453E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noWrap w:val="0"/>
            <w:vAlign w:val="top"/>
          </w:tcPr>
          <w:p w14:paraId="3449605F">
            <w:pPr>
              <w:rPr>
                <w:rFonts w:ascii="Arial"/>
                <w:color w:val="auto"/>
                <w:sz w:val="21"/>
                <w:highlight w:val="none"/>
              </w:rPr>
            </w:pPr>
          </w:p>
        </w:tc>
        <w:tc>
          <w:tcPr>
            <w:tcW w:w="1542" w:type="dxa"/>
            <w:vMerge w:val="continue"/>
            <w:tcBorders>
              <w:top w:val="nil"/>
            </w:tcBorders>
            <w:noWrap w:val="0"/>
            <w:vAlign w:val="top"/>
          </w:tcPr>
          <w:p w14:paraId="4AF7EC50">
            <w:pPr>
              <w:rPr>
                <w:rFonts w:ascii="Arial"/>
                <w:color w:val="auto"/>
                <w:sz w:val="21"/>
                <w:highlight w:val="none"/>
              </w:rPr>
            </w:pPr>
          </w:p>
        </w:tc>
        <w:tc>
          <w:tcPr>
            <w:tcW w:w="2672" w:type="dxa"/>
            <w:noWrap w:val="0"/>
            <w:vAlign w:val="top"/>
          </w:tcPr>
          <w:p w14:paraId="6EFF2E33">
            <w:pPr>
              <w:pStyle w:val="382"/>
              <w:spacing w:before="65" w:line="219" w:lineRule="auto"/>
              <w:ind w:left="103"/>
              <w:rPr>
                <w:color w:val="auto"/>
                <w:highlight w:val="none"/>
              </w:rPr>
            </w:pPr>
            <w:r>
              <w:rPr>
                <w:color w:val="auto"/>
                <w:spacing w:val="-1"/>
                <w:highlight w:val="none"/>
              </w:rPr>
              <w:t>A10020399</w:t>
            </w:r>
            <w:r>
              <w:rPr>
                <w:color w:val="auto"/>
                <w:spacing w:val="-31"/>
                <w:highlight w:val="none"/>
              </w:rPr>
              <w:t xml:space="preserve"> </w:t>
            </w:r>
            <w:r>
              <w:rPr>
                <w:color w:val="auto"/>
                <w:spacing w:val="-1"/>
                <w:highlight w:val="none"/>
              </w:rPr>
              <w:t>其他人造板</w:t>
            </w:r>
          </w:p>
        </w:tc>
        <w:tc>
          <w:tcPr>
            <w:tcW w:w="2248" w:type="dxa"/>
            <w:noWrap w:val="0"/>
            <w:vAlign w:val="top"/>
          </w:tcPr>
          <w:p w14:paraId="2309B85F">
            <w:pPr>
              <w:rPr>
                <w:rFonts w:ascii="Arial"/>
                <w:color w:val="auto"/>
                <w:sz w:val="21"/>
                <w:highlight w:val="none"/>
              </w:rPr>
            </w:pPr>
          </w:p>
        </w:tc>
        <w:tc>
          <w:tcPr>
            <w:tcW w:w="3543" w:type="dxa"/>
            <w:noWrap w:val="0"/>
            <w:vAlign w:val="top"/>
          </w:tcPr>
          <w:p w14:paraId="5AA7E424">
            <w:pPr>
              <w:pStyle w:val="382"/>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3837F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noWrap w:val="0"/>
            <w:vAlign w:val="top"/>
          </w:tcPr>
          <w:p w14:paraId="64FDA7E9">
            <w:pPr>
              <w:pStyle w:val="382"/>
              <w:spacing w:before="65"/>
              <w:ind w:left="118"/>
              <w:rPr>
                <w:color w:val="auto"/>
                <w:highlight w:val="none"/>
              </w:rPr>
            </w:pPr>
            <w:r>
              <w:rPr>
                <w:color w:val="auto"/>
                <w:spacing w:val="-5"/>
                <w:highlight w:val="none"/>
              </w:rPr>
              <w:t>33</w:t>
            </w:r>
          </w:p>
        </w:tc>
        <w:tc>
          <w:tcPr>
            <w:tcW w:w="1542" w:type="dxa"/>
            <w:vMerge w:val="restart"/>
            <w:tcBorders>
              <w:bottom w:val="nil"/>
            </w:tcBorders>
            <w:noWrap w:val="0"/>
            <w:vAlign w:val="top"/>
          </w:tcPr>
          <w:p w14:paraId="22A028B7">
            <w:pPr>
              <w:pStyle w:val="382"/>
              <w:spacing w:before="64" w:line="321" w:lineRule="auto"/>
              <w:ind w:left="109" w:right="108" w:hanging="7"/>
              <w:rPr>
                <w:color w:val="auto"/>
                <w:highlight w:val="none"/>
              </w:rPr>
            </w:pPr>
            <w:r>
              <w:rPr>
                <w:color w:val="auto"/>
                <w:spacing w:val="3"/>
                <w:highlight w:val="none"/>
              </w:rPr>
              <w:t>A100204</w:t>
            </w:r>
            <w:r>
              <w:rPr>
                <w:color w:val="auto"/>
                <w:spacing w:val="34"/>
                <w:highlight w:val="none"/>
              </w:rPr>
              <w:t xml:space="preserve"> </w:t>
            </w:r>
            <w:r>
              <w:rPr>
                <w:color w:val="auto"/>
                <w:spacing w:val="3"/>
                <w:highlight w:val="none"/>
              </w:rPr>
              <w:t>二次加</w:t>
            </w:r>
            <w:r>
              <w:rPr>
                <w:color w:val="auto"/>
                <w:highlight w:val="none"/>
              </w:rPr>
              <w:t xml:space="preserve"> </w:t>
            </w:r>
            <w:r>
              <w:rPr>
                <w:color w:val="auto"/>
                <w:spacing w:val="-2"/>
                <w:highlight w:val="none"/>
              </w:rPr>
              <w:t>工材</w:t>
            </w:r>
            <w:r>
              <w:rPr>
                <w:rFonts w:hint="eastAsia"/>
                <w:color w:val="auto"/>
                <w:spacing w:val="-2"/>
                <w:highlight w:val="none"/>
                <w:lang w:eastAsia="zh-CN"/>
              </w:rPr>
              <w:t>，</w:t>
            </w:r>
            <w:r>
              <w:rPr>
                <w:color w:val="auto"/>
                <w:spacing w:val="-2"/>
                <w:highlight w:val="none"/>
              </w:rPr>
              <w:t>相关板材</w:t>
            </w:r>
          </w:p>
        </w:tc>
        <w:tc>
          <w:tcPr>
            <w:tcW w:w="2672" w:type="dxa"/>
            <w:noWrap w:val="0"/>
            <w:vAlign w:val="top"/>
          </w:tcPr>
          <w:p w14:paraId="0BA94C90">
            <w:pPr>
              <w:pStyle w:val="382"/>
              <w:spacing w:before="65" w:line="219" w:lineRule="auto"/>
              <w:ind w:left="103"/>
              <w:rPr>
                <w:color w:val="auto"/>
                <w:highlight w:val="none"/>
              </w:rPr>
            </w:pPr>
            <w:r>
              <w:rPr>
                <w:color w:val="auto"/>
                <w:spacing w:val="-1"/>
                <w:highlight w:val="none"/>
              </w:rPr>
              <w:t>A10020404</w:t>
            </w:r>
            <w:r>
              <w:rPr>
                <w:color w:val="auto"/>
                <w:spacing w:val="-28"/>
                <w:highlight w:val="none"/>
              </w:rPr>
              <w:t xml:space="preserve"> </w:t>
            </w:r>
            <w:r>
              <w:rPr>
                <w:color w:val="auto"/>
                <w:spacing w:val="-1"/>
                <w:highlight w:val="none"/>
              </w:rPr>
              <w:t>人造板表面装饰板</w:t>
            </w:r>
          </w:p>
        </w:tc>
        <w:tc>
          <w:tcPr>
            <w:tcW w:w="2248" w:type="dxa"/>
            <w:noWrap w:val="0"/>
            <w:vAlign w:val="top"/>
          </w:tcPr>
          <w:p w14:paraId="378C36D6">
            <w:pPr>
              <w:rPr>
                <w:rFonts w:ascii="Arial"/>
                <w:color w:val="auto"/>
                <w:sz w:val="21"/>
                <w:highlight w:val="none"/>
              </w:rPr>
            </w:pPr>
          </w:p>
        </w:tc>
        <w:tc>
          <w:tcPr>
            <w:tcW w:w="3543" w:type="dxa"/>
            <w:noWrap w:val="0"/>
            <w:vAlign w:val="top"/>
          </w:tcPr>
          <w:p w14:paraId="056BE6BE">
            <w:pPr>
              <w:pStyle w:val="382"/>
              <w:spacing w:before="64" w:line="219" w:lineRule="auto"/>
              <w:ind w:left="109"/>
              <w:rPr>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0972D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noWrap w:val="0"/>
            <w:vAlign w:val="top"/>
          </w:tcPr>
          <w:p w14:paraId="5F938B28">
            <w:pPr>
              <w:rPr>
                <w:rFonts w:ascii="Arial"/>
                <w:color w:val="auto"/>
                <w:sz w:val="21"/>
                <w:highlight w:val="none"/>
              </w:rPr>
            </w:pPr>
          </w:p>
        </w:tc>
        <w:tc>
          <w:tcPr>
            <w:tcW w:w="1542" w:type="dxa"/>
            <w:vMerge w:val="continue"/>
            <w:tcBorders>
              <w:top w:val="nil"/>
            </w:tcBorders>
            <w:noWrap w:val="0"/>
            <w:vAlign w:val="top"/>
          </w:tcPr>
          <w:p w14:paraId="45D49E56">
            <w:pPr>
              <w:rPr>
                <w:rFonts w:ascii="Arial"/>
                <w:color w:val="auto"/>
                <w:sz w:val="21"/>
                <w:highlight w:val="none"/>
              </w:rPr>
            </w:pPr>
          </w:p>
        </w:tc>
        <w:tc>
          <w:tcPr>
            <w:tcW w:w="2672" w:type="dxa"/>
            <w:noWrap w:val="0"/>
            <w:vAlign w:val="top"/>
          </w:tcPr>
          <w:p w14:paraId="78A3BF04">
            <w:pPr>
              <w:pStyle w:val="382"/>
              <w:spacing w:before="67" w:line="284" w:lineRule="auto"/>
              <w:ind w:left="113" w:right="107" w:hanging="10"/>
              <w:rPr>
                <w:color w:val="auto"/>
                <w:highlight w:val="none"/>
              </w:rPr>
            </w:pPr>
            <w:r>
              <w:rPr>
                <w:color w:val="auto"/>
                <w:spacing w:val="5"/>
                <w:highlight w:val="none"/>
              </w:rPr>
              <w:t>A10020404</w:t>
            </w:r>
            <w:r>
              <w:rPr>
                <w:color w:val="auto"/>
                <w:spacing w:val="30"/>
                <w:highlight w:val="none"/>
              </w:rPr>
              <w:t xml:space="preserve"> </w:t>
            </w:r>
            <w:r>
              <w:rPr>
                <w:color w:val="auto"/>
                <w:spacing w:val="5"/>
                <w:highlight w:val="none"/>
              </w:rPr>
              <w:t>人造板表面装饰板</w:t>
            </w:r>
            <w:r>
              <w:rPr>
                <w:color w:val="auto"/>
                <w:highlight w:val="none"/>
              </w:rPr>
              <w:t xml:space="preserve"> </w:t>
            </w:r>
            <w:r>
              <w:rPr>
                <w:color w:val="auto"/>
                <w:spacing w:val="-3"/>
                <w:highlight w:val="none"/>
              </w:rPr>
              <w:t>（地板）</w:t>
            </w:r>
          </w:p>
        </w:tc>
        <w:tc>
          <w:tcPr>
            <w:tcW w:w="2248" w:type="dxa"/>
            <w:noWrap w:val="0"/>
            <w:vAlign w:val="top"/>
          </w:tcPr>
          <w:p w14:paraId="3BC1BD0D">
            <w:pPr>
              <w:rPr>
                <w:rFonts w:ascii="Arial"/>
                <w:color w:val="auto"/>
                <w:sz w:val="21"/>
                <w:highlight w:val="none"/>
              </w:rPr>
            </w:pPr>
          </w:p>
        </w:tc>
        <w:tc>
          <w:tcPr>
            <w:tcW w:w="3543" w:type="dxa"/>
            <w:noWrap w:val="0"/>
            <w:vAlign w:val="top"/>
          </w:tcPr>
          <w:p w14:paraId="63657FF5">
            <w:pPr>
              <w:pStyle w:val="382"/>
              <w:spacing w:before="67" w:line="219" w:lineRule="auto"/>
              <w:ind w:left="109"/>
              <w:rPr>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5A475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noWrap w:val="0"/>
            <w:vAlign w:val="top"/>
          </w:tcPr>
          <w:p w14:paraId="0DCF9DFA">
            <w:pPr>
              <w:pStyle w:val="382"/>
              <w:spacing w:before="65"/>
              <w:ind w:left="118"/>
              <w:rPr>
                <w:color w:val="auto"/>
                <w:highlight w:val="none"/>
              </w:rPr>
            </w:pPr>
            <w:r>
              <w:rPr>
                <w:color w:val="auto"/>
                <w:spacing w:val="-5"/>
                <w:highlight w:val="none"/>
              </w:rPr>
              <w:t>34</w:t>
            </w:r>
          </w:p>
        </w:tc>
        <w:tc>
          <w:tcPr>
            <w:tcW w:w="1542" w:type="dxa"/>
            <w:noWrap w:val="0"/>
            <w:vAlign w:val="top"/>
          </w:tcPr>
          <w:p w14:paraId="21984183">
            <w:pPr>
              <w:pStyle w:val="382"/>
              <w:spacing w:before="66" w:line="283" w:lineRule="auto"/>
              <w:ind w:left="107" w:right="108" w:hanging="5"/>
              <w:rPr>
                <w:color w:val="auto"/>
                <w:highlight w:val="none"/>
              </w:rPr>
            </w:pPr>
            <w:r>
              <w:rPr>
                <w:color w:val="auto"/>
                <w:spacing w:val="3"/>
                <w:highlight w:val="none"/>
              </w:rPr>
              <w:t>A100301</w:t>
            </w:r>
            <w:r>
              <w:rPr>
                <w:color w:val="auto"/>
                <w:spacing w:val="34"/>
                <w:highlight w:val="none"/>
              </w:rPr>
              <w:t xml:space="preserve"> </w:t>
            </w:r>
            <w:r>
              <w:rPr>
                <w:color w:val="auto"/>
                <w:spacing w:val="3"/>
                <w:highlight w:val="none"/>
              </w:rPr>
              <w:t>水泥熟</w:t>
            </w:r>
            <w:r>
              <w:rPr>
                <w:color w:val="auto"/>
                <w:highlight w:val="none"/>
              </w:rPr>
              <w:t xml:space="preserve"> </w:t>
            </w:r>
            <w:r>
              <w:rPr>
                <w:color w:val="auto"/>
                <w:spacing w:val="-2"/>
                <w:highlight w:val="none"/>
              </w:rPr>
              <w:t>料及水泥</w:t>
            </w:r>
          </w:p>
        </w:tc>
        <w:tc>
          <w:tcPr>
            <w:tcW w:w="2672" w:type="dxa"/>
            <w:noWrap w:val="0"/>
            <w:vAlign w:val="top"/>
          </w:tcPr>
          <w:p w14:paraId="79E97E25">
            <w:pPr>
              <w:pStyle w:val="382"/>
              <w:spacing w:before="65" w:line="220" w:lineRule="auto"/>
              <w:ind w:left="103"/>
              <w:rPr>
                <w:color w:val="auto"/>
                <w:highlight w:val="none"/>
              </w:rPr>
            </w:pPr>
            <w:r>
              <w:rPr>
                <w:color w:val="auto"/>
                <w:spacing w:val="-1"/>
                <w:highlight w:val="none"/>
              </w:rPr>
              <w:t>A10030102</w:t>
            </w:r>
            <w:r>
              <w:rPr>
                <w:color w:val="auto"/>
                <w:spacing w:val="-31"/>
                <w:highlight w:val="none"/>
              </w:rPr>
              <w:t xml:space="preserve"> </w:t>
            </w:r>
            <w:r>
              <w:rPr>
                <w:color w:val="auto"/>
                <w:spacing w:val="-1"/>
                <w:highlight w:val="none"/>
              </w:rPr>
              <w:t>水泥</w:t>
            </w:r>
          </w:p>
        </w:tc>
        <w:tc>
          <w:tcPr>
            <w:tcW w:w="2248" w:type="dxa"/>
            <w:noWrap w:val="0"/>
            <w:vAlign w:val="top"/>
          </w:tcPr>
          <w:p w14:paraId="0DF6AF9D">
            <w:pPr>
              <w:rPr>
                <w:rFonts w:ascii="Arial"/>
                <w:color w:val="auto"/>
                <w:sz w:val="21"/>
                <w:highlight w:val="none"/>
              </w:rPr>
            </w:pPr>
          </w:p>
        </w:tc>
        <w:tc>
          <w:tcPr>
            <w:tcW w:w="3543" w:type="dxa"/>
            <w:noWrap w:val="0"/>
            <w:vAlign w:val="top"/>
          </w:tcPr>
          <w:p w14:paraId="21C1FEDE">
            <w:pPr>
              <w:pStyle w:val="382"/>
              <w:spacing w:before="64" w:line="219" w:lineRule="auto"/>
              <w:ind w:left="109"/>
              <w:rPr>
                <w:color w:val="auto"/>
                <w:highlight w:val="none"/>
              </w:rPr>
            </w:pPr>
            <w:r>
              <w:rPr>
                <w:color w:val="auto"/>
                <w:spacing w:val="-1"/>
                <w:highlight w:val="none"/>
              </w:rPr>
              <w:t>HJ2519</w:t>
            </w:r>
            <w:r>
              <w:rPr>
                <w:color w:val="auto"/>
                <w:spacing w:val="-34"/>
                <w:highlight w:val="none"/>
              </w:rPr>
              <w:t xml:space="preserve"> </w:t>
            </w:r>
            <w:r>
              <w:rPr>
                <w:color w:val="auto"/>
                <w:spacing w:val="-1"/>
                <w:highlight w:val="none"/>
              </w:rPr>
              <w:t>水泥</w:t>
            </w:r>
          </w:p>
        </w:tc>
      </w:tr>
      <w:tr w14:paraId="2792E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noWrap w:val="0"/>
            <w:vAlign w:val="top"/>
          </w:tcPr>
          <w:p w14:paraId="1D802850">
            <w:pPr>
              <w:pStyle w:val="382"/>
              <w:spacing w:before="66"/>
              <w:ind w:left="118"/>
              <w:rPr>
                <w:color w:val="auto"/>
                <w:highlight w:val="none"/>
              </w:rPr>
            </w:pPr>
            <w:r>
              <w:rPr>
                <w:color w:val="auto"/>
                <w:spacing w:val="-5"/>
                <w:highlight w:val="none"/>
              </w:rPr>
              <w:t>35</w:t>
            </w:r>
          </w:p>
        </w:tc>
        <w:tc>
          <w:tcPr>
            <w:tcW w:w="1542" w:type="dxa"/>
            <w:noWrap w:val="0"/>
            <w:vAlign w:val="top"/>
          </w:tcPr>
          <w:p w14:paraId="08D19AB5">
            <w:pPr>
              <w:pStyle w:val="382"/>
              <w:spacing w:before="66" w:line="283" w:lineRule="auto"/>
              <w:ind w:left="106" w:right="108" w:hanging="4"/>
              <w:rPr>
                <w:color w:val="auto"/>
                <w:highlight w:val="none"/>
              </w:rPr>
            </w:pPr>
            <w:r>
              <w:rPr>
                <w:color w:val="auto"/>
                <w:spacing w:val="3"/>
                <w:highlight w:val="none"/>
              </w:rPr>
              <w:t>A100303</w:t>
            </w:r>
            <w:r>
              <w:rPr>
                <w:color w:val="auto"/>
                <w:spacing w:val="34"/>
                <w:highlight w:val="none"/>
              </w:rPr>
              <w:t xml:space="preserve"> </w:t>
            </w:r>
            <w:r>
              <w:rPr>
                <w:color w:val="auto"/>
                <w:spacing w:val="3"/>
                <w:highlight w:val="none"/>
              </w:rPr>
              <w:t>水泥混</w:t>
            </w:r>
            <w:r>
              <w:rPr>
                <w:color w:val="auto"/>
                <w:highlight w:val="none"/>
              </w:rPr>
              <w:t xml:space="preserve"> </w:t>
            </w:r>
            <w:r>
              <w:rPr>
                <w:color w:val="auto"/>
                <w:spacing w:val="-2"/>
                <w:highlight w:val="none"/>
              </w:rPr>
              <w:t>凝土制品</w:t>
            </w:r>
          </w:p>
        </w:tc>
        <w:tc>
          <w:tcPr>
            <w:tcW w:w="2672" w:type="dxa"/>
            <w:noWrap w:val="0"/>
            <w:vAlign w:val="top"/>
          </w:tcPr>
          <w:p w14:paraId="7EA43F34">
            <w:pPr>
              <w:pStyle w:val="382"/>
              <w:spacing w:before="65" w:line="221" w:lineRule="auto"/>
              <w:ind w:left="103"/>
              <w:rPr>
                <w:color w:val="auto"/>
                <w:highlight w:val="none"/>
              </w:rPr>
            </w:pPr>
            <w:r>
              <w:rPr>
                <w:color w:val="auto"/>
                <w:spacing w:val="-1"/>
                <w:highlight w:val="none"/>
              </w:rPr>
              <w:t>A10030301</w:t>
            </w:r>
            <w:r>
              <w:rPr>
                <w:color w:val="auto"/>
                <w:spacing w:val="-30"/>
                <w:highlight w:val="none"/>
              </w:rPr>
              <w:t xml:space="preserve"> </w:t>
            </w:r>
            <w:r>
              <w:rPr>
                <w:color w:val="auto"/>
                <w:spacing w:val="-1"/>
                <w:highlight w:val="none"/>
              </w:rPr>
              <w:t>商品混凝土</w:t>
            </w:r>
          </w:p>
        </w:tc>
        <w:tc>
          <w:tcPr>
            <w:tcW w:w="2248" w:type="dxa"/>
            <w:noWrap w:val="0"/>
            <w:vAlign w:val="top"/>
          </w:tcPr>
          <w:p w14:paraId="2DF60901">
            <w:pPr>
              <w:rPr>
                <w:rFonts w:ascii="Arial"/>
                <w:color w:val="auto"/>
                <w:sz w:val="21"/>
                <w:highlight w:val="none"/>
              </w:rPr>
            </w:pPr>
          </w:p>
        </w:tc>
        <w:tc>
          <w:tcPr>
            <w:tcW w:w="3543" w:type="dxa"/>
            <w:noWrap w:val="0"/>
            <w:vAlign w:val="top"/>
          </w:tcPr>
          <w:p w14:paraId="1F0E1241">
            <w:pPr>
              <w:pStyle w:val="382"/>
              <w:spacing w:before="65" w:line="219" w:lineRule="auto"/>
              <w:ind w:left="109"/>
              <w:rPr>
                <w:color w:val="auto"/>
                <w:highlight w:val="none"/>
              </w:rPr>
            </w:pPr>
            <w:r>
              <w:rPr>
                <w:color w:val="auto"/>
                <w:spacing w:val="-1"/>
                <w:highlight w:val="none"/>
              </w:rPr>
              <w:t>HJ/T412</w:t>
            </w:r>
            <w:r>
              <w:rPr>
                <w:color w:val="auto"/>
                <w:spacing w:val="-34"/>
                <w:highlight w:val="none"/>
              </w:rPr>
              <w:t xml:space="preserve"> </w:t>
            </w:r>
            <w:r>
              <w:rPr>
                <w:color w:val="auto"/>
                <w:spacing w:val="-1"/>
                <w:highlight w:val="none"/>
              </w:rPr>
              <w:t>预拌混凝土</w:t>
            </w:r>
          </w:p>
        </w:tc>
      </w:tr>
      <w:tr w14:paraId="3BCE8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32D9297E">
            <w:pPr>
              <w:pStyle w:val="382"/>
              <w:spacing w:before="66"/>
              <w:ind w:left="118"/>
              <w:rPr>
                <w:color w:val="auto"/>
                <w:highlight w:val="none"/>
              </w:rPr>
            </w:pPr>
            <w:r>
              <w:rPr>
                <w:color w:val="auto"/>
                <w:spacing w:val="-5"/>
                <w:highlight w:val="none"/>
              </w:rPr>
              <w:t>36</w:t>
            </w:r>
          </w:p>
        </w:tc>
        <w:tc>
          <w:tcPr>
            <w:tcW w:w="1542" w:type="dxa"/>
            <w:vMerge w:val="restart"/>
            <w:tcBorders>
              <w:bottom w:val="nil"/>
            </w:tcBorders>
            <w:noWrap w:val="0"/>
            <w:vAlign w:val="top"/>
          </w:tcPr>
          <w:p w14:paraId="624C78A3">
            <w:pPr>
              <w:pStyle w:val="382"/>
              <w:spacing w:before="66" w:line="322" w:lineRule="auto"/>
              <w:ind w:left="111" w:right="108" w:hanging="9"/>
              <w:rPr>
                <w:color w:val="auto"/>
                <w:highlight w:val="none"/>
              </w:rPr>
            </w:pPr>
            <w:r>
              <w:rPr>
                <w:color w:val="auto"/>
                <w:spacing w:val="3"/>
                <w:highlight w:val="none"/>
              </w:rPr>
              <w:t>A100304</w:t>
            </w:r>
            <w:r>
              <w:rPr>
                <w:color w:val="auto"/>
                <w:spacing w:val="35"/>
                <w:highlight w:val="none"/>
              </w:rPr>
              <w:t xml:space="preserve"> </w:t>
            </w:r>
            <w:r>
              <w:rPr>
                <w:color w:val="auto"/>
                <w:spacing w:val="3"/>
                <w:highlight w:val="none"/>
              </w:rPr>
              <w:t>纤维增</w:t>
            </w:r>
            <w:r>
              <w:rPr>
                <w:color w:val="auto"/>
                <w:highlight w:val="none"/>
              </w:rPr>
              <w:t xml:space="preserve"> </w:t>
            </w:r>
            <w:r>
              <w:rPr>
                <w:color w:val="auto"/>
                <w:spacing w:val="-2"/>
                <w:highlight w:val="none"/>
              </w:rPr>
              <w:t>强水泥制品</w:t>
            </w:r>
          </w:p>
        </w:tc>
        <w:tc>
          <w:tcPr>
            <w:tcW w:w="2672" w:type="dxa"/>
            <w:noWrap w:val="0"/>
            <w:vAlign w:val="top"/>
          </w:tcPr>
          <w:p w14:paraId="42D630F0">
            <w:pPr>
              <w:pStyle w:val="382"/>
              <w:spacing w:before="66" w:line="219" w:lineRule="auto"/>
              <w:ind w:left="103"/>
              <w:rPr>
                <w:color w:val="auto"/>
                <w:highlight w:val="none"/>
              </w:rPr>
            </w:pPr>
            <w:r>
              <w:rPr>
                <w:color w:val="auto"/>
                <w:spacing w:val="-1"/>
                <w:highlight w:val="none"/>
              </w:rPr>
              <w:t>A10030402</w:t>
            </w:r>
            <w:r>
              <w:rPr>
                <w:color w:val="auto"/>
                <w:spacing w:val="-28"/>
                <w:highlight w:val="none"/>
              </w:rPr>
              <w:t xml:space="preserve"> </w:t>
            </w:r>
            <w:r>
              <w:rPr>
                <w:color w:val="auto"/>
                <w:spacing w:val="-1"/>
                <w:highlight w:val="none"/>
              </w:rPr>
              <w:t>纤维增强硅酸钙板</w:t>
            </w:r>
          </w:p>
        </w:tc>
        <w:tc>
          <w:tcPr>
            <w:tcW w:w="2248" w:type="dxa"/>
            <w:noWrap w:val="0"/>
            <w:vAlign w:val="top"/>
          </w:tcPr>
          <w:p w14:paraId="7D690B2A">
            <w:pPr>
              <w:rPr>
                <w:rFonts w:ascii="Arial"/>
                <w:color w:val="auto"/>
                <w:sz w:val="21"/>
                <w:highlight w:val="none"/>
              </w:rPr>
            </w:pPr>
          </w:p>
        </w:tc>
        <w:tc>
          <w:tcPr>
            <w:tcW w:w="3543" w:type="dxa"/>
            <w:noWrap w:val="0"/>
            <w:vAlign w:val="top"/>
          </w:tcPr>
          <w:p w14:paraId="4EDBD103">
            <w:pPr>
              <w:pStyle w:val="382"/>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0045E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noWrap w:val="0"/>
            <w:vAlign w:val="top"/>
          </w:tcPr>
          <w:p w14:paraId="49CE2269">
            <w:pPr>
              <w:rPr>
                <w:rFonts w:ascii="Arial"/>
                <w:color w:val="auto"/>
                <w:sz w:val="21"/>
                <w:highlight w:val="none"/>
              </w:rPr>
            </w:pPr>
          </w:p>
        </w:tc>
        <w:tc>
          <w:tcPr>
            <w:tcW w:w="1542" w:type="dxa"/>
            <w:vMerge w:val="continue"/>
            <w:tcBorders>
              <w:top w:val="nil"/>
            </w:tcBorders>
            <w:noWrap w:val="0"/>
            <w:vAlign w:val="top"/>
          </w:tcPr>
          <w:p w14:paraId="34E8D6D4">
            <w:pPr>
              <w:rPr>
                <w:rFonts w:ascii="Arial"/>
                <w:color w:val="auto"/>
                <w:sz w:val="21"/>
                <w:highlight w:val="none"/>
              </w:rPr>
            </w:pPr>
          </w:p>
        </w:tc>
        <w:tc>
          <w:tcPr>
            <w:tcW w:w="2672" w:type="dxa"/>
            <w:noWrap w:val="0"/>
            <w:vAlign w:val="top"/>
          </w:tcPr>
          <w:p w14:paraId="5E44728A">
            <w:pPr>
              <w:pStyle w:val="382"/>
              <w:spacing w:before="66" w:line="220" w:lineRule="auto"/>
              <w:ind w:left="103"/>
              <w:rPr>
                <w:color w:val="auto"/>
                <w:highlight w:val="none"/>
              </w:rPr>
            </w:pPr>
            <w:r>
              <w:rPr>
                <w:color w:val="auto"/>
                <w:spacing w:val="-1"/>
                <w:highlight w:val="none"/>
              </w:rPr>
              <w:t>A10030403</w:t>
            </w:r>
            <w:r>
              <w:rPr>
                <w:color w:val="auto"/>
                <w:spacing w:val="-45"/>
                <w:highlight w:val="none"/>
              </w:rPr>
              <w:t xml:space="preserve"> </w:t>
            </w:r>
            <w:r>
              <w:rPr>
                <w:color w:val="auto"/>
                <w:spacing w:val="-1"/>
                <w:highlight w:val="none"/>
              </w:rPr>
              <w:t>无石棉纤维水泥制品</w:t>
            </w:r>
          </w:p>
        </w:tc>
        <w:tc>
          <w:tcPr>
            <w:tcW w:w="2248" w:type="dxa"/>
            <w:noWrap w:val="0"/>
            <w:vAlign w:val="top"/>
          </w:tcPr>
          <w:p w14:paraId="0BBA83B2">
            <w:pPr>
              <w:rPr>
                <w:rFonts w:ascii="Arial"/>
                <w:color w:val="auto"/>
                <w:sz w:val="21"/>
                <w:highlight w:val="none"/>
              </w:rPr>
            </w:pPr>
          </w:p>
        </w:tc>
        <w:tc>
          <w:tcPr>
            <w:tcW w:w="3543" w:type="dxa"/>
            <w:noWrap w:val="0"/>
            <w:vAlign w:val="top"/>
          </w:tcPr>
          <w:p w14:paraId="50867DED">
            <w:pPr>
              <w:pStyle w:val="382"/>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3A9D7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45C3FA82">
            <w:pPr>
              <w:pStyle w:val="382"/>
              <w:spacing w:before="67"/>
              <w:ind w:left="118"/>
              <w:rPr>
                <w:color w:val="auto"/>
                <w:highlight w:val="none"/>
              </w:rPr>
            </w:pPr>
            <w:r>
              <w:rPr>
                <w:color w:val="auto"/>
                <w:spacing w:val="-5"/>
                <w:highlight w:val="none"/>
              </w:rPr>
              <w:t>37</w:t>
            </w:r>
          </w:p>
        </w:tc>
        <w:tc>
          <w:tcPr>
            <w:tcW w:w="1542" w:type="dxa"/>
            <w:vMerge w:val="restart"/>
            <w:tcBorders>
              <w:bottom w:val="nil"/>
            </w:tcBorders>
            <w:noWrap w:val="0"/>
            <w:vAlign w:val="top"/>
          </w:tcPr>
          <w:p w14:paraId="1176C37E">
            <w:pPr>
              <w:pStyle w:val="382"/>
              <w:spacing w:before="66" w:line="322" w:lineRule="auto"/>
              <w:ind w:left="109" w:right="108" w:hanging="7"/>
              <w:rPr>
                <w:color w:val="auto"/>
                <w:highlight w:val="none"/>
              </w:rPr>
            </w:pPr>
            <w:r>
              <w:rPr>
                <w:color w:val="auto"/>
                <w:spacing w:val="3"/>
                <w:highlight w:val="none"/>
              </w:rPr>
              <w:t>A100305</w:t>
            </w:r>
            <w:r>
              <w:rPr>
                <w:color w:val="auto"/>
                <w:spacing w:val="34"/>
                <w:highlight w:val="none"/>
              </w:rPr>
              <w:t xml:space="preserve"> </w:t>
            </w:r>
            <w:r>
              <w:rPr>
                <w:color w:val="auto"/>
                <w:spacing w:val="3"/>
                <w:highlight w:val="none"/>
              </w:rPr>
              <w:t>轻质建</w:t>
            </w:r>
            <w:r>
              <w:rPr>
                <w:color w:val="auto"/>
                <w:highlight w:val="none"/>
              </w:rPr>
              <w:t xml:space="preserve"> </w:t>
            </w:r>
            <w:r>
              <w:rPr>
                <w:color w:val="auto"/>
                <w:spacing w:val="-2"/>
                <w:highlight w:val="none"/>
              </w:rPr>
              <w:t>筑材料及制品</w:t>
            </w:r>
          </w:p>
        </w:tc>
        <w:tc>
          <w:tcPr>
            <w:tcW w:w="2672" w:type="dxa"/>
            <w:noWrap w:val="0"/>
            <w:vAlign w:val="top"/>
          </w:tcPr>
          <w:p w14:paraId="4BAC1766">
            <w:pPr>
              <w:pStyle w:val="382"/>
              <w:spacing w:before="67" w:line="219" w:lineRule="auto"/>
              <w:ind w:left="103"/>
              <w:rPr>
                <w:color w:val="auto"/>
                <w:highlight w:val="none"/>
              </w:rPr>
            </w:pPr>
            <w:r>
              <w:rPr>
                <w:color w:val="auto"/>
                <w:spacing w:val="-1"/>
                <w:highlight w:val="none"/>
              </w:rPr>
              <w:t>A10030501</w:t>
            </w:r>
            <w:r>
              <w:rPr>
                <w:color w:val="auto"/>
                <w:spacing w:val="-32"/>
                <w:highlight w:val="none"/>
              </w:rPr>
              <w:t xml:space="preserve"> </w:t>
            </w:r>
            <w:r>
              <w:rPr>
                <w:color w:val="auto"/>
                <w:spacing w:val="-1"/>
                <w:highlight w:val="none"/>
              </w:rPr>
              <w:t>石膏板</w:t>
            </w:r>
          </w:p>
        </w:tc>
        <w:tc>
          <w:tcPr>
            <w:tcW w:w="2248" w:type="dxa"/>
            <w:noWrap w:val="0"/>
            <w:vAlign w:val="top"/>
          </w:tcPr>
          <w:p w14:paraId="09B24EC1">
            <w:pPr>
              <w:rPr>
                <w:rFonts w:ascii="Arial"/>
                <w:color w:val="auto"/>
                <w:sz w:val="21"/>
                <w:highlight w:val="none"/>
              </w:rPr>
            </w:pPr>
          </w:p>
        </w:tc>
        <w:tc>
          <w:tcPr>
            <w:tcW w:w="3543" w:type="dxa"/>
            <w:noWrap w:val="0"/>
            <w:vAlign w:val="top"/>
          </w:tcPr>
          <w:p w14:paraId="19D6628D">
            <w:pPr>
              <w:pStyle w:val="382"/>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315B4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noWrap w:val="0"/>
            <w:vAlign w:val="top"/>
          </w:tcPr>
          <w:p w14:paraId="77975A80">
            <w:pPr>
              <w:rPr>
                <w:rFonts w:ascii="Arial"/>
                <w:color w:val="auto"/>
                <w:sz w:val="21"/>
                <w:highlight w:val="none"/>
              </w:rPr>
            </w:pPr>
          </w:p>
        </w:tc>
        <w:tc>
          <w:tcPr>
            <w:tcW w:w="1542" w:type="dxa"/>
            <w:vMerge w:val="continue"/>
            <w:tcBorders>
              <w:top w:val="nil"/>
            </w:tcBorders>
            <w:noWrap w:val="0"/>
            <w:vAlign w:val="top"/>
          </w:tcPr>
          <w:p w14:paraId="225AB5C1">
            <w:pPr>
              <w:rPr>
                <w:rFonts w:ascii="Arial"/>
                <w:color w:val="auto"/>
                <w:sz w:val="21"/>
                <w:highlight w:val="none"/>
              </w:rPr>
            </w:pPr>
          </w:p>
        </w:tc>
        <w:tc>
          <w:tcPr>
            <w:tcW w:w="2672" w:type="dxa"/>
            <w:noWrap w:val="0"/>
            <w:vAlign w:val="top"/>
          </w:tcPr>
          <w:p w14:paraId="4430DD7C">
            <w:pPr>
              <w:pStyle w:val="382"/>
              <w:spacing w:before="66" w:line="219" w:lineRule="auto"/>
              <w:ind w:left="103"/>
              <w:rPr>
                <w:color w:val="auto"/>
                <w:highlight w:val="none"/>
              </w:rPr>
            </w:pPr>
            <w:r>
              <w:rPr>
                <w:color w:val="auto"/>
                <w:spacing w:val="-1"/>
                <w:highlight w:val="none"/>
              </w:rPr>
              <w:t>A10030503</w:t>
            </w:r>
            <w:r>
              <w:rPr>
                <w:color w:val="auto"/>
                <w:spacing w:val="-30"/>
                <w:highlight w:val="none"/>
              </w:rPr>
              <w:t xml:space="preserve"> </w:t>
            </w:r>
            <w:r>
              <w:rPr>
                <w:color w:val="auto"/>
                <w:spacing w:val="-1"/>
                <w:highlight w:val="none"/>
              </w:rPr>
              <w:t>轻质隔墙条板</w:t>
            </w:r>
          </w:p>
        </w:tc>
        <w:tc>
          <w:tcPr>
            <w:tcW w:w="2248" w:type="dxa"/>
            <w:noWrap w:val="0"/>
            <w:vAlign w:val="top"/>
          </w:tcPr>
          <w:p w14:paraId="44A52533">
            <w:pPr>
              <w:rPr>
                <w:rFonts w:ascii="Arial"/>
                <w:color w:val="auto"/>
                <w:sz w:val="21"/>
                <w:highlight w:val="none"/>
              </w:rPr>
            </w:pPr>
          </w:p>
        </w:tc>
        <w:tc>
          <w:tcPr>
            <w:tcW w:w="3543" w:type="dxa"/>
            <w:noWrap w:val="0"/>
            <w:vAlign w:val="top"/>
          </w:tcPr>
          <w:p w14:paraId="695F7A61">
            <w:pPr>
              <w:pStyle w:val="382"/>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5FB6C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7C6EB9F1">
            <w:pPr>
              <w:pStyle w:val="382"/>
              <w:spacing w:before="67"/>
              <w:ind w:left="118"/>
              <w:rPr>
                <w:color w:val="auto"/>
                <w:highlight w:val="none"/>
              </w:rPr>
            </w:pPr>
            <w:r>
              <w:rPr>
                <w:color w:val="auto"/>
                <w:spacing w:val="-5"/>
                <w:highlight w:val="none"/>
              </w:rPr>
              <w:t>38</w:t>
            </w:r>
          </w:p>
        </w:tc>
        <w:tc>
          <w:tcPr>
            <w:tcW w:w="1542" w:type="dxa"/>
            <w:vMerge w:val="restart"/>
            <w:tcBorders>
              <w:bottom w:val="nil"/>
            </w:tcBorders>
            <w:noWrap w:val="0"/>
            <w:vAlign w:val="top"/>
          </w:tcPr>
          <w:p w14:paraId="46BF0F60">
            <w:pPr>
              <w:pStyle w:val="382"/>
              <w:spacing w:before="67" w:line="322" w:lineRule="auto"/>
              <w:ind w:left="111" w:right="108" w:hanging="9"/>
              <w:rPr>
                <w:color w:val="auto"/>
                <w:highlight w:val="none"/>
              </w:rPr>
            </w:pPr>
            <w:r>
              <w:rPr>
                <w:color w:val="auto"/>
                <w:spacing w:val="-1"/>
                <w:highlight w:val="none"/>
              </w:rPr>
              <w:t>A100307</w:t>
            </w:r>
            <w:r>
              <w:rPr>
                <w:color w:val="auto"/>
                <w:spacing w:val="36"/>
                <w:highlight w:val="none"/>
              </w:rPr>
              <w:t xml:space="preserve"> </w:t>
            </w:r>
            <w:r>
              <w:rPr>
                <w:color w:val="auto"/>
                <w:spacing w:val="-1"/>
                <w:highlight w:val="none"/>
              </w:rPr>
              <w:t>建筑</w:t>
            </w:r>
            <w:r>
              <w:rPr>
                <w:color w:val="auto"/>
                <w:spacing w:val="-52"/>
                <w:highlight w:val="none"/>
              </w:rPr>
              <w:t xml:space="preserve"> </w:t>
            </w:r>
            <w:r>
              <w:rPr>
                <w:color w:val="auto"/>
                <w:spacing w:val="-1"/>
                <w:highlight w:val="none"/>
              </w:rPr>
              <w:t>陶</w:t>
            </w:r>
            <w:r>
              <w:rPr>
                <w:color w:val="auto"/>
                <w:highlight w:val="none"/>
              </w:rPr>
              <w:t xml:space="preserve"> </w:t>
            </w:r>
            <w:r>
              <w:rPr>
                <w:color w:val="auto"/>
                <w:spacing w:val="-3"/>
                <w:highlight w:val="none"/>
              </w:rPr>
              <w:t>瓷制品</w:t>
            </w:r>
          </w:p>
        </w:tc>
        <w:tc>
          <w:tcPr>
            <w:tcW w:w="2672" w:type="dxa"/>
            <w:noWrap w:val="0"/>
            <w:vAlign w:val="top"/>
          </w:tcPr>
          <w:p w14:paraId="63565408">
            <w:pPr>
              <w:pStyle w:val="382"/>
              <w:spacing w:before="66" w:line="221" w:lineRule="auto"/>
              <w:ind w:left="103"/>
              <w:rPr>
                <w:color w:val="auto"/>
                <w:highlight w:val="none"/>
              </w:rPr>
            </w:pPr>
            <w:r>
              <w:rPr>
                <w:color w:val="auto"/>
                <w:spacing w:val="-1"/>
                <w:highlight w:val="none"/>
              </w:rPr>
              <w:t>A10030701</w:t>
            </w:r>
            <w:r>
              <w:rPr>
                <w:color w:val="auto"/>
                <w:spacing w:val="-30"/>
                <w:highlight w:val="none"/>
              </w:rPr>
              <w:t xml:space="preserve"> </w:t>
            </w:r>
            <w:r>
              <w:rPr>
                <w:color w:val="auto"/>
                <w:spacing w:val="-1"/>
                <w:highlight w:val="none"/>
              </w:rPr>
              <w:t>瓷质砖</w:t>
            </w:r>
          </w:p>
        </w:tc>
        <w:tc>
          <w:tcPr>
            <w:tcW w:w="2248" w:type="dxa"/>
            <w:noWrap w:val="0"/>
            <w:vAlign w:val="top"/>
          </w:tcPr>
          <w:p w14:paraId="4EF65024">
            <w:pPr>
              <w:rPr>
                <w:rFonts w:ascii="Arial"/>
                <w:color w:val="auto"/>
                <w:sz w:val="21"/>
                <w:highlight w:val="none"/>
              </w:rPr>
            </w:pPr>
          </w:p>
        </w:tc>
        <w:tc>
          <w:tcPr>
            <w:tcW w:w="3543" w:type="dxa"/>
            <w:noWrap w:val="0"/>
            <w:vAlign w:val="top"/>
          </w:tcPr>
          <w:p w14:paraId="3E33E4AB">
            <w:pPr>
              <w:pStyle w:val="382"/>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6D65E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noWrap w:val="0"/>
            <w:vAlign w:val="top"/>
          </w:tcPr>
          <w:p w14:paraId="1392169A">
            <w:pPr>
              <w:rPr>
                <w:rFonts w:ascii="Arial"/>
                <w:color w:val="auto"/>
                <w:sz w:val="21"/>
                <w:highlight w:val="none"/>
              </w:rPr>
            </w:pPr>
          </w:p>
        </w:tc>
        <w:tc>
          <w:tcPr>
            <w:tcW w:w="1542" w:type="dxa"/>
            <w:vMerge w:val="continue"/>
            <w:tcBorders>
              <w:top w:val="nil"/>
              <w:bottom w:val="nil"/>
            </w:tcBorders>
            <w:noWrap w:val="0"/>
            <w:vAlign w:val="top"/>
          </w:tcPr>
          <w:p w14:paraId="227D1DC3">
            <w:pPr>
              <w:rPr>
                <w:rFonts w:ascii="Arial"/>
                <w:color w:val="auto"/>
                <w:sz w:val="21"/>
                <w:highlight w:val="none"/>
              </w:rPr>
            </w:pPr>
          </w:p>
        </w:tc>
        <w:tc>
          <w:tcPr>
            <w:tcW w:w="2672" w:type="dxa"/>
            <w:noWrap w:val="0"/>
            <w:vAlign w:val="top"/>
          </w:tcPr>
          <w:p w14:paraId="22892526">
            <w:pPr>
              <w:pStyle w:val="382"/>
              <w:spacing w:before="66" w:line="221" w:lineRule="auto"/>
              <w:ind w:left="103"/>
              <w:rPr>
                <w:color w:val="auto"/>
                <w:highlight w:val="none"/>
              </w:rPr>
            </w:pPr>
            <w:r>
              <w:rPr>
                <w:color w:val="auto"/>
                <w:highlight w:val="none"/>
              </w:rPr>
              <w:t>A10030704 炻质砖</w:t>
            </w:r>
          </w:p>
        </w:tc>
        <w:tc>
          <w:tcPr>
            <w:tcW w:w="2248" w:type="dxa"/>
            <w:noWrap w:val="0"/>
            <w:vAlign w:val="top"/>
          </w:tcPr>
          <w:p w14:paraId="7211E97E">
            <w:pPr>
              <w:rPr>
                <w:rFonts w:ascii="Arial"/>
                <w:color w:val="auto"/>
                <w:sz w:val="21"/>
                <w:highlight w:val="none"/>
              </w:rPr>
            </w:pPr>
          </w:p>
        </w:tc>
        <w:tc>
          <w:tcPr>
            <w:tcW w:w="3543" w:type="dxa"/>
            <w:noWrap w:val="0"/>
            <w:vAlign w:val="top"/>
          </w:tcPr>
          <w:p w14:paraId="72ABEFC1">
            <w:pPr>
              <w:pStyle w:val="382"/>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681E8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noWrap w:val="0"/>
            <w:vAlign w:val="top"/>
          </w:tcPr>
          <w:p w14:paraId="26BE825F">
            <w:pPr>
              <w:rPr>
                <w:rFonts w:ascii="Arial"/>
                <w:color w:val="auto"/>
                <w:sz w:val="21"/>
                <w:highlight w:val="none"/>
              </w:rPr>
            </w:pPr>
          </w:p>
        </w:tc>
        <w:tc>
          <w:tcPr>
            <w:tcW w:w="1542" w:type="dxa"/>
            <w:vMerge w:val="continue"/>
            <w:tcBorders>
              <w:top w:val="nil"/>
              <w:bottom w:val="nil"/>
            </w:tcBorders>
            <w:noWrap w:val="0"/>
            <w:vAlign w:val="top"/>
          </w:tcPr>
          <w:p w14:paraId="7E0E4708">
            <w:pPr>
              <w:rPr>
                <w:rFonts w:ascii="Arial"/>
                <w:color w:val="auto"/>
                <w:sz w:val="21"/>
                <w:highlight w:val="none"/>
              </w:rPr>
            </w:pPr>
          </w:p>
        </w:tc>
        <w:tc>
          <w:tcPr>
            <w:tcW w:w="2672" w:type="dxa"/>
            <w:noWrap w:val="0"/>
            <w:vAlign w:val="top"/>
          </w:tcPr>
          <w:p w14:paraId="47A647C1">
            <w:pPr>
              <w:pStyle w:val="382"/>
              <w:spacing w:before="66" w:line="221" w:lineRule="auto"/>
              <w:ind w:left="103"/>
              <w:rPr>
                <w:color w:val="auto"/>
                <w:highlight w:val="none"/>
              </w:rPr>
            </w:pPr>
            <w:r>
              <w:rPr>
                <w:color w:val="auto"/>
                <w:spacing w:val="-2"/>
                <w:highlight w:val="none"/>
              </w:rPr>
              <w:t>A10030705</w:t>
            </w:r>
            <w:r>
              <w:rPr>
                <w:color w:val="auto"/>
                <w:spacing w:val="-17"/>
                <w:highlight w:val="none"/>
              </w:rPr>
              <w:t xml:space="preserve"> </w:t>
            </w:r>
            <w:r>
              <w:rPr>
                <w:color w:val="auto"/>
                <w:spacing w:val="-2"/>
                <w:highlight w:val="none"/>
              </w:rPr>
              <w:t>陶质砖</w:t>
            </w:r>
          </w:p>
        </w:tc>
        <w:tc>
          <w:tcPr>
            <w:tcW w:w="2248" w:type="dxa"/>
            <w:noWrap w:val="0"/>
            <w:vAlign w:val="top"/>
          </w:tcPr>
          <w:p w14:paraId="1D6C992A">
            <w:pPr>
              <w:rPr>
                <w:rFonts w:ascii="Arial"/>
                <w:color w:val="auto"/>
                <w:sz w:val="21"/>
                <w:highlight w:val="none"/>
              </w:rPr>
            </w:pPr>
          </w:p>
        </w:tc>
        <w:tc>
          <w:tcPr>
            <w:tcW w:w="3543" w:type="dxa"/>
            <w:noWrap w:val="0"/>
            <w:vAlign w:val="top"/>
          </w:tcPr>
          <w:p w14:paraId="2DF939CE">
            <w:pPr>
              <w:pStyle w:val="382"/>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47307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noWrap w:val="0"/>
            <w:vAlign w:val="top"/>
          </w:tcPr>
          <w:p w14:paraId="691E89AD">
            <w:pPr>
              <w:rPr>
                <w:rFonts w:ascii="Arial"/>
                <w:color w:val="auto"/>
                <w:sz w:val="21"/>
                <w:highlight w:val="none"/>
              </w:rPr>
            </w:pPr>
          </w:p>
        </w:tc>
        <w:tc>
          <w:tcPr>
            <w:tcW w:w="1542" w:type="dxa"/>
            <w:vMerge w:val="continue"/>
            <w:tcBorders>
              <w:top w:val="nil"/>
            </w:tcBorders>
            <w:noWrap w:val="0"/>
            <w:vAlign w:val="top"/>
          </w:tcPr>
          <w:p w14:paraId="0D002B56">
            <w:pPr>
              <w:rPr>
                <w:rFonts w:ascii="Arial"/>
                <w:color w:val="auto"/>
                <w:sz w:val="21"/>
                <w:highlight w:val="none"/>
              </w:rPr>
            </w:pPr>
          </w:p>
        </w:tc>
        <w:tc>
          <w:tcPr>
            <w:tcW w:w="2672" w:type="dxa"/>
            <w:noWrap w:val="0"/>
            <w:vAlign w:val="top"/>
          </w:tcPr>
          <w:p w14:paraId="17E06436">
            <w:pPr>
              <w:pStyle w:val="382"/>
              <w:spacing w:before="66" w:line="221" w:lineRule="auto"/>
              <w:ind w:left="103"/>
              <w:rPr>
                <w:color w:val="auto"/>
                <w:highlight w:val="none"/>
              </w:rPr>
            </w:pPr>
            <w:r>
              <w:rPr>
                <w:color w:val="auto"/>
                <w:highlight w:val="none"/>
              </w:rPr>
              <w:t>A10030799 其他建筑陶瓷制品</w:t>
            </w:r>
          </w:p>
        </w:tc>
        <w:tc>
          <w:tcPr>
            <w:tcW w:w="2248" w:type="dxa"/>
            <w:noWrap w:val="0"/>
            <w:vAlign w:val="top"/>
          </w:tcPr>
          <w:p w14:paraId="308BF2A1">
            <w:pPr>
              <w:rPr>
                <w:rFonts w:ascii="Arial"/>
                <w:color w:val="auto"/>
                <w:sz w:val="21"/>
                <w:highlight w:val="none"/>
              </w:rPr>
            </w:pPr>
          </w:p>
        </w:tc>
        <w:tc>
          <w:tcPr>
            <w:tcW w:w="3543" w:type="dxa"/>
            <w:noWrap w:val="0"/>
            <w:vAlign w:val="top"/>
          </w:tcPr>
          <w:p w14:paraId="33BA4194">
            <w:pPr>
              <w:pStyle w:val="382"/>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65534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noWrap w:val="0"/>
            <w:vAlign w:val="top"/>
          </w:tcPr>
          <w:p w14:paraId="3838A37E">
            <w:pPr>
              <w:pStyle w:val="382"/>
              <w:spacing w:before="66"/>
              <w:ind w:left="118"/>
              <w:rPr>
                <w:color w:val="auto"/>
                <w:highlight w:val="none"/>
              </w:rPr>
            </w:pPr>
            <w:r>
              <w:rPr>
                <w:color w:val="auto"/>
                <w:spacing w:val="-5"/>
                <w:highlight w:val="none"/>
              </w:rPr>
              <w:t>39</w:t>
            </w:r>
          </w:p>
        </w:tc>
        <w:tc>
          <w:tcPr>
            <w:tcW w:w="1542" w:type="dxa"/>
            <w:vMerge w:val="restart"/>
            <w:tcBorders>
              <w:bottom w:val="nil"/>
            </w:tcBorders>
            <w:noWrap w:val="0"/>
            <w:vAlign w:val="top"/>
          </w:tcPr>
          <w:p w14:paraId="39C262A7">
            <w:pPr>
              <w:pStyle w:val="382"/>
              <w:spacing w:before="65" w:line="322" w:lineRule="auto"/>
              <w:ind w:left="109" w:right="108" w:hanging="7"/>
              <w:rPr>
                <w:color w:val="auto"/>
                <w:highlight w:val="none"/>
              </w:rPr>
            </w:pPr>
            <w:r>
              <w:rPr>
                <w:color w:val="auto"/>
                <w:spacing w:val="-1"/>
                <w:highlight w:val="none"/>
              </w:rPr>
              <w:t>A100309</w:t>
            </w:r>
            <w:r>
              <w:rPr>
                <w:color w:val="auto"/>
                <w:spacing w:val="34"/>
                <w:highlight w:val="none"/>
              </w:rPr>
              <w:t xml:space="preserve"> </w:t>
            </w:r>
            <w:r>
              <w:rPr>
                <w:color w:val="auto"/>
                <w:spacing w:val="-1"/>
                <w:highlight w:val="none"/>
              </w:rPr>
              <w:t>建筑</w:t>
            </w:r>
            <w:r>
              <w:rPr>
                <w:color w:val="auto"/>
                <w:spacing w:val="-51"/>
                <w:highlight w:val="none"/>
              </w:rPr>
              <w:t xml:space="preserve"> </w:t>
            </w:r>
            <w:r>
              <w:rPr>
                <w:color w:val="auto"/>
                <w:spacing w:val="-1"/>
                <w:highlight w:val="none"/>
              </w:rPr>
              <w:t>防</w:t>
            </w:r>
            <w:r>
              <w:rPr>
                <w:color w:val="auto"/>
                <w:highlight w:val="none"/>
              </w:rPr>
              <w:t xml:space="preserve"> </w:t>
            </w:r>
            <w:r>
              <w:rPr>
                <w:color w:val="auto"/>
                <w:spacing w:val="-2"/>
                <w:highlight w:val="none"/>
              </w:rPr>
              <w:t>水卷材及制品</w:t>
            </w:r>
          </w:p>
        </w:tc>
        <w:tc>
          <w:tcPr>
            <w:tcW w:w="2672" w:type="dxa"/>
            <w:noWrap w:val="0"/>
            <w:vAlign w:val="top"/>
          </w:tcPr>
          <w:p w14:paraId="5B80B7C6">
            <w:pPr>
              <w:pStyle w:val="382"/>
              <w:spacing w:before="66" w:line="283" w:lineRule="auto"/>
              <w:ind w:left="110" w:right="107" w:hanging="7"/>
              <w:rPr>
                <w:color w:val="auto"/>
                <w:highlight w:val="none"/>
              </w:rPr>
            </w:pPr>
            <w:r>
              <w:rPr>
                <w:color w:val="auto"/>
                <w:spacing w:val="-1"/>
                <w:highlight w:val="none"/>
              </w:rPr>
              <w:t>A10030901</w:t>
            </w:r>
            <w:r>
              <w:rPr>
                <w:color w:val="auto"/>
                <w:spacing w:val="-47"/>
                <w:highlight w:val="none"/>
              </w:rPr>
              <w:t xml:space="preserve"> </w:t>
            </w:r>
            <w:r>
              <w:rPr>
                <w:color w:val="auto"/>
                <w:spacing w:val="-1"/>
                <w:highlight w:val="none"/>
              </w:rPr>
              <w:t>沥青和改性沥青防水</w:t>
            </w:r>
            <w:r>
              <w:rPr>
                <w:color w:val="auto"/>
                <w:highlight w:val="none"/>
              </w:rPr>
              <w:t xml:space="preserve"> </w:t>
            </w:r>
            <w:r>
              <w:rPr>
                <w:color w:val="auto"/>
                <w:spacing w:val="-3"/>
                <w:highlight w:val="none"/>
              </w:rPr>
              <w:t>卷材</w:t>
            </w:r>
          </w:p>
        </w:tc>
        <w:tc>
          <w:tcPr>
            <w:tcW w:w="2248" w:type="dxa"/>
            <w:noWrap w:val="0"/>
            <w:vAlign w:val="top"/>
          </w:tcPr>
          <w:p w14:paraId="4865CE52">
            <w:pPr>
              <w:rPr>
                <w:rFonts w:ascii="Arial"/>
                <w:color w:val="auto"/>
                <w:sz w:val="21"/>
                <w:highlight w:val="none"/>
              </w:rPr>
            </w:pPr>
          </w:p>
        </w:tc>
        <w:tc>
          <w:tcPr>
            <w:tcW w:w="3543" w:type="dxa"/>
            <w:noWrap w:val="0"/>
            <w:vAlign w:val="top"/>
          </w:tcPr>
          <w:p w14:paraId="4EC84C7F">
            <w:pPr>
              <w:pStyle w:val="382"/>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509D8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noWrap w:val="0"/>
            <w:vAlign w:val="top"/>
          </w:tcPr>
          <w:p w14:paraId="354EF4DA">
            <w:pPr>
              <w:rPr>
                <w:rFonts w:ascii="Arial"/>
                <w:color w:val="auto"/>
                <w:sz w:val="21"/>
                <w:highlight w:val="none"/>
              </w:rPr>
            </w:pPr>
          </w:p>
        </w:tc>
        <w:tc>
          <w:tcPr>
            <w:tcW w:w="1542" w:type="dxa"/>
            <w:vMerge w:val="continue"/>
            <w:tcBorders>
              <w:top w:val="nil"/>
              <w:bottom w:val="nil"/>
            </w:tcBorders>
            <w:noWrap w:val="0"/>
            <w:vAlign w:val="top"/>
          </w:tcPr>
          <w:p w14:paraId="32F683F3">
            <w:pPr>
              <w:rPr>
                <w:rFonts w:ascii="Arial"/>
                <w:color w:val="auto"/>
                <w:sz w:val="21"/>
                <w:highlight w:val="none"/>
              </w:rPr>
            </w:pPr>
          </w:p>
        </w:tc>
        <w:tc>
          <w:tcPr>
            <w:tcW w:w="2672" w:type="dxa"/>
            <w:noWrap w:val="0"/>
            <w:vAlign w:val="top"/>
          </w:tcPr>
          <w:p w14:paraId="62F64677">
            <w:pPr>
              <w:pStyle w:val="382"/>
              <w:spacing w:before="67" w:line="219" w:lineRule="auto"/>
              <w:ind w:left="103"/>
              <w:rPr>
                <w:color w:val="auto"/>
                <w:highlight w:val="none"/>
              </w:rPr>
            </w:pPr>
            <w:r>
              <w:rPr>
                <w:color w:val="auto"/>
                <w:spacing w:val="-2"/>
                <w:highlight w:val="none"/>
              </w:rPr>
              <w:t>A10030903</w:t>
            </w:r>
            <w:r>
              <w:rPr>
                <w:color w:val="auto"/>
                <w:spacing w:val="36"/>
                <w:highlight w:val="none"/>
              </w:rPr>
              <w:t xml:space="preserve"> </w:t>
            </w:r>
            <w:r>
              <w:rPr>
                <w:color w:val="auto"/>
                <w:spacing w:val="-2"/>
                <w:highlight w:val="none"/>
              </w:rPr>
              <w:t>自粘防水卷材</w:t>
            </w:r>
          </w:p>
        </w:tc>
        <w:tc>
          <w:tcPr>
            <w:tcW w:w="2248" w:type="dxa"/>
            <w:noWrap w:val="0"/>
            <w:vAlign w:val="top"/>
          </w:tcPr>
          <w:p w14:paraId="4FDB2E86">
            <w:pPr>
              <w:rPr>
                <w:rFonts w:ascii="Arial"/>
                <w:color w:val="auto"/>
                <w:sz w:val="21"/>
                <w:highlight w:val="none"/>
              </w:rPr>
            </w:pPr>
          </w:p>
        </w:tc>
        <w:tc>
          <w:tcPr>
            <w:tcW w:w="3543" w:type="dxa"/>
            <w:noWrap w:val="0"/>
            <w:vAlign w:val="top"/>
          </w:tcPr>
          <w:p w14:paraId="49862663">
            <w:pPr>
              <w:pStyle w:val="382"/>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25EFE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noWrap w:val="0"/>
            <w:vAlign w:val="top"/>
          </w:tcPr>
          <w:p w14:paraId="7625F8EF">
            <w:pPr>
              <w:rPr>
                <w:rFonts w:ascii="Arial"/>
                <w:color w:val="auto"/>
                <w:sz w:val="21"/>
                <w:highlight w:val="none"/>
              </w:rPr>
            </w:pPr>
          </w:p>
        </w:tc>
        <w:tc>
          <w:tcPr>
            <w:tcW w:w="1542" w:type="dxa"/>
            <w:vMerge w:val="continue"/>
            <w:tcBorders>
              <w:top w:val="nil"/>
            </w:tcBorders>
            <w:noWrap w:val="0"/>
            <w:vAlign w:val="top"/>
          </w:tcPr>
          <w:p w14:paraId="046BB11F">
            <w:pPr>
              <w:rPr>
                <w:rFonts w:ascii="Arial"/>
                <w:color w:val="auto"/>
                <w:sz w:val="21"/>
                <w:highlight w:val="none"/>
              </w:rPr>
            </w:pPr>
          </w:p>
        </w:tc>
        <w:tc>
          <w:tcPr>
            <w:tcW w:w="2672" w:type="dxa"/>
            <w:noWrap w:val="0"/>
            <w:vAlign w:val="top"/>
          </w:tcPr>
          <w:p w14:paraId="3B6980B7">
            <w:pPr>
              <w:pStyle w:val="382"/>
              <w:spacing w:before="66" w:line="283" w:lineRule="auto"/>
              <w:ind w:left="108" w:right="102" w:hanging="5"/>
              <w:rPr>
                <w:color w:val="auto"/>
                <w:highlight w:val="none"/>
              </w:rPr>
            </w:pPr>
            <w:r>
              <w:rPr>
                <w:color w:val="auto"/>
                <w:spacing w:val="-2"/>
                <w:highlight w:val="none"/>
              </w:rPr>
              <w:t>A10030906</w:t>
            </w:r>
            <w:r>
              <w:rPr>
                <w:color w:val="auto"/>
                <w:spacing w:val="-24"/>
                <w:highlight w:val="none"/>
              </w:rPr>
              <w:t xml:space="preserve"> </w:t>
            </w:r>
            <w:r>
              <w:rPr>
                <w:color w:val="auto"/>
                <w:spacing w:val="-2"/>
                <w:highlight w:val="none"/>
              </w:rPr>
              <w:t>高分子防水卷（片）</w:t>
            </w:r>
            <w:r>
              <w:rPr>
                <w:color w:val="auto"/>
                <w:highlight w:val="none"/>
              </w:rPr>
              <w:t xml:space="preserve"> 材</w:t>
            </w:r>
          </w:p>
        </w:tc>
        <w:tc>
          <w:tcPr>
            <w:tcW w:w="2248" w:type="dxa"/>
            <w:noWrap w:val="0"/>
            <w:vAlign w:val="top"/>
          </w:tcPr>
          <w:p w14:paraId="2E16B732">
            <w:pPr>
              <w:rPr>
                <w:rFonts w:ascii="Arial"/>
                <w:color w:val="auto"/>
                <w:sz w:val="21"/>
                <w:highlight w:val="none"/>
              </w:rPr>
            </w:pPr>
          </w:p>
        </w:tc>
        <w:tc>
          <w:tcPr>
            <w:tcW w:w="3543" w:type="dxa"/>
            <w:noWrap w:val="0"/>
            <w:vAlign w:val="top"/>
          </w:tcPr>
          <w:p w14:paraId="51CF9E25">
            <w:pPr>
              <w:pStyle w:val="382"/>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5431D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noWrap w:val="0"/>
            <w:vAlign w:val="top"/>
          </w:tcPr>
          <w:p w14:paraId="09EC8D20">
            <w:pPr>
              <w:pStyle w:val="382"/>
              <w:spacing w:before="67"/>
              <w:ind w:left="114"/>
              <w:rPr>
                <w:color w:val="auto"/>
                <w:highlight w:val="none"/>
              </w:rPr>
            </w:pPr>
            <w:r>
              <w:rPr>
                <w:color w:val="auto"/>
                <w:spacing w:val="-3"/>
                <w:highlight w:val="none"/>
              </w:rPr>
              <w:t>40</w:t>
            </w:r>
          </w:p>
        </w:tc>
        <w:tc>
          <w:tcPr>
            <w:tcW w:w="1542" w:type="dxa"/>
            <w:vMerge w:val="restart"/>
            <w:tcBorders>
              <w:bottom w:val="nil"/>
            </w:tcBorders>
            <w:noWrap w:val="0"/>
            <w:vAlign w:val="top"/>
          </w:tcPr>
          <w:p w14:paraId="66BE39AE">
            <w:pPr>
              <w:pStyle w:val="382"/>
              <w:spacing w:before="66" w:line="322" w:lineRule="auto"/>
              <w:ind w:left="106" w:right="106" w:hanging="4"/>
              <w:jc w:val="both"/>
              <w:rPr>
                <w:color w:val="auto"/>
                <w:highlight w:val="none"/>
              </w:rPr>
            </w:pPr>
            <w:r>
              <w:rPr>
                <w:color w:val="auto"/>
                <w:spacing w:val="-8"/>
                <w:highlight w:val="none"/>
              </w:rPr>
              <w:t>A100310</w:t>
            </w:r>
            <w:r>
              <w:rPr>
                <w:color w:val="auto"/>
                <w:spacing w:val="-25"/>
                <w:highlight w:val="none"/>
              </w:rPr>
              <w:t xml:space="preserve"> </w:t>
            </w:r>
            <w:r>
              <w:rPr>
                <w:color w:val="auto"/>
                <w:spacing w:val="-8"/>
                <w:highlight w:val="none"/>
              </w:rPr>
              <w:t>隔热、隔</w:t>
            </w:r>
            <w:r>
              <w:rPr>
                <w:color w:val="auto"/>
                <w:highlight w:val="none"/>
              </w:rPr>
              <w:t xml:space="preserve"> </w:t>
            </w:r>
            <w:r>
              <w:rPr>
                <w:color w:val="auto"/>
                <w:spacing w:val="9"/>
                <w:highlight w:val="none"/>
              </w:rPr>
              <w:t>音人造矿物材料</w:t>
            </w:r>
            <w:r>
              <w:rPr>
                <w:color w:val="auto"/>
                <w:highlight w:val="none"/>
              </w:rPr>
              <w:t xml:space="preserve"> </w:t>
            </w:r>
            <w:r>
              <w:rPr>
                <w:color w:val="auto"/>
                <w:spacing w:val="-2"/>
                <w:highlight w:val="none"/>
              </w:rPr>
              <w:t>及其制品</w:t>
            </w:r>
          </w:p>
        </w:tc>
        <w:tc>
          <w:tcPr>
            <w:tcW w:w="2672" w:type="dxa"/>
            <w:noWrap w:val="0"/>
            <w:vAlign w:val="top"/>
          </w:tcPr>
          <w:p w14:paraId="666EB6EF">
            <w:pPr>
              <w:pStyle w:val="382"/>
              <w:spacing w:before="68" w:line="282" w:lineRule="auto"/>
              <w:ind w:left="108" w:right="107" w:hanging="5"/>
              <w:rPr>
                <w:color w:val="auto"/>
                <w:highlight w:val="none"/>
              </w:rPr>
            </w:pPr>
            <w:r>
              <w:rPr>
                <w:color w:val="auto"/>
                <w:spacing w:val="6"/>
                <w:highlight w:val="none"/>
              </w:rPr>
              <w:t>A10031001 矿物绝热和吸声材</w:t>
            </w:r>
            <w:r>
              <w:rPr>
                <w:color w:val="auto"/>
                <w:spacing w:val="7"/>
                <w:highlight w:val="none"/>
              </w:rPr>
              <w:t xml:space="preserve"> </w:t>
            </w:r>
            <w:r>
              <w:rPr>
                <w:color w:val="auto"/>
                <w:highlight w:val="none"/>
              </w:rPr>
              <w:t>料</w:t>
            </w:r>
          </w:p>
        </w:tc>
        <w:tc>
          <w:tcPr>
            <w:tcW w:w="2248" w:type="dxa"/>
            <w:noWrap w:val="0"/>
            <w:vAlign w:val="top"/>
          </w:tcPr>
          <w:p w14:paraId="5D4DA17C">
            <w:pPr>
              <w:rPr>
                <w:rFonts w:ascii="Arial"/>
                <w:color w:val="auto"/>
                <w:sz w:val="21"/>
                <w:highlight w:val="none"/>
              </w:rPr>
            </w:pPr>
          </w:p>
        </w:tc>
        <w:tc>
          <w:tcPr>
            <w:tcW w:w="3543" w:type="dxa"/>
            <w:noWrap w:val="0"/>
            <w:vAlign w:val="top"/>
          </w:tcPr>
          <w:p w14:paraId="4625CAED">
            <w:pPr>
              <w:pStyle w:val="382"/>
              <w:spacing w:before="67"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6B049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noWrap w:val="0"/>
            <w:vAlign w:val="top"/>
          </w:tcPr>
          <w:p w14:paraId="5374AB2A">
            <w:pPr>
              <w:rPr>
                <w:rFonts w:ascii="Arial"/>
                <w:color w:val="auto"/>
                <w:sz w:val="21"/>
                <w:highlight w:val="none"/>
              </w:rPr>
            </w:pPr>
          </w:p>
        </w:tc>
        <w:tc>
          <w:tcPr>
            <w:tcW w:w="1542" w:type="dxa"/>
            <w:vMerge w:val="continue"/>
            <w:tcBorders>
              <w:top w:val="nil"/>
            </w:tcBorders>
            <w:noWrap w:val="0"/>
            <w:vAlign w:val="top"/>
          </w:tcPr>
          <w:p w14:paraId="340CE395">
            <w:pPr>
              <w:rPr>
                <w:rFonts w:ascii="Arial"/>
                <w:color w:val="auto"/>
                <w:sz w:val="21"/>
                <w:highlight w:val="none"/>
              </w:rPr>
            </w:pPr>
          </w:p>
        </w:tc>
        <w:tc>
          <w:tcPr>
            <w:tcW w:w="2672" w:type="dxa"/>
            <w:noWrap w:val="0"/>
            <w:vAlign w:val="top"/>
          </w:tcPr>
          <w:p w14:paraId="1BD339B4">
            <w:pPr>
              <w:pStyle w:val="382"/>
              <w:spacing w:before="68" w:line="219" w:lineRule="auto"/>
              <w:ind w:left="103"/>
              <w:rPr>
                <w:color w:val="auto"/>
                <w:highlight w:val="none"/>
              </w:rPr>
            </w:pPr>
            <w:r>
              <w:rPr>
                <w:color w:val="auto"/>
                <w:spacing w:val="-1"/>
                <w:highlight w:val="none"/>
              </w:rPr>
              <w:t>A10031002</w:t>
            </w:r>
            <w:r>
              <w:rPr>
                <w:color w:val="auto"/>
                <w:spacing w:val="-30"/>
                <w:highlight w:val="none"/>
              </w:rPr>
              <w:t xml:space="preserve"> </w:t>
            </w:r>
            <w:r>
              <w:rPr>
                <w:color w:val="auto"/>
                <w:spacing w:val="-1"/>
                <w:highlight w:val="none"/>
              </w:rPr>
              <w:t>矿物材料制品</w:t>
            </w:r>
          </w:p>
        </w:tc>
        <w:tc>
          <w:tcPr>
            <w:tcW w:w="2248" w:type="dxa"/>
            <w:noWrap w:val="0"/>
            <w:vAlign w:val="top"/>
          </w:tcPr>
          <w:p w14:paraId="6DB1E610">
            <w:pPr>
              <w:rPr>
                <w:rFonts w:ascii="Arial"/>
                <w:color w:val="auto"/>
                <w:sz w:val="21"/>
                <w:highlight w:val="none"/>
              </w:rPr>
            </w:pPr>
          </w:p>
        </w:tc>
        <w:tc>
          <w:tcPr>
            <w:tcW w:w="3543" w:type="dxa"/>
            <w:noWrap w:val="0"/>
            <w:vAlign w:val="top"/>
          </w:tcPr>
          <w:p w14:paraId="5C97BBD0">
            <w:pPr>
              <w:pStyle w:val="382"/>
              <w:spacing w:before="67"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6EF4A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Borders>
              <w:bottom w:val="single" w:color="auto" w:sz="4" w:space="0"/>
            </w:tcBorders>
            <w:noWrap w:val="0"/>
            <w:vAlign w:val="top"/>
          </w:tcPr>
          <w:p w14:paraId="7F3D7CA1">
            <w:pPr>
              <w:pStyle w:val="382"/>
              <w:spacing w:before="67" w:line="242" w:lineRule="auto"/>
              <w:ind w:left="114"/>
              <w:rPr>
                <w:color w:val="auto"/>
                <w:highlight w:val="none"/>
              </w:rPr>
            </w:pPr>
            <w:r>
              <w:rPr>
                <w:color w:val="auto"/>
                <w:spacing w:val="-3"/>
                <w:highlight w:val="none"/>
              </w:rPr>
              <w:t>41</w:t>
            </w:r>
          </w:p>
        </w:tc>
        <w:tc>
          <w:tcPr>
            <w:tcW w:w="1542" w:type="dxa"/>
            <w:tcBorders>
              <w:bottom w:val="single" w:color="auto" w:sz="4" w:space="0"/>
            </w:tcBorders>
            <w:noWrap w:val="0"/>
            <w:vAlign w:val="top"/>
          </w:tcPr>
          <w:p w14:paraId="1CBBA4C5">
            <w:pPr>
              <w:pStyle w:val="382"/>
              <w:spacing w:before="68" w:line="282" w:lineRule="auto"/>
              <w:ind w:left="109" w:right="108" w:hanging="7"/>
              <w:rPr>
                <w:color w:val="auto"/>
                <w:highlight w:val="none"/>
              </w:rPr>
            </w:pPr>
            <w:r>
              <w:rPr>
                <w:color w:val="auto"/>
                <w:spacing w:val="3"/>
                <w:highlight w:val="none"/>
              </w:rPr>
              <w:t>A100601</w:t>
            </w:r>
            <w:r>
              <w:rPr>
                <w:color w:val="auto"/>
                <w:spacing w:val="34"/>
                <w:highlight w:val="none"/>
              </w:rPr>
              <w:t xml:space="preserve"> </w:t>
            </w:r>
            <w:r>
              <w:rPr>
                <w:color w:val="auto"/>
                <w:spacing w:val="3"/>
                <w:highlight w:val="none"/>
              </w:rPr>
              <w:t>功能性</w:t>
            </w:r>
            <w:r>
              <w:rPr>
                <w:color w:val="auto"/>
                <w:highlight w:val="none"/>
              </w:rPr>
              <w:t xml:space="preserve"> </w:t>
            </w:r>
            <w:r>
              <w:rPr>
                <w:color w:val="auto"/>
                <w:spacing w:val="-2"/>
                <w:highlight w:val="none"/>
              </w:rPr>
              <w:t>建筑涂料</w:t>
            </w:r>
          </w:p>
        </w:tc>
        <w:tc>
          <w:tcPr>
            <w:tcW w:w="2672" w:type="dxa"/>
            <w:tcBorders>
              <w:bottom w:val="single" w:color="auto" w:sz="4" w:space="0"/>
            </w:tcBorders>
            <w:noWrap w:val="0"/>
            <w:vAlign w:val="top"/>
          </w:tcPr>
          <w:p w14:paraId="748CE223">
            <w:pPr>
              <w:rPr>
                <w:rFonts w:ascii="Arial"/>
                <w:color w:val="auto"/>
                <w:sz w:val="21"/>
                <w:highlight w:val="none"/>
              </w:rPr>
            </w:pPr>
          </w:p>
        </w:tc>
        <w:tc>
          <w:tcPr>
            <w:tcW w:w="2248" w:type="dxa"/>
            <w:tcBorders>
              <w:bottom w:val="single" w:color="auto" w:sz="4" w:space="0"/>
            </w:tcBorders>
            <w:noWrap w:val="0"/>
            <w:vAlign w:val="top"/>
          </w:tcPr>
          <w:p w14:paraId="6617386E">
            <w:pPr>
              <w:rPr>
                <w:rFonts w:ascii="Arial"/>
                <w:color w:val="auto"/>
                <w:sz w:val="21"/>
                <w:highlight w:val="none"/>
              </w:rPr>
            </w:pPr>
          </w:p>
        </w:tc>
        <w:tc>
          <w:tcPr>
            <w:tcW w:w="3543" w:type="dxa"/>
            <w:noWrap w:val="0"/>
            <w:vAlign w:val="top"/>
          </w:tcPr>
          <w:p w14:paraId="5C2B98D7">
            <w:pPr>
              <w:pStyle w:val="382"/>
              <w:spacing w:before="67"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776A0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09F4E544">
            <w:pPr>
              <w:pStyle w:val="382"/>
              <w:spacing w:before="68" w:line="242" w:lineRule="auto"/>
              <w:ind w:left="114"/>
              <w:rPr>
                <w:color w:val="auto"/>
                <w:highlight w:val="none"/>
              </w:rPr>
            </w:pPr>
            <w:r>
              <w:rPr>
                <w:color w:val="auto"/>
                <w:spacing w:val="-3"/>
                <w:highlight w:val="none"/>
              </w:rPr>
              <w:t>42</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5436BEA0">
            <w:pPr>
              <w:pStyle w:val="382"/>
              <w:spacing w:before="69" w:line="284" w:lineRule="auto"/>
              <w:ind w:left="109" w:right="106" w:firstLine="84"/>
              <w:rPr>
                <w:color w:val="auto"/>
                <w:highlight w:val="none"/>
              </w:rPr>
            </w:pPr>
            <w:r>
              <w:rPr>
                <w:color w:val="auto"/>
                <w:spacing w:val="-1"/>
                <w:highlight w:val="none"/>
              </w:rPr>
              <w:t>A100399</w:t>
            </w:r>
            <w:r>
              <w:rPr>
                <w:color w:val="auto"/>
                <w:spacing w:val="-15"/>
                <w:highlight w:val="none"/>
              </w:rPr>
              <w:t xml:space="preserve"> </w:t>
            </w:r>
            <w:r>
              <w:rPr>
                <w:color w:val="auto"/>
                <w:spacing w:val="-1"/>
                <w:highlight w:val="none"/>
              </w:rPr>
              <w:t>其他非</w:t>
            </w:r>
            <w:r>
              <w:rPr>
                <w:color w:val="auto"/>
                <w:spacing w:val="-2"/>
                <w:highlight w:val="none"/>
              </w:rPr>
              <w:t>金属矿物制品</w:t>
            </w:r>
          </w:p>
        </w:tc>
        <w:tc>
          <w:tcPr>
            <w:tcW w:w="2672" w:type="dxa"/>
            <w:tcBorders>
              <w:top w:val="single" w:color="auto" w:sz="4" w:space="0"/>
              <w:left w:val="single" w:color="auto" w:sz="4" w:space="0"/>
              <w:bottom w:val="single" w:color="auto" w:sz="4" w:space="0"/>
              <w:right w:val="single" w:color="auto" w:sz="4" w:space="0"/>
            </w:tcBorders>
            <w:noWrap w:val="0"/>
            <w:vAlign w:val="top"/>
          </w:tcPr>
          <w:p w14:paraId="5669DD1E">
            <w:pPr>
              <w:pStyle w:val="382"/>
              <w:spacing w:before="68" w:line="219" w:lineRule="auto"/>
              <w:ind w:left="103"/>
              <w:rPr>
                <w:color w:val="auto"/>
                <w:highlight w:val="none"/>
              </w:rPr>
            </w:pPr>
            <w:r>
              <w:rPr>
                <w:color w:val="auto"/>
                <w:spacing w:val="-1"/>
                <w:highlight w:val="none"/>
              </w:rPr>
              <w:t>A10039901</w:t>
            </w:r>
            <w:r>
              <w:rPr>
                <w:color w:val="auto"/>
                <w:spacing w:val="-45"/>
                <w:highlight w:val="none"/>
              </w:rPr>
              <w:t xml:space="preserve"> </w:t>
            </w:r>
            <w:r>
              <w:rPr>
                <w:color w:val="auto"/>
                <w:spacing w:val="-1"/>
                <w:highlight w:val="none"/>
              </w:rPr>
              <w:t>其他非金属建筑材料</w:t>
            </w:r>
          </w:p>
        </w:tc>
        <w:tc>
          <w:tcPr>
            <w:tcW w:w="2248" w:type="dxa"/>
            <w:tcBorders>
              <w:top w:val="single" w:color="auto" w:sz="4" w:space="0"/>
              <w:left w:val="single" w:color="auto" w:sz="4" w:space="0"/>
              <w:bottom w:val="single" w:color="auto" w:sz="4" w:space="0"/>
              <w:right w:val="single" w:color="auto" w:sz="4" w:space="0"/>
            </w:tcBorders>
            <w:noWrap w:val="0"/>
            <w:vAlign w:val="top"/>
          </w:tcPr>
          <w:p w14:paraId="5843B736">
            <w:pPr>
              <w:rPr>
                <w:rFonts w:ascii="Arial"/>
                <w:color w:val="auto"/>
                <w:sz w:val="21"/>
                <w:highlight w:val="none"/>
              </w:rPr>
            </w:pPr>
          </w:p>
        </w:tc>
        <w:tc>
          <w:tcPr>
            <w:tcW w:w="3543" w:type="dxa"/>
            <w:tcBorders>
              <w:left w:val="single" w:color="auto" w:sz="4" w:space="0"/>
            </w:tcBorders>
            <w:noWrap w:val="0"/>
            <w:vAlign w:val="top"/>
          </w:tcPr>
          <w:p w14:paraId="17EC9E0A">
            <w:pPr>
              <w:pStyle w:val="382"/>
              <w:spacing w:before="68" w:line="219" w:lineRule="auto"/>
              <w:ind w:left="109"/>
              <w:rPr>
                <w:color w:val="auto"/>
                <w:highlight w:val="none"/>
              </w:rPr>
            </w:pPr>
            <w:r>
              <w:rPr>
                <w:color w:val="auto"/>
                <w:spacing w:val="-2"/>
                <w:highlight w:val="none"/>
              </w:rPr>
              <w:t>HJ456</w:t>
            </w:r>
            <w:r>
              <w:rPr>
                <w:color w:val="auto"/>
                <w:spacing w:val="-23"/>
                <w:highlight w:val="none"/>
              </w:rPr>
              <w:t xml:space="preserve"> </w:t>
            </w:r>
            <w:r>
              <w:rPr>
                <w:color w:val="auto"/>
                <w:spacing w:val="-2"/>
                <w:highlight w:val="none"/>
              </w:rPr>
              <w:t>刚性防水材料</w:t>
            </w:r>
          </w:p>
        </w:tc>
      </w:tr>
      <w:tr w14:paraId="4DDF7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4306BAE9">
            <w:pPr>
              <w:pStyle w:val="382"/>
              <w:spacing w:before="68"/>
              <w:ind w:left="114"/>
              <w:rPr>
                <w:color w:val="auto"/>
                <w:highlight w:val="none"/>
              </w:rPr>
            </w:pPr>
            <w:r>
              <w:rPr>
                <w:color w:val="auto"/>
                <w:spacing w:val="-3"/>
                <w:highlight w:val="none"/>
              </w:rPr>
              <w:t>43</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3D3FBED8">
            <w:pPr>
              <w:pStyle w:val="382"/>
              <w:spacing w:before="67" w:line="323" w:lineRule="auto"/>
              <w:ind w:left="107" w:right="108" w:hanging="5"/>
              <w:rPr>
                <w:color w:val="auto"/>
                <w:highlight w:val="none"/>
              </w:rPr>
            </w:pPr>
            <w:r>
              <w:rPr>
                <w:color w:val="auto"/>
                <w:spacing w:val="3"/>
                <w:highlight w:val="none"/>
              </w:rPr>
              <w:t>A100602</w:t>
            </w:r>
            <w:r>
              <w:rPr>
                <w:color w:val="auto"/>
                <w:spacing w:val="34"/>
                <w:highlight w:val="none"/>
              </w:rPr>
              <w:t xml:space="preserve"> </w:t>
            </w:r>
            <w:r>
              <w:rPr>
                <w:color w:val="auto"/>
                <w:spacing w:val="3"/>
                <w:highlight w:val="none"/>
              </w:rPr>
              <w:t>墙面涂</w:t>
            </w:r>
            <w:r>
              <w:rPr>
                <w:color w:val="auto"/>
                <w:highlight w:val="none"/>
              </w:rPr>
              <w:t xml:space="preserve"> 料</w:t>
            </w:r>
          </w:p>
        </w:tc>
        <w:tc>
          <w:tcPr>
            <w:tcW w:w="2672" w:type="dxa"/>
            <w:tcBorders>
              <w:top w:val="single" w:color="auto" w:sz="4" w:space="0"/>
              <w:left w:val="single" w:color="auto" w:sz="4" w:space="0"/>
              <w:bottom w:val="single" w:color="auto" w:sz="4" w:space="0"/>
              <w:right w:val="single" w:color="auto" w:sz="4" w:space="0"/>
            </w:tcBorders>
            <w:noWrap w:val="0"/>
            <w:vAlign w:val="top"/>
          </w:tcPr>
          <w:p w14:paraId="681E3917">
            <w:pPr>
              <w:pStyle w:val="382"/>
              <w:spacing w:before="69" w:line="284" w:lineRule="auto"/>
              <w:ind w:left="108" w:right="107" w:hanging="5"/>
              <w:rPr>
                <w:color w:val="auto"/>
                <w:highlight w:val="none"/>
              </w:rPr>
            </w:pPr>
            <w:r>
              <w:rPr>
                <w:color w:val="auto"/>
                <w:spacing w:val="-1"/>
                <w:highlight w:val="none"/>
              </w:rPr>
              <w:t>A10060202</w:t>
            </w:r>
            <w:r>
              <w:rPr>
                <w:color w:val="auto"/>
                <w:spacing w:val="-47"/>
                <w:highlight w:val="none"/>
              </w:rPr>
              <w:t xml:space="preserve"> </w:t>
            </w:r>
            <w:r>
              <w:rPr>
                <w:color w:val="auto"/>
                <w:spacing w:val="-1"/>
                <w:highlight w:val="none"/>
              </w:rPr>
              <w:t>合成树脂乳液内墙涂</w:t>
            </w:r>
            <w:r>
              <w:rPr>
                <w:color w:val="auto"/>
                <w:highlight w:val="none"/>
              </w:rPr>
              <w:t xml:space="preserve"> 料</w:t>
            </w:r>
          </w:p>
        </w:tc>
        <w:tc>
          <w:tcPr>
            <w:tcW w:w="2248" w:type="dxa"/>
            <w:tcBorders>
              <w:top w:val="single" w:color="auto" w:sz="4" w:space="0"/>
              <w:left w:val="single" w:color="auto" w:sz="4" w:space="0"/>
              <w:bottom w:val="single" w:color="auto" w:sz="4" w:space="0"/>
              <w:right w:val="single" w:color="auto" w:sz="4" w:space="0"/>
            </w:tcBorders>
            <w:noWrap w:val="0"/>
            <w:vAlign w:val="top"/>
          </w:tcPr>
          <w:p w14:paraId="54A60B89">
            <w:pPr>
              <w:rPr>
                <w:rFonts w:ascii="Arial"/>
                <w:color w:val="auto"/>
                <w:sz w:val="21"/>
                <w:highlight w:val="none"/>
              </w:rPr>
            </w:pPr>
          </w:p>
        </w:tc>
        <w:tc>
          <w:tcPr>
            <w:tcW w:w="3543" w:type="dxa"/>
            <w:tcBorders>
              <w:left w:val="single" w:color="auto" w:sz="4" w:space="0"/>
            </w:tcBorders>
            <w:noWrap w:val="0"/>
            <w:vAlign w:val="top"/>
          </w:tcPr>
          <w:p w14:paraId="7C8BC474">
            <w:pPr>
              <w:pStyle w:val="382"/>
              <w:spacing w:before="67"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1703D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6B609DB4">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5B1A8F7D">
            <w:pPr>
              <w:rPr>
                <w:rFonts w:ascii="Arial"/>
                <w:color w:val="auto"/>
                <w:sz w:val="21"/>
                <w:highlight w:val="none"/>
              </w:rPr>
            </w:pPr>
          </w:p>
        </w:tc>
        <w:tc>
          <w:tcPr>
            <w:tcW w:w="2672" w:type="dxa"/>
            <w:tcBorders>
              <w:top w:val="single" w:color="auto" w:sz="4" w:space="0"/>
              <w:left w:val="single" w:color="auto" w:sz="4" w:space="0"/>
              <w:bottom w:val="single" w:color="auto" w:sz="4" w:space="0"/>
              <w:right w:val="single" w:color="auto" w:sz="4" w:space="0"/>
            </w:tcBorders>
            <w:noWrap w:val="0"/>
            <w:vAlign w:val="top"/>
          </w:tcPr>
          <w:p w14:paraId="50F4AF1C">
            <w:pPr>
              <w:pStyle w:val="382"/>
              <w:spacing w:before="64" w:line="284" w:lineRule="auto"/>
              <w:ind w:left="108" w:right="107" w:hanging="5"/>
              <w:rPr>
                <w:color w:val="auto"/>
                <w:highlight w:val="none"/>
              </w:rPr>
            </w:pPr>
            <w:r>
              <w:rPr>
                <w:color w:val="auto"/>
                <w:spacing w:val="-1"/>
                <w:highlight w:val="none"/>
              </w:rPr>
              <w:t>A10060203</w:t>
            </w:r>
            <w:r>
              <w:rPr>
                <w:color w:val="auto"/>
                <w:spacing w:val="-47"/>
                <w:highlight w:val="none"/>
              </w:rPr>
              <w:t xml:space="preserve"> </w:t>
            </w:r>
            <w:r>
              <w:rPr>
                <w:color w:val="auto"/>
                <w:spacing w:val="-1"/>
                <w:highlight w:val="none"/>
              </w:rPr>
              <w:t>合成树脂乳液外墙涂</w:t>
            </w:r>
            <w:r>
              <w:rPr>
                <w:color w:val="auto"/>
                <w:highlight w:val="none"/>
              </w:rPr>
              <w:t xml:space="preserve"> 料</w:t>
            </w:r>
          </w:p>
        </w:tc>
        <w:tc>
          <w:tcPr>
            <w:tcW w:w="2248" w:type="dxa"/>
            <w:tcBorders>
              <w:top w:val="single" w:color="auto" w:sz="4" w:space="0"/>
              <w:left w:val="single" w:color="auto" w:sz="4" w:space="0"/>
              <w:bottom w:val="single" w:color="auto" w:sz="4" w:space="0"/>
              <w:right w:val="single" w:color="auto" w:sz="4" w:space="0"/>
            </w:tcBorders>
            <w:noWrap w:val="0"/>
            <w:vAlign w:val="top"/>
          </w:tcPr>
          <w:p w14:paraId="6C8B976A">
            <w:pPr>
              <w:rPr>
                <w:rFonts w:ascii="Arial"/>
                <w:color w:val="auto"/>
                <w:sz w:val="21"/>
                <w:highlight w:val="none"/>
              </w:rPr>
            </w:pPr>
          </w:p>
        </w:tc>
        <w:tc>
          <w:tcPr>
            <w:tcW w:w="3543" w:type="dxa"/>
            <w:tcBorders>
              <w:left w:val="single" w:color="auto" w:sz="4" w:space="0"/>
            </w:tcBorders>
            <w:noWrap w:val="0"/>
            <w:vAlign w:val="top"/>
          </w:tcPr>
          <w:p w14:paraId="2AFFBD77">
            <w:pPr>
              <w:pStyle w:val="382"/>
              <w:spacing w:before="63"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27647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33B54783">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37064889">
            <w:pPr>
              <w:rPr>
                <w:rFonts w:ascii="Arial"/>
                <w:color w:val="auto"/>
                <w:sz w:val="21"/>
                <w:highlight w:val="none"/>
              </w:rPr>
            </w:pPr>
          </w:p>
        </w:tc>
        <w:tc>
          <w:tcPr>
            <w:tcW w:w="2672" w:type="dxa"/>
            <w:tcBorders>
              <w:top w:val="single" w:color="auto" w:sz="4" w:space="0"/>
              <w:left w:val="single" w:color="auto" w:sz="4" w:space="0"/>
              <w:bottom w:val="single" w:color="auto" w:sz="4" w:space="0"/>
              <w:right w:val="single" w:color="auto" w:sz="4" w:space="0"/>
            </w:tcBorders>
            <w:noWrap w:val="0"/>
            <w:vAlign w:val="top"/>
          </w:tcPr>
          <w:p w14:paraId="2C4095C3">
            <w:pPr>
              <w:pStyle w:val="382"/>
              <w:spacing w:before="64" w:line="221" w:lineRule="auto"/>
              <w:ind w:left="103"/>
              <w:rPr>
                <w:color w:val="auto"/>
                <w:highlight w:val="none"/>
              </w:rPr>
            </w:pPr>
            <w:r>
              <w:rPr>
                <w:color w:val="auto"/>
                <w:spacing w:val="-1"/>
                <w:highlight w:val="none"/>
              </w:rPr>
              <w:t>A10060299</w:t>
            </w:r>
            <w:r>
              <w:rPr>
                <w:color w:val="auto"/>
                <w:spacing w:val="-30"/>
                <w:highlight w:val="none"/>
              </w:rPr>
              <w:t xml:space="preserve"> </w:t>
            </w:r>
            <w:r>
              <w:rPr>
                <w:color w:val="auto"/>
                <w:spacing w:val="-1"/>
                <w:highlight w:val="none"/>
              </w:rPr>
              <w:t>其他墙面涂料</w:t>
            </w:r>
          </w:p>
        </w:tc>
        <w:tc>
          <w:tcPr>
            <w:tcW w:w="2248" w:type="dxa"/>
            <w:tcBorders>
              <w:top w:val="single" w:color="auto" w:sz="4" w:space="0"/>
              <w:left w:val="single" w:color="auto" w:sz="4" w:space="0"/>
              <w:bottom w:val="single" w:color="auto" w:sz="4" w:space="0"/>
              <w:right w:val="single" w:color="auto" w:sz="4" w:space="0"/>
            </w:tcBorders>
            <w:noWrap w:val="0"/>
            <w:vAlign w:val="top"/>
          </w:tcPr>
          <w:p w14:paraId="17366756">
            <w:pPr>
              <w:rPr>
                <w:rFonts w:ascii="Arial"/>
                <w:color w:val="auto"/>
                <w:sz w:val="21"/>
                <w:highlight w:val="none"/>
              </w:rPr>
            </w:pPr>
          </w:p>
        </w:tc>
        <w:tc>
          <w:tcPr>
            <w:tcW w:w="3543" w:type="dxa"/>
            <w:tcBorders>
              <w:left w:val="single" w:color="auto" w:sz="4" w:space="0"/>
            </w:tcBorders>
            <w:noWrap w:val="0"/>
            <w:vAlign w:val="top"/>
          </w:tcPr>
          <w:p w14:paraId="6FFDAD48">
            <w:pPr>
              <w:pStyle w:val="382"/>
              <w:spacing w:before="64"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3736D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Borders>
              <w:top w:val="single" w:color="auto" w:sz="4" w:space="0"/>
            </w:tcBorders>
            <w:noWrap w:val="0"/>
            <w:vAlign w:val="top"/>
          </w:tcPr>
          <w:p w14:paraId="52A4F401">
            <w:pPr>
              <w:pStyle w:val="382"/>
              <w:spacing w:before="65" w:line="242" w:lineRule="auto"/>
              <w:ind w:left="114"/>
              <w:rPr>
                <w:color w:val="auto"/>
                <w:highlight w:val="none"/>
              </w:rPr>
            </w:pPr>
            <w:r>
              <w:rPr>
                <w:color w:val="auto"/>
                <w:spacing w:val="-3"/>
                <w:highlight w:val="none"/>
              </w:rPr>
              <w:t>44</w:t>
            </w:r>
          </w:p>
        </w:tc>
        <w:tc>
          <w:tcPr>
            <w:tcW w:w="1542" w:type="dxa"/>
            <w:tcBorders>
              <w:top w:val="single" w:color="auto" w:sz="4" w:space="0"/>
            </w:tcBorders>
            <w:noWrap w:val="0"/>
            <w:vAlign w:val="top"/>
          </w:tcPr>
          <w:p w14:paraId="30527E84">
            <w:pPr>
              <w:pStyle w:val="382"/>
              <w:spacing w:before="66" w:line="283" w:lineRule="auto"/>
              <w:ind w:left="107" w:right="108" w:hanging="5"/>
              <w:rPr>
                <w:color w:val="auto"/>
                <w:highlight w:val="none"/>
              </w:rPr>
            </w:pPr>
            <w:r>
              <w:rPr>
                <w:color w:val="auto"/>
                <w:spacing w:val="2"/>
                <w:highlight w:val="none"/>
              </w:rPr>
              <w:t>A100604</w:t>
            </w:r>
            <w:r>
              <w:rPr>
                <w:color w:val="auto"/>
                <w:spacing w:val="44"/>
                <w:highlight w:val="none"/>
              </w:rPr>
              <w:t xml:space="preserve"> </w:t>
            </w:r>
            <w:r>
              <w:rPr>
                <w:color w:val="auto"/>
                <w:spacing w:val="2"/>
                <w:highlight w:val="none"/>
              </w:rPr>
              <w:t>防水涂</w:t>
            </w:r>
            <w:r>
              <w:rPr>
                <w:color w:val="auto"/>
                <w:highlight w:val="none"/>
              </w:rPr>
              <w:t xml:space="preserve"> 料</w:t>
            </w:r>
          </w:p>
        </w:tc>
        <w:tc>
          <w:tcPr>
            <w:tcW w:w="2672" w:type="dxa"/>
            <w:tcBorders>
              <w:top w:val="single" w:color="auto" w:sz="4" w:space="0"/>
            </w:tcBorders>
            <w:noWrap w:val="0"/>
            <w:vAlign w:val="top"/>
          </w:tcPr>
          <w:p w14:paraId="2F131169">
            <w:pPr>
              <w:pStyle w:val="382"/>
              <w:spacing w:before="65" w:line="220" w:lineRule="auto"/>
              <w:ind w:left="103"/>
              <w:rPr>
                <w:color w:val="auto"/>
                <w:highlight w:val="none"/>
              </w:rPr>
            </w:pPr>
            <w:r>
              <w:rPr>
                <w:color w:val="auto"/>
                <w:spacing w:val="-1"/>
                <w:highlight w:val="none"/>
              </w:rPr>
              <w:t>A10060499</w:t>
            </w:r>
            <w:r>
              <w:rPr>
                <w:color w:val="auto"/>
                <w:spacing w:val="-30"/>
                <w:highlight w:val="none"/>
              </w:rPr>
              <w:t xml:space="preserve"> </w:t>
            </w:r>
            <w:r>
              <w:rPr>
                <w:color w:val="auto"/>
                <w:spacing w:val="-1"/>
                <w:highlight w:val="none"/>
              </w:rPr>
              <w:t>其他防水涂料</w:t>
            </w:r>
          </w:p>
        </w:tc>
        <w:tc>
          <w:tcPr>
            <w:tcW w:w="2248" w:type="dxa"/>
            <w:tcBorders>
              <w:top w:val="single" w:color="auto" w:sz="4" w:space="0"/>
            </w:tcBorders>
            <w:noWrap w:val="0"/>
            <w:vAlign w:val="top"/>
          </w:tcPr>
          <w:p w14:paraId="28FC1420">
            <w:pPr>
              <w:rPr>
                <w:rFonts w:ascii="Arial"/>
                <w:color w:val="auto"/>
                <w:sz w:val="21"/>
                <w:highlight w:val="none"/>
              </w:rPr>
            </w:pPr>
          </w:p>
        </w:tc>
        <w:tc>
          <w:tcPr>
            <w:tcW w:w="3543" w:type="dxa"/>
            <w:noWrap w:val="0"/>
            <w:vAlign w:val="top"/>
          </w:tcPr>
          <w:p w14:paraId="153C3998">
            <w:pPr>
              <w:pStyle w:val="382"/>
              <w:spacing w:before="65"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2113F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noWrap w:val="0"/>
            <w:vAlign w:val="top"/>
          </w:tcPr>
          <w:p w14:paraId="6FEFD16A">
            <w:pPr>
              <w:pStyle w:val="382"/>
              <w:spacing w:before="66"/>
              <w:ind w:left="114"/>
              <w:rPr>
                <w:color w:val="auto"/>
                <w:highlight w:val="none"/>
              </w:rPr>
            </w:pPr>
            <w:r>
              <w:rPr>
                <w:color w:val="auto"/>
                <w:spacing w:val="-3"/>
                <w:highlight w:val="none"/>
              </w:rPr>
              <w:t>45</w:t>
            </w:r>
          </w:p>
        </w:tc>
        <w:tc>
          <w:tcPr>
            <w:tcW w:w="1542" w:type="dxa"/>
            <w:noWrap w:val="0"/>
            <w:vAlign w:val="top"/>
          </w:tcPr>
          <w:p w14:paraId="50CD90F0">
            <w:pPr>
              <w:pStyle w:val="382"/>
              <w:spacing w:before="66" w:line="283" w:lineRule="auto"/>
              <w:ind w:left="109" w:right="108" w:hanging="7"/>
              <w:rPr>
                <w:color w:val="auto"/>
                <w:highlight w:val="none"/>
              </w:rPr>
            </w:pPr>
            <w:r>
              <w:rPr>
                <w:color w:val="auto"/>
                <w:spacing w:val="3"/>
                <w:highlight w:val="none"/>
              </w:rPr>
              <w:t>A100699</w:t>
            </w:r>
            <w:r>
              <w:rPr>
                <w:color w:val="auto"/>
                <w:spacing w:val="34"/>
                <w:highlight w:val="none"/>
              </w:rPr>
              <w:t xml:space="preserve"> </w:t>
            </w:r>
            <w:r>
              <w:rPr>
                <w:color w:val="auto"/>
                <w:spacing w:val="3"/>
                <w:highlight w:val="none"/>
              </w:rPr>
              <w:t>其他建</w:t>
            </w:r>
            <w:r>
              <w:rPr>
                <w:color w:val="auto"/>
                <w:highlight w:val="none"/>
              </w:rPr>
              <w:t xml:space="preserve"> </w:t>
            </w:r>
            <w:r>
              <w:rPr>
                <w:color w:val="auto"/>
                <w:spacing w:val="-2"/>
                <w:highlight w:val="none"/>
              </w:rPr>
              <w:t>筑涂料</w:t>
            </w:r>
          </w:p>
        </w:tc>
        <w:tc>
          <w:tcPr>
            <w:tcW w:w="2672" w:type="dxa"/>
            <w:noWrap w:val="0"/>
            <w:vAlign w:val="top"/>
          </w:tcPr>
          <w:p w14:paraId="755DE5C4">
            <w:pPr>
              <w:rPr>
                <w:rFonts w:ascii="Arial"/>
                <w:color w:val="auto"/>
                <w:sz w:val="21"/>
                <w:highlight w:val="none"/>
              </w:rPr>
            </w:pPr>
          </w:p>
        </w:tc>
        <w:tc>
          <w:tcPr>
            <w:tcW w:w="2248" w:type="dxa"/>
            <w:noWrap w:val="0"/>
            <w:vAlign w:val="top"/>
          </w:tcPr>
          <w:p w14:paraId="3E5EECB6">
            <w:pPr>
              <w:rPr>
                <w:rFonts w:ascii="Arial"/>
                <w:color w:val="auto"/>
                <w:sz w:val="21"/>
                <w:highlight w:val="none"/>
              </w:rPr>
            </w:pPr>
          </w:p>
        </w:tc>
        <w:tc>
          <w:tcPr>
            <w:tcW w:w="3543" w:type="dxa"/>
            <w:noWrap w:val="0"/>
            <w:vAlign w:val="top"/>
          </w:tcPr>
          <w:p w14:paraId="4D3D0C30">
            <w:pPr>
              <w:pStyle w:val="382"/>
              <w:spacing w:before="65"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0B0B0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noWrap w:val="0"/>
            <w:vAlign w:val="top"/>
          </w:tcPr>
          <w:p w14:paraId="28AE3DC2">
            <w:pPr>
              <w:pStyle w:val="382"/>
              <w:spacing w:before="66"/>
              <w:ind w:left="114"/>
              <w:rPr>
                <w:color w:val="auto"/>
                <w:highlight w:val="none"/>
              </w:rPr>
            </w:pPr>
            <w:r>
              <w:rPr>
                <w:color w:val="auto"/>
                <w:spacing w:val="-3"/>
                <w:highlight w:val="none"/>
              </w:rPr>
              <w:t>46</w:t>
            </w:r>
          </w:p>
        </w:tc>
        <w:tc>
          <w:tcPr>
            <w:tcW w:w="1542" w:type="dxa"/>
            <w:noWrap w:val="0"/>
            <w:vAlign w:val="top"/>
          </w:tcPr>
          <w:p w14:paraId="37E0A0E1">
            <w:pPr>
              <w:pStyle w:val="382"/>
              <w:spacing w:before="66" w:line="222" w:lineRule="auto"/>
              <w:ind w:left="102"/>
              <w:rPr>
                <w:color w:val="auto"/>
                <w:highlight w:val="none"/>
              </w:rPr>
            </w:pPr>
            <w:r>
              <w:rPr>
                <w:color w:val="auto"/>
                <w:spacing w:val="-8"/>
                <w:highlight w:val="none"/>
              </w:rPr>
              <w:t>A100701</w:t>
            </w:r>
            <w:r>
              <w:rPr>
                <w:color w:val="auto"/>
                <w:spacing w:val="-12"/>
                <w:highlight w:val="none"/>
              </w:rPr>
              <w:t xml:space="preserve"> </w:t>
            </w:r>
            <w:r>
              <w:rPr>
                <w:color w:val="auto"/>
                <w:spacing w:val="-8"/>
                <w:highlight w:val="none"/>
              </w:rPr>
              <w:t>门、门槛</w:t>
            </w:r>
          </w:p>
        </w:tc>
        <w:tc>
          <w:tcPr>
            <w:tcW w:w="2672" w:type="dxa"/>
            <w:noWrap w:val="0"/>
            <w:vAlign w:val="top"/>
          </w:tcPr>
          <w:p w14:paraId="6E66EADF">
            <w:pPr>
              <w:rPr>
                <w:rFonts w:ascii="Arial"/>
                <w:color w:val="auto"/>
                <w:sz w:val="21"/>
                <w:highlight w:val="none"/>
              </w:rPr>
            </w:pPr>
          </w:p>
        </w:tc>
        <w:tc>
          <w:tcPr>
            <w:tcW w:w="2248" w:type="dxa"/>
            <w:noWrap w:val="0"/>
            <w:vAlign w:val="top"/>
          </w:tcPr>
          <w:p w14:paraId="350C0A44">
            <w:pPr>
              <w:rPr>
                <w:rFonts w:ascii="Arial"/>
                <w:color w:val="auto"/>
                <w:sz w:val="21"/>
                <w:highlight w:val="none"/>
              </w:rPr>
            </w:pPr>
          </w:p>
        </w:tc>
        <w:tc>
          <w:tcPr>
            <w:tcW w:w="3543" w:type="dxa"/>
            <w:noWrap w:val="0"/>
            <w:vAlign w:val="top"/>
          </w:tcPr>
          <w:p w14:paraId="0BD3EB3F">
            <w:pPr>
              <w:pStyle w:val="382"/>
              <w:spacing w:before="66" w:line="219" w:lineRule="auto"/>
              <w:ind w:left="109"/>
              <w:rPr>
                <w:color w:val="auto"/>
                <w:highlight w:val="none"/>
              </w:rPr>
            </w:pPr>
            <w:r>
              <w:rPr>
                <w:color w:val="auto"/>
                <w:spacing w:val="-1"/>
                <w:highlight w:val="none"/>
              </w:rPr>
              <w:t>HJ/T 237</w:t>
            </w:r>
            <w:r>
              <w:rPr>
                <w:color w:val="auto"/>
                <w:spacing w:val="-32"/>
                <w:highlight w:val="none"/>
              </w:rPr>
              <w:t xml:space="preserve"> </w:t>
            </w:r>
            <w:r>
              <w:rPr>
                <w:color w:val="auto"/>
                <w:spacing w:val="-1"/>
                <w:highlight w:val="none"/>
              </w:rPr>
              <w:t>塑料门窗/HJ459</w:t>
            </w:r>
            <w:r>
              <w:rPr>
                <w:color w:val="auto"/>
                <w:spacing w:val="-37"/>
                <w:highlight w:val="none"/>
              </w:rPr>
              <w:t xml:space="preserve"> </w:t>
            </w:r>
            <w:r>
              <w:rPr>
                <w:color w:val="auto"/>
                <w:spacing w:val="-1"/>
                <w:highlight w:val="none"/>
              </w:rPr>
              <w:t>木</w:t>
            </w:r>
            <w:r>
              <w:rPr>
                <w:color w:val="auto"/>
                <w:spacing w:val="-2"/>
                <w:highlight w:val="none"/>
              </w:rPr>
              <w:t>质门和钢质门</w:t>
            </w:r>
          </w:p>
        </w:tc>
      </w:tr>
      <w:tr w14:paraId="1C5E1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noWrap w:val="0"/>
            <w:vAlign w:val="top"/>
          </w:tcPr>
          <w:p w14:paraId="40D44152">
            <w:pPr>
              <w:pStyle w:val="382"/>
              <w:spacing w:before="66"/>
              <w:ind w:left="114"/>
              <w:rPr>
                <w:color w:val="auto"/>
                <w:highlight w:val="none"/>
              </w:rPr>
            </w:pPr>
            <w:r>
              <w:rPr>
                <w:color w:val="auto"/>
                <w:spacing w:val="-3"/>
                <w:highlight w:val="none"/>
              </w:rPr>
              <w:t>47</w:t>
            </w:r>
          </w:p>
        </w:tc>
        <w:tc>
          <w:tcPr>
            <w:tcW w:w="1542" w:type="dxa"/>
            <w:noWrap w:val="0"/>
            <w:vAlign w:val="top"/>
          </w:tcPr>
          <w:p w14:paraId="41FF8D5B">
            <w:pPr>
              <w:pStyle w:val="382"/>
              <w:spacing w:before="66" w:line="221" w:lineRule="auto"/>
              <w:ind w:left="102"/>
              <w:rPr>
                <w:color w:val="auto"/>
                <w:highlight w:val="none"/>
              </w:rPr>
            </w:pPr>
            <w:r>
              <w:rPr>
                <w:color w:val="auto"/>
                <w:spacing w:val="-1"/>
                <w:highlight w:val="none"/>
              </w:rPr>
              <w:t>A100702</w:t>
            </w:r>
            <w:r>
              <w:rPr>
                <w:color w:val="auto"/>
                <w:spacing w:val="-24"/>
                <w:highlight w:val="none"/>
              </w:rPr>
              <w:t xml:space="preserve"> </w:t>
            </w:r>
            <w:r>
              <w:rPr>
                <w:color w:val="auto"/>
                <w:spacing w:val="-1"/>
                <w:highlight w:val="none"/>
              </w:rPr>
              <w:t>窗</w:t>
            </w:r>
          </w:p>
        </w:tc>
        <w:tc>
          <w:tcPr>
            <w:tcW w:w="2672" w:type="dxa"/>
            <w:noWrap w:val="0"/>
            <w:vAlign w:val="top"/>
          </w:tcPr>
          <w:p w14:paraId="53D83694">
            <w:pPr>
              <w:rPr>
                <w:rFonts w:ascii="Arial"/>
                <w:color w:val="auto"/>
                <w:sz w:val="21"/>
                <w:highlight w:val="none"/>
              </w:rPr>
            </w:pPr>
          </w:p>
        </w:tc>
        <w:tc>
          <w:tcPr>
            <w:tcW w:w="2248" w:type="dxa"/>
            <w:noWrap w:val="0"/>
            <w:vAlign w:val="top"/>
          </w:tcPr>
          <w:p w14:paraId="779DC0C7">
            <w:pPr>
              <w:rPr>
                <w:rFonts w:ascii="Arial"/>
                <w:color w:val="auto"/>
                <w:sz w:val="21"/>
                <w:highlight w:val="none"/>
              </w:rPr>
            </w:pPr>
          </w:p>
        </w:tc>
        <w:tc>
          <w:tcPr>
            <w:tcW w:w="3543" w:type="dxa"/>
            <w:noWrap w:val="0"/>
            <w:vAlign w:val="top"/>
          </w:tcPr>
          <w:p w14:paraId="1A5D62A4">
            <w:pPr>
              <w:pStyle w:val="382"/>
              <w:spacing w:before="66" w:line="219" w:lineRule="auto"/>
              <w:ind w:left="109"/>
              <w:rPr>
                <w:color w:val="auto"/>
                <w:highlight w:val="none"/>
              </w:rPr>
            </w:pPr>
            <w:r>
              <w:rPr>
                <w:color w:val="auto"/>
                <w:spacing w:val="-1"/>
                <w:highlight w:val="none"/>
              </w:rPr>
              <w:t>HJ/T237</w:t>
            </w:r>
            <w:r>
              <w:rPr>
                <w:color w:val="auto"/>
                <w:spacing w:val="-33"/>
                <w:highlight w:val="none"/>
              </w:rPr>
              <w:t xml:space="preserve"> </w:t>
            </w:r>
            <w:r>
              <w:rPr>
                <w:color w:val="auto"/>
                <w:spacing w:val="-1"/>
                <w:highlight w:val="none"/>
              </w:rPr>
              <w:t>塑料门窗</w:t>
            </w:r>
          </w:p>
        </w:tc>
      </w:tr>
      <w:tr w14:paraId="415AB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noWrap w:val="0"/>
            <w:vAlign w:val="top"/>
          </w:tcPr>
          <w:p w14:paraId="7D556B21">
            <w:pPr>
              <w:pStyle w:val="382"/>
              <w:spacing w:before="69"/>
              <w:ind w:left="114"/>
              <w:rPr>
                <w:color w:val="auto"/>
                <w:highlight w:val="none"/>
              </w:rPr>
            </w:pPr>
            <w:r>
              <w:rPr>
                <w:color w:val="auto"/>
                <w:spacing w:val="-3"/>
                <w:highlight w:val="none"/>
              </w:rPr>
              <w:t>48</w:t>
            </w:r>
          </w:p>
        </w:tc>
        <w:tc>
          <w:tcPr>
            <w:tcW w:w="1542" w:type="dxa"/>
            <w:noWrap w:val="0"/>
            <w:vAlign w:val="top"/>
          </w:tcPr>
          <w:p w14:paraId="18A989F7">
            <w:pPr>
              <w:pStyle w:val="382"/>
              <w:spacing w:before="70" w:line="282" w:lineRule="auto"/>
              <w:ind w:left="109" w:right="106" w:hanging="7"/>
              <w:rPr>
                <w:color w:val="auto"/>
                <w:highlight w:val="none"/>
              </w:rPr>
            </w:pPr>
            <w:r>
              <w:rPr>
                <w:color w:val="auto"/>
                <w:spacing w:val="-8"/>
                <w:highlight w:val="none"/>
              </w:rPr>
              <w:t>A170108</w:t>
            </w:r>
            <w:r>
              <w:rPr>
                <w:color w:val="auto"/>
                <w:spacing w:val="-25"/>
                <w:highlight w:val="none"/>
              </w:rPr>
              <w:t xml:space="preserve"> </w:t>
            </w:r>
            <w:r>
              <w:rPr>
                <w:color w:val="auto"/>
                <w:spacing w:val="-8"/>
                <w:highlight w:val="none"/>
              </w:rPr>
              <w:t>涂料（建</w:t>
            </w:r>
            <w:r>
              <w:rPr>
                <w:color w:val="auto"/>
                <w:highlight w:val="none"/>
              </w:rPr>
              <w:t xml:space="preserve"> </w:t>
            </w:r>
            <w:r>
              <w:rPr>
                <w:color w:val="auto"/>
                <w:spacing w:val="-2"/>
                <w:highlight w:val="none"/>
              </w:rPr>
              <w:t>筑涂料除外）</w:t>
            </w:r>
          </w:p>
        </w:tc>
        <w:tc>
          <w:tcPr>
            <w:tcW w:w="2672" w:type="dxa"/>
            <w:noWrap w:val="0"/>
            <w:vAlign w:val="top"/>
          </w:tcPr>
          <w:p w14:paraId="6DA05E49">
            <w:pPr>
              <w:rPr>
                <w:rFonts w:ascii="Arial"/>
                <w:color w:val="auto"/>
                <w:sz w:val="21"/>
                <w:highlight w:val="none"/>
              </w:rPr>
            </w:pPr>
          </w:p>
        </w:tc>
        <w:tc>
          <w:tcPr>
            <w:tcW w:w="2248" w:type="dxa"/>
            <w:noWrap w:val="0"/>
            <w:vAlign w:val="top"/>
          </w:tcPr>
          <w:p w14:paraId="418D403F">
            <w:pPr>
              <w:rPr>
                <w:rFonts w:ascii="Arial"/>
                <w:color w:val="auto"/>
                <w:sz w:val="21"/>
                <w:highlight w:val="none"/>
              </w:rPr>
            </w:pPr>
          </w:p>
        </w:tc>
        <w:tc>
          <w:tcPr>
            <w:tcW w:w="3543" w:type="dxa"/>
            <w:noWrap w:val="0"/>
            <w:vAlign w:val="top"/>
          </w:tcPr>
          <w:p w14:paraId="0A8E7F49">
            <w:pPr>
              <w:pStyle w:val="382"/>
              <w:spacing w:before="69"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54AEF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noWrap w:val="0"/>
            <w:vAlign w:val="top"/>
          </w:tcPr>
          <w:p w14:paraId="49B2572F">
            <w:pPr>
              <w:pStyle w:val="382"/>
              <w:spacing w:before="68"/>
              <w:ind w:left="114"/>
              <w:rPr>
                <w:color w:val="auto"/>
                <w:highlight w:val="none"/>
              </w:rPr>
            </w:pPr>
            <w:r>
              <w:rPr>
                <w:color w:val="auto"/>
                <w:spacing w:val="-3"/>
                <w:highlight w:val="none"/>
              </w:rPr>
              <w:t>49</w:t>
            </w:r>
          </w:p>
        </w:tc>
        <w:tc>
          <w:tcPr>
            <w:tcW w:w="1542" w:type="dxa"/>
            <w:noWrap w:val="0"/>
            <w:vAlign w:val="top"/>
          </w:tcPr>
          <w:p w14:paraId="47CF59F9">
            <w:pPr>
              <w:pStyle w:val="382"/>
              <w:spacing w:before="68" w:line="282" w:lineRule="auto"/>
              <w:ind w:left="109" w:right="108" w:hanging="7"/>
              <w:rPr>
                <w:color w:val="auto"/>
                <w:highlight w:val="none"/>
              </w:rPr>
            </w:pPr>
            <w:r>
              <w:rPr>
                <w:color w:val="auto"/>
                <w:spacing w:val="3"/>
                <w:highlight w:val="none"/>
              </w:rPr>
              <w:t>A170112</w:t>
            </w:r>
            <w:r>
              <w:rPr>
                <w:color w:val="auto"/>
                <w:spacing w:val="34"/>
                <w:highlight w:val="none"/>
              </w:rPr>
              <w:t xml:space="preserve"> </w:t>
            </w:r>
            <w:r>
              <w:rPr>
                <w:color w:val="auto"/>
                <w:spacing w:val="3"/>
                <w:highlight w:val="none"/>
              </w:rPr>
              <w:t>密封用</w:t>
            </w:r>
            <w:r>
              <w:rPr>
                <w:color w:val="auto"/>
                <w:highlight w:val="none"/>
              </w:rPr>
              <w:t xml:space="preserve"> </w:t>
            </w:r>
            <w:r>
              <w:rPr>
                <w:color w:val="auto"/>
                <w:spacing w:val="-2"/>
                <w:highlight w:val="none"/>
              </w:rPr>
              <w:t>填料及类似品</w:t>
            </w:r>
          </w:p>
        </w:tc>
        <w:tc>
          <w:tcPr>
            <w:tcW w:w="2672" w:type="dxa"/>
            <w:noWrap w:val="0"/>
            <w:vAlign w:val="top"/>
          </w:tcPr>
          <w:p w14:paraId="2D57EC37">
            <w:pPr>
              <w:rPr>
                <w:rFonts w:ascii="Arial"/>
                <w:color w:val="auto"/>
                <w:sz w:val="21"/>
                <w:highlight w:val="none"/>
              </w:rPr>
            </w:pPr>
          </w:p>
        </w:tc>
        <w:tc>
          <w:tcPr>
            <w:tcW w:w="2248" w:type="dxa"/>
            <w:noWrap w:val="0"/>
            <w:vAlign w:val="top"/>
          </w:tcPr>
          <w:p w14:paraId="6DE5CBBB">
            <w:pPr>
              <w:rPr>
                <w:rFonts w:ascii="Arial"/>
                <w:color w:val="auto"/>
                <w:sz w:val="21"/>
                <w:highlight w:val="none"/>
              </w:rPr>
            </w:pPr>
          </w:p>
        </w:tc>
        <w:tc>
          <w:tcPr>
            <w:tcW w:w="3543" w:type="dxa"/>
            <w:noWrap w:val="0"/>
            <w:vAlign w:val="top"/>
          </w:tcPr>
          <w:p w14:paraId="05617636">
            <w:pPr>
              <w:pStyle w:val="382"/>
              <w:spacing w:before="67" w:line="219" w:lineRule="auto"/>
              <w:ind w:left="109"/>
              <w:rPr>
                <w:color w:val="auto"/>
                <w:highlight w:val="none"/>
              </w:rPr>
            </w:pPr>
            <w:r>
              <w:rPr>
                <w:color w:val="auto"/>
                <w:spacing w:val="-1"/>
                <w:highlight w:val="none"/>
              </w:rPr>
              <w:t>HJ2541</w:t>
            </w:r>
            <w:r>
              <w:rPr>
                <w:color w:val="auto"/>
                <w:spacing w:val="-35"/>
                <w:highlight w:val="none"/>
              </w:rPr>
              <w:t xml:space="preserve"> </w:t>
            </w:r>
            <w:r>
              <w:rPr>
                <w:color w:val="auto"/>
                <w:spacing w:val="-1"/>
                <w:highlight w:val="none"/>
              </w:rPr>
              <w:t>胶粘剂</w:t>
            </w:r>
          </w:p>
        </w:tc>
      </w:tr>
      <w:tr w14:paraId="5C6B3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noWrap w:val="0"/>
            <w:vAlign w:val="top"/>
          </w:tcPr>
          <w:p w14:paraId="57E247F1">
            <w:pPr>
              <w:pStyle w:val="382"/>
              <w:spacing w:before="69"/>
              <w:ind w:left="118"/>
              <w:rPr>
                <w:color w:val="auto"/>
                <w:highlight w:val="none"/>
              </w:rPr>
            </w:pPr>
            <w:r>
              <w:rPr>
                <w:color w:val="auto"/>
                <w:spacing w:val="-5"/>
                <w:highlight w:val="none"/>
              </w:rPr>
              <w:t>50</w:t>
            </w:r>
          </w:p>
        </w:tc>
        <w:tc>
          <w:tcPr>
            <w:tcW w:w="1542" w:type="dxa"/>
            <w:noWrap w:val="0"/>
            <w:vAlign w:val="top"/>
          </w:tcPr>
          <w:p w14:paraId="7489D7E8">
            <w:pPr>
              <w:pStyle w:val="382"/>
              <w:spacing w:before="69" w:line="284" w:lineRule="auto"/>
              <w:ind w:left="122" w:right="108" w:hanging="20"/>
              <w:rPr>
                <w:color w:val="auto"/>
                <w:highlight w:val="none"/>
              </w:rPr>
            </w:pPr>
            <w:r>
              <w:rPr>
                <w:color w:val="auto"/>
                <w:spacing w:val="3"/>
                <w:highlight w:val="none"/>
              </w:rPr>
              <w:t>A180201</w:t>
            </w:r>
            <w:r>
              <w:rPr>
                <w:color w:val="auto"/>
                <w:spacing w:val="34"/>
                <w:highlight w:val="none"/>
              </w:rPr>
              <w:t xml:space="preserve"> </w:t>
            </w:r>
            <w:r>
              <w:rPr>
                <w:color w:val="auto"/>
                <w:spacing w:val="3"/>
                <w:highlight w:val="none"/>
              </w:rPr>
              <w:t>塑料制</w:t>
            </w:r>
            <w:r>
              <w:rPr>
                <w:color w:val="auto"/>
                <w:highlight w:val="none"/>
              </w:rPr>
              <w:t xml:space="preserve"> 品</w:t>
            </w:r>
          </w:p>
        </w:tc>
        <w:tc>
          <w:tcPr>
            <w:tcW w:w="2672" w:type="dxa"/>
            <w:noWrap w:val="0"/>
            <w:vAlign w:val="top"/>
          </w:tcPr>
          <w:p w14:paraId="3FBE624B">
            <w:pPr>
              <w:rPr>
                <w:rFonts w:ascii="Arial"/>
                <w:color w:val="auto"/>
                <w:sz w:val="21"/>
                <w:highlight w:val="none"/>
              </w:rPr>
            </w:pPr>
          </w:p>
        </w:tc>
        <w:tc>
          <w:tcPr>
            <w:tcW w:w="2248" w:type="dxa"/>
            <w:noWrap w:val="0"/>
            <w:vAlign w:val="top"/>
          </w:tcPr>
          <w:p w14:paraId="7A5E6645">
            <w:pPr>
              <w:rPr>
                <w:rFonts w:ascii="Arial"/>
                <w:color w:val="auto"/>
                <w:sz w:val="21"/>
                <w:highlight w:val="none"/>
              </w:rPr>
            </w:pPr>
          </w:p>
        </w:tc>
        <w:tc>
          <w:tcPr>
            <w:tcW w:w="3543" w:type="dxa"/>
            <w:noWrap w:val="0"/>
            <w:vAlign w:val="top"/>
          </w:tcPr>
          <w:p w14:paraId="2C4D774E">
            <w:pPr>
              <w:pStyle w:val="382"/>
              <w:spacing w:before="69" w:line="284" w:lineRule="auto"/>
              <w:ind w:left="113" w:right="104" w:hanging="4"/>
              <w:rPr>
                <w:color w:val="auto"/>
                <w:highlight w:val="none"/>
              </w:rPr>
            </w:pPr>
            <w:r>
              <w:rPr>
                <w:color w:val="auto"/>
                <w:highlight w:val="none"/>
              </w:rPr>
              <w:t>HJ/T226 建筑用塑料管材/HJ/</w:t>
            </w:r>
            <w:r>
              <w:rPr>
                <w:color w:val="auto"/>
                <w:spacing w:val="-1"/>
                <w:highlight w:val="none"/>
              </w:rPr>
              <w:t>T231 再生塑</w:t>
            </w:r>
            <w:r>
              <w:rPr>
                <w:color w:val="auto"/>
                <w:highlight w:val="none"/>
              </w:rPr>
              <w:t xml:space="preserve"> </w:t>
            </w:r>
            <w:r>
              <w:rPr>
                <w:color w:val="auto"/>
                <w:spacing w:val="-2"/>
                <w:highlight w:val="none"/>
              </w:rPr>
              <w:t>料制品</w:t>
            </w:r>
          </w:p>
        </w:tc>
      </w:tr>
    </w:tbl>
    <w:p w14:paraId="52D853F6">
      <w:pPr>
        <w:spacing w:after="120" w:line="360" w:lineRule="auto"/>
        <w:rPr>
          <w:color w:val="auto"/>
          <w:szCs w:val="21"/>
          <w:highlight w:val="none"/>
        </w:rPr>
      </w:pPr>
      <w:r>
        <w:rPr>
          <w:rFonts w:hint="eastAsia" w:ascii="宋体" w:hAnsi="宋体" w:eastAsia="宋体" w:cs="Times New Roman"/>
          <w:color w:val="auto"/>
          <w:spacing w:val="-3"/>
          <w:szCs w:val="21"/>
          <w:highlight w:val="none"/>
        </w:rPr>
        <w:t>注：环境标志产品认证应依据相关标准的最新</w:t>
      </w:r>
      <w:r>
        <w:rPr>
          <w:rFonts w:hint="eastAsia" w:ascii="宋体" w:hAnsi="宋体" w:eastAsia="宋体" w:cs="Times New Roman"/>
          <w:color w:val="auto"/>
          <w:spacing w:val="-3"/>
          <w:szCs w:val="21"/>
          <w:highlight w:val="none"/>
          <w:lang w:val="en-US" w:eastAsia="zh-CN"/>
        </w:rPr>
        <w:t>版本。</w:t>
      </w:r>
      <w:r>
        <w:rPr>
          <w:color w:val="auto"/>
          <w:szCs w:val="21"/>
          <w:highlight w:val="none"/>
        </w:rPr>
        <w:br w:type="page" w:clear="all"/>
      </w:r>
      <w:bookmarkStart w:id="109" w:name="_Hlk132788258"/>
      <w:bookmarkEnd w:id="109"/>
    </w:p>
    <w:p w14:paraId="0FB1729A">
      <w:pPr>
        <w:pStyle w:val="27"/>
        <w:spacing w:before="120" w:after="120" w:line="320" w:lineRule="exact"/>
        <w:jc w:val="center"/>
        <w:outlineLvl w:val="0"/>
        <w:rPr>
          <w:rFonts w:ascii="Times New Roman" w:hAnsi="Times New Roman" w:cs="Times New Roman"/>
          <w:color w:val="auto"/>
          <w:sz w:val="32"/>
          <w:szCs w:val="32"/>
          <w:highlight w:val="none"/>
        </w:rPr>
      </w:pPr>
      <w:bookmarkStart w:id="110" w:name="_Toc2043"/>
      <w:r>
        <w:rPr>
          <w:rFonts w:ascii="Times New Roman" w:hAnsi="Times New Roman" w:cs="Times New Roman"/>
          <w:color w:val="auto"/>
          <w:sz w:val="32"/>
          <w:szCs w:val="32"/>
          <w:highlight w:val="none"/>
        </w:rPr>
        <w:t>第三章  供应商须知</w:t>
      </w:r>
      <w:bookmarkEnd w:id="110"/>
      <w:bookmarkStart w:id="111" w:name="_Toc254970526"/>
      <w:bookmarkStart w:id="112" w:name="_Toc254970667"/>
    </w:p>
    <w:p w14:paraId="6858D6A6">
      <w:pPr>
        <w:pStyle w:val="3"/>
        <w:spacing w:before="40" w:after="40"/>
        <w:jc w:val="center"/>
        <w:rPr>
          <w:rFonts w:ascii="Times New Roman" w:hAnsi="Times New Roman" w:eastAsia="宋体"/>
          <w:color w:val="auto"/>
          <w:sz w:val="24"/>
          <w:szCs w:val="24"/>
          <w:highlight w:val="none"/>
        </w:rPr>
      </w:pPr>
      <w:bookmarkStart w:id="113" w:name="_投标人须知前附表"/>
      <w:bookmarkEnd w:id="113"/>
      <w:r>
        <w:rPr>
          <w:rFonts w:ascii="Times New Roman" w:hAnsi="Times New Roman" w:eastAsia="宋体"/>
          <w:color w:val="auto"/>
          <w:sz w:val="24"/>
          <w:szCs w:val="24"/>
          <w:highlight w:val="none"/>
        </w:rPr>
        <w:t>供应商须知前附表</w:t>
      </w:r>
      <w:bookmarkEnd w:id="111"/>
      <w:bookmarkEnd w:id="112"/>
    </w:p>
    <w:tbl>
      <w:tblPr>
        <w:tblStyle w:val="56"/>
        <w:tblW w:w="9598" w:type="dxa"/>
        <w:tblInd w:w="-2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7"/>
        <w:gridCol w:w="1890"/>
        <w:gridCol w:w="6801"/>
      </w:tblGrid>
      <w:tr w14:paraId="650DA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09"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12D4D713">
            <w:pPr>
              <w:jc w:val="center"/>
              <w:rPr>
                <w:b/>
                <w:color w:val="auto"/>
                <w:szCs w:val="21"/>
                <w:highlight w:val="none"/>
              </w:rPr>
            </w:pPr>
            <w:r>
              <w:rPr>
                <w:b/>
                <w:color w:val="auto"/>
                <w:szCs w:val="21"/>
                <w:highlight w:val="none"/>
              </w:rPr>
              <w:t>条款号</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294E7931">
            <w:pPr>
              <w:jc w:val="center"/>
              <w:rPr>
                <w:b/>
                <w:color w:val="auto"/>
                <w:szCs w:val="21"/>
                <w:highlight w:val="none"/>
              </w:rPr>
            </w:pPr>
            <w:r>
              <w:rPr>
                <w:b/>
                <w:color w:val="auto"/>
                <w:szCs w:val="21"/>
                <w:highlight w:val="none"/>
              </w:rPr>
              <w:t>要点</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04182E52">
            <w:pPr>
              <w:jc w:val="center"/>
              <w:rPr>
                <w:b/>
                <w:color w:val="auto"/>
                <w:szCs w:val="21"/>
                <w:highlight w:val="none"/>
              </w:rPr>
            </w:pPr>
            <w:r>
              <w:rPr>
                <w:b/>
                <w:color w:val="auto"/>
                <w:szCs w:val="21"/>
                <w:highlight w:val="none"/>
              </w:rPr>
              <w:t>内容、要求</w:t>
            </w:r>
          </w:p>
        </w:tc>
      </w:tr>
      <w:tr w14:paraId="7F5532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69F08ED0">
            <w:pPr>
              <w:spacing w:line="300" w:lineRule="exact"/>
              <w:jc w:val="center"/>
              <w:rPr>
                <w:b/>
                <w:color w:val="auto"/>
                <w:szCs w:val="21"/>
                <w:highlight w:val="none"/>
              </w:rPr>
            </w:pPr>
            <w:r>
              <w:rPr>
                <w:b/>
                <w:color w:val="auto"/>
                <w:szCs w:val="21"/>
                <w:highlight w:val="none"/>
              </w:rPr>
              <w:t>1.3.1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D05E3C6">
            <w:pPr>
              <w:spacing w:line="300" w:lineRule="exact"/>
              <w:jc w:val="center"/>
              <w:rPr>
                <w:color w:val="auto"/>
                <w:szCs w:val="21"/>
                <w:highlight w:val="none"/>
              </w:rPr>
            </w:pPr>
            <w:r>
              <w:rPr>
                <w:color w:val="auto"/>
                <w:szCs w:val="21"/>
                <w:highlight w:val="none"/>
              </w:rPr>
              <w:t>项目基本信息</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2EC3D2E9">
            <w:pPr>
              <w:spacing w:line="300" w:lineRule="exact"/>
              <w:jc w:val="left"/>
              <w:rPr>
                <w:color w:val="auto"/>
                <w:szCs w:val="21"/>
                <w:highlight w:val="none"/>
              </w:rPr>
            </w:pPr>
            <w:r>
              <w:rPr>
                <w:color w:val="auto"/>
                <w:szCs w:val="21"/>
                <w:highlight w:val="none"/>
              </w:rPr>
              <w:t>项目名称：</w:t>
            </w:r>
            <w:r>
              <w:rPr>
                <w:rFonts w:hint="eastAsia"/>
                <w:color w:val="auto"/>
                <w:szCs w:val="21"/>
                <w:highlight w:val="none"/>
                <w:lang w:val="en-US" w:eastAsia="zh-CN"/>
              </w:rPr>
              <w:t>北海市中医医院检验设备、麻醉系统采购项目</w:t>
            </w:r>
          </w:p>
          <w:p w14:paraId="09767E5E">
            <w:pPr>
              <w:spacing w:line="300" w:lineRule="exact"/>
              <w:jc w:val="left"/>
              <w:rPr>
                <w:rFonts w:hint="default" w:eastAsia="宋体"/>
                <w:color w:val="auto"/>
                <w:szCs w:val="21"/>
                <w:highlight w:val="none"/>
                <w:lang w:val="en-US" w:eastAsia="zh-CN"/>
              </w:rPr>
            </w:pPr>
            <w:r>
              <w:rPr>
                <w:color w:val="auto"/>
                <w:szCs w:val="21"/>
                <w:highlight w:val="none"/>
              </w:rPr>
              <w:t>项目编号：</w:t>
            </w:r>
            <w:r>
              <w:rPr>
                <w:rFonts w:hint="eastAsia"/>
                <w:color w:val="auto"/>
                <w:szCs w:val="21"/>
                <w:highlight w:val="none"/>
                <w:lang w:val="en-US" w:eastAsia="zh-CN"/>
              </w:rPr>
              <w:t xml:space="preserve"> BHZC2026-G1-990205-JDZB</w:t>
            </w:r>
          </w:p>
          <w:p w14:paraId="61CE9B71">
            <w:pPr>
              <w:spacing w:line="300" w:lineRule="exact"/>
              <w:jc w:val="left"/>
              <w:rPr>
                <w:rFonts w:hint="default" w:eastAsia="宋体"/>
                <w:color w:val="auto"/>
                <w:szCs w:val="21"/>
                <w:highlight w:val="none"/>
                <w:u w:val="single"/>
                <w:lang w:val="en-US" w:eastAsia="zh-CN"/>
              </w:rPr>
            </w:pPr>
            <w:r>
              <w:rPr>
                <w:rFonts w:hint="eastAsia"/>
                <w:color w:val="auto"/>
                <w:szCs w:val="21"/>
                <w:highlight w:val="none"/>
                <w:lang w:val="en-US" w:eastAsia="zh-CN"/>
              </w:rPr>
              <w:t>采购计划号：BHZC2026-G1-01282-001 、BHZC2026-G1-01282-002</w:t>
            </w:r>
          </w:p>
        </w:tc>
      </w:tr>
      <w:tr w14:paraId="01AC94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7F170FA2">
            <w:pPr>
              <w:spacing w:line="300" w:lineRule="exact"/>
              <w:jc w:val="center"/>
              <w:rPr>
                <w:b/>
                <w:color w:val="auto"/>
                <w:szCs w:val="21"/>
                <w:highlight w:val="none"/>
              </w:rPr>
            </w:pPr>
            <w:r>
              <w:rPr>
                <w:b/>
                <w:color w:val="auto"/>
                <w:szCs w:val="21"/>
                <w:highlight w:val="none"/>
              </w:rPr>
              <w:t>1.3.2</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024A9150">
            <w:pPr>
              <w:spacing w:line="300" w:lineRule="exact"/>
              <w:jc w:val="center"/>
              <w:rPr>
                <w:color w:val="auto"/>
                <w:szCs w:val="21"/>
                <w:highlight w:val="none"/>
                <w:lang w:val="zh-CN"/>
              </w:rPr>
            </w:pPr>
            <w:r>
              <w:rPr>
                <w:rFonts w:hint="eastAsia"/>
                <w:color w:val="auto"/>
                <w:szCs w:val="21"/>
                <w:highlight w:val="none"/>
                <w:lang w:val="zh-CN"/>
              </w:rPr>
              <w:t>采购方式</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6160FA46">
            <w:pPr>
              <w:spacing w:line="300" w:lineRule="exact"/>
              <w:jc w:val="left"/>
              <w:rPr>
                <w:color w:val="auto"/>
                <w:szCs w:val="21"/>
                <w:highlight w:val="none"/>
              </w:rPr>
            </w:pPr>
            <w:r>
              <w:rPr>
                <w:rFonts w:hint="eastAsia"/>
                <w:color w:val="auto"/>
                <w:szCs w:val="21"/>
                <w:highlight w:val="none"/>
              </w:rPr>
              <w:t>公开招标</w:t>
            </w:r>
          </w:p>
        </w:tc>
      </w:tr>
      <w:tr w14:paraId="2E8E0B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1CCA7499">
            <w:pPr>
              <w:spacing w:line="300" w:lineRule="exact"/>
              <w:jc w:val="center"/>
              <w:rPr>
                <w:b/>
                <w:color w:val="auto"/>
                <w:szCs w:val="21"/>
                <w:highlight w:val="none"/>
              </w:rPr>
            </w:pPr>
            <w:r>
              <w:rPr>
                <w:rFonts w:hint="eastAsia"/>
                <w:b/>
                <w:color w:val="auto"/>
                <w:szCs w:val="21"/>
                <w:highlight w:val="none"/>
              </w:rPr>
              <w:t>1</w:t>
            </w:r>
            <w:r>
              <w:rPr>
                <w:b/>
                <w:color w:val="auto"/>
                <w:szCs w:val="21"/>
                <w:highlight w:val="none"/>
              </w:rPr>
              <w:t>.4</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2024CC1">
            <w:pPr>
              <w:spacing w:line="300" w:lineRule="exact"/>
              <w:jc w:val="center"/>
              <w:rPr>
                <w:color w:val="auto"/>
                <w:szCs w:val="21"/>
                <w:highlight w:val="none"/>
                <w:lang w:val="zh-CN"/>
              </w:rPr>
            </w:pPr>
            <w:r>
              <w:rPr>
                <w:rFonts w:hint="eastAsia"/>
                <w:color w:val="auto"/>
                <w:szCs w:val="21"/>
                <w:highlight w:val="none"/>
                <w:lang w:val="zh-CN"/>
              </w:rPr>
              <w:t>促进中小企业发展措施</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296C0BC0">
            <w:pPr>
              <w:spacing w:line="300" w:lineRule="exact"/>
              <w:jc w:val="left"/>
              <w:rPr>
                <w:color w:val="auto"/>
                <w:szCs w:val="21"/>
                <w:highlight w:val="none"/>
              </w:rPr>
            </w:pPr>
            <w:r>
              <w:rPr>
                <w:rFonts w:hint="eastAsia"/>
                <w:color w:val="auto"/>
                <w:szCs w:val="21"/>
                <w:highlight w:val="none"/>
              </w:rPr>
              <w:t xml:space="preserve">本项目非专门面向中小微企业采购。 </w:t>
            </w:r>
          </w:p>
        </w:tc>
      </w:tr>
      <w:tr w14:paraId="06359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52F0BE04">
            <w:pPr>
              <w:spacing w:line="300" w:lineRule="exact"/>
              <w:jc w:val="center"/>
              <w:rPr>
                <w:b/>
                <w:color w:val="auto"/>
                <w:szCs w:val="21"/>
                <w:highlight w:val="none"/>
              </w:rPr>
            </w:pPr>
            <w:r>
              <w:rPr>
                <w:b/>
                <w:color w:val="auto"/>
                <w:szCs w:val="21"/>
                <w:highlight w:val="none"/>
              </w:rPr>
              <w:t>1.5.1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5496FF28">
            <w:pPr>
              <w:spacing w:line="300" w:lineRule="exact"/>
              <w:jc w:val="center"/>
              <w:rPr>
                <w:color w:val="auto"/>
                <w:szCs w:val="21"/>
                <w:highlight w:val="none"/>
              </w:rPr>
            </w:pPr>
            <w:r>
              <w:rPr>
                <w:color w:val="auto"/>
                <w:szCs w:val="21"/>
                <w:highlight w:val="none"/>
                <w:lang w:val="zh-CN"/>
              </w:rPr>
              <w:t>供应商资格条件</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56BA23FF">
            <w:pPr>
              <w:spacing w:line="300" w:lineRule="exact"/>
              <w:jc w:val="left"/>
              <w:rPr>
                <w:color w:val="auto"/>
                <w:szCs w:val="21"/>
                <w:highlight w:val="none"/>
              </w:rPr>
            </w:pPr>
            <w:r>
              <w:rPr>
                <w:rFonts w:hint="eastAsia"/>
                <w:color w:val="auto"/>
                <w:szCs w:val="21"/>
                <w:highlight w:val="none"/>
              </w:rPr>
              <w:t>详</w:t>
            </w:r>
            <w:r>
              <w:rPr>
                <w:color w:val="auto"/>
                <w:szCs w:val="21"/>
                <w:highlight w:val="none"/>
              </w:rPr>
              <w:t>见招标公告</w:t>
            </w:r>
            <w:r>
              <w:rPr>
                <w:rFonts w:hint="eastAsia"/>
                <w:color w:val="auto"/>
                <w:szCs w:val="21"/>
                <w:highlight w:val="none"/>
              </w:rPr>
              <w:t>。</w:t>
            </w:r>
          </w:p>
        </w:tc>
      </w:tr>
      <w:tr w14:paraId="29F511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907" w:type="dxa"/>
            <w:tcBorders>
              <w:top w:val="single" w:color="auto" w:sz="4" w:space="0"/>
              <w:left w:val="single" w:color="auto" w:sz="4" w:space="0"/>
              <w:right w:val="single" w:color="auto" w:sz="4" w:space="0"/>
            </w:tcBorders>
            <w:noWrap w:val="0"/>
            <w:vAlign w:val="center"/>
          </w:tcPr>
          <w:p w14:paraId="16FA4DAA">
            <w:pPr>
              <w:spacing w:line="300" w:lineRule="exact"/>
              <w:jc w:val="center"/>
              <w:rPr>
                <w:b/>
                <w:color w:val="auto"/>
                <w:szCs w:val="21"/>
                <w:highlight w:val="none"/>
              </w:rPr>
            </w:pPr>
            <w:bookmarkStart w:id="114" w:name="_Hlk85555568"/>
            <w:r>
              <w:rPr>
                <w:b/>
                <w:color w:val="auto"/>
                <w:szCs w:val="21"/>
                <w:highlight w:val="none"/>
              </w:rPr>
              <w:t>1.5.3</w:t>
            </w:r>
          </w:p>
        </w:tc>
        <w:tc>
          <w:tcPr>
            <w:tcW w:w="1890" w:type="dxa"/>
            <w:tcBorders>
              <w:top w:val="single" w:color="auto" w:sz="4" w:space="0"/>
              <w:left w:val="single" w:color="auto" w:sz="4" w:space="0"/>
              <w:right w:val="single" w:color="auto" w:sz="4" w:space="0"/>
            </w:tcBorders>
            <w:noWrap w:val="0"/>
            <w:vAlign w:val="center"/>
          </w:tcPr>
          <w:p w14:paraId="12EE9AF1">
            <w:pPr>
              <w:spacing w:line="300" w:lineRule="exact"/>
              <w:jc w:val="center"/>
              <w:rPr>
                <w:color w:val="auto"/>
                <w:szCs w:val="21"/>
                <w:highlight w:val="none"/>
              </w:rPr>
            </w:pPr>
            <w:r>
              <w:rPr>
                <w:rFonts w:hint="eastAsia"/>
                <w:color w:val="auto"/>
                <w:szCs w:val="21"/>
                <w:highlight w:val="none"/>
              </w:rPr>
              <w:t>联合体</w:t>
            </w:r>
          </w:p>
        </w:tc>
        <w:tc>
          <w:tcPr>
            <w:tcW w:w="6801" w:type="dxa"/>
            <w:tcBorders>
              <w:top w:val="single" w:color="auto" w:sz="4" w:space="0"/>
              <w:left w:val="single" w:color="auto" w:sz="4" w:space="0"/>
              <w:right w:val="single" w:color="auto" w:sz="4" w:space="0"/>
            </w:tcBorders>
            <w:noWrap w:val="0"/>
            <w:vAlign w:val="center"/>
          </w:tcPr>
          <w:p w14:paraId="3C9FCB1B">
            <w:pPr>
              <w:spacing w:line="300" w:lineRule="exact"/>
              <w:jc w:val="left"/>
              <w:rPr>
                <w:color w:val="auto"/>
                <w:szCs w:val="21"/>
                <w:highlight w:val="none"/>
              </w:rPr>
            </w:pPr>
            <w:r>
              <w:rPr>
                <w:rFonts w:hint="eastAsia"/>
                <w:color w:val="auto"/>
                <w:szCs w:val="21"/>
                <w:highlight w:val="none"/>
              </w:rPr>
              <w:t>是否接受联合体详见招标公告</w:t>
            </w:r>
            <w:bookmarkEnd w:id="114"/>
          </w:p>
        </w:tc>
      </w:tr>
      <w:tr w14:paraId="16543F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auto" w:sz="4" w:space="0"/>
              <w:left w:val="single" w:color="auto" w:sz="4" w:space="0"/>
              <w:bottom w:val="single" w:color="auto" w:sz="4" w:space="0"/>
              <w:right w:val="single" w:color="auto" w:sz="4" w:space="0"/>
            </w:tcBorders>
            <w:noWrap w:val="0"/>
            <w:vAlign w:val="center"/>
          </w:tcPr>
          <w:p w14:paraId="2CA04C7F">
            <w:pPr>
              <w:spacing w:line="300" w:lineRule="exact"/>
              <w:jc w:val="center"/>
              <w:rPr>
                <w:b/>
                <w:color w:val="auto"/>
                <w:szCs w:val="21"/>
                <w:highlight w:val="none"/>
              </w:rPr>
            </w:pPr>
            <w:r>
              <w:rPr>
                <w:b/>
                <w:color w:val="auto"/>
                <w:szCs w:val="21"/>
                <w:highlight w:val="none"/>
              </w:rPr>
              <w:t>1.6</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5EB5A4C3">
            <w:pPr>
              <w:spacing w:line="300" w:lineRule="exact"/>
              <w:jc w:val="center"/>
              <w:rPr>
                <w:color w:val="auto"/>
                <w:szCs w:val="21"/>
                <w:highlight w:val="none"/>
              </w:rPr>
            </w:pPr>
            <w:r>
              <w:rPr>
                <w:rFonts w:hint="eastAsia"/>
                <w:color w:val="auto"/>
                <w:szCs w:val="21"/>
                <w:highlight w:val="none"/>
              </w:rPr>
              <w:t>踏勘</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0BAD0E83">
            <w:pPr>
              <w:spacing w:line="300" w:lineRule="exact"/>
              <w:jc w:val="left"/>
              <w:rPr>
                <w:color w:val="auto"/>
                <w:szCs w:val="21"/>
                <w:highlight w:val="none"/>
              </w:rPr>
            </w:pPr>
            <w:r>
              <w:rPr>
                <w:rFonts w:ascii="Wingdings 2" w:hAnsi="Wingdings 2" w:eastAsia="Wingdings 2" w:cs="Wingdings 2"/>
                <w:color w:val="auto"/>
                <w:szCs w:val="21"/>
                <w:highlight w:val="none"/>
              </w:rPr>
              <w:t>R</w:t>
            </w:r>
            <w:r>
              <w:rPr>
                <w:rFonts w:hint="eastAsia"/>
                <w:color w:val="auto"/>
                <w:szCs w:val="21"/>
                <w:highlight w:val="none"/>
              </w:rPr>
              <w:t>否   □是</w:t>
            </w:r>
          </w:p>
          <w:p w14:paraId="5F8FDEA5">
            <w:pPr>
              <w:rPr>
                <w:color w:val="auto"/>
                <w:szCs w:val="21"/>
                <w:highlight w:val="none"/>
                <w:u w:val="single"/>
              </w:rPr>
            </w:pPr>
            <w:r>
              <w:rPr>
                <w:rFonts w:hint="eastAsia"/>
                <w:color w:val="auto"/>
                <w:szCs w:val="21"/>
                <w:highlight w:val="none"/>
              </w:rPr>
              <w:t xml:space="preserve">踏勘时间： </w:t>
            </w:r>
            <w:r>
              <w:rPr>
                <w:rFonts w:hint="eastAsia"/>
                <w:color w:val="auto"/>
                <w:szCs w:val="21"/>
                <w:highlight w:val="none"/>
                <w:u w:val="single"/>
              </w:rPr>
              <w:t xml:space="preserve">  \ </w:t>
            </w:r>
          </w:p>
          <w:p w14:paraId="06B20222">
            <w:pPr>
              <w:rPr>
                <w:color w:val="auto"/>
                <w:szCs w:val="21"/>
                <w:highlight w:val="none"/>
                <w:u w:val="single"/>
              </w:rPr>
            </w:pPr>
            <w:r>
              <w:rPr>
                <w:rFonts w:hint="eastAsia"/>
                <w:color w:val="auto"/>
                <w:szCs w:val="21"/>
                <w:highlight w:val="none"/>
              </w:rPr>
              <w:t xml:space="preserve">踏勘地点： </w:t>
            </w:r>
            <w:r>
              <w:rPr>
                <w:rFonts w:hint="eastAsia"/>
                <w:color w:val="auto"/>
                <w:szCs w:val="21"/>
                <w:highlight w:val="none"/>
                <w:u w:val="single"/>
              </w:rPr>
              <w:t xml:space="preserve"> </w:t>
            </w:r>
            <w:r>
              <w:rPr>
                <w:color w:val="auto"/>
                <w:szCs w:val="21"/>
                <w:highlight w:val="none"/>
                <w:u w:val="single"/>
              </w:rPr>
              <w:t>\</w:t>
            </w:r>
            <w:r>
              <w:rPr>
                <w:rFonts w:hint="eastAsia"/>
                <w:color w:val="auto"/>
                <w:szCs w:val="21"/>
                <w:highlight w:val="none"/>
                <w:u w:val="single"/>
              </w:rPr>
              <w:t xml:space="preserve">  </w:t>
            </w:r>
          </w:p>
          <w:p w14:paraId="6B9CDE08">
            <w:pPr>
              <w:spacing w:line="300" w:lineRule="exact"/>
              <w:jc w:val="left"/>
              <w:rPr>
                <w:color w:val="auto"/>
                <w:szCs w:val="21"/>
                <w:highlight w:val="none"/>
              </w:rPr>
            </w:pPr>
            <w:r>
              <w:rPr>
                <w:rFonts w:hint="eastAsia"/>
                <w:color w:val="auto"/>
                <w:szCs w:val="21"/>
                <w:highlight w:val="none"/>
              </w:rPr>
              <w:t xml:space="preserve">踏勘要求： </w:t>
            </w:r>
            <w:r>
              <w:rPr>
                <w:rFonts w:hint="eastAsia"/>
                <w:color w:val="auto"/>
                <w:szCs w:val="21"/>
                <w:highlight w:val="none"/>
                <w:u w:val="single"/>
              </w:rPr>
              <w:t xml:space="preserve"> </w:t>
            </w:r>
            <w:r>
              <w:rPr>
                <w:color w:val="auto"/>
                <w:szCs w:val="21"/>
                <w:highlight w:val="none"/>
                <w:u w:val="single"/>
              </w:rPr>
              <w:t>\</w:t>
            </w:r>
            <w:r>
              <w:rPr>
                <w:rFonts w:hint="eastAsia"/>
                <w:color w:val="auto"/>
                <w:szCs w:val="21"/>
                <w:highlight w:val="none"/>
                <w:u w:val="single"/>
              </w:rPr>
              <w:t xml:space="preserve">   </w:t>
            </w:r>
            <w:r>
              <w:rPr>
                <w:rFonts w:hint="eastAsia"/>
                <w:color w:val="auto"/>
                <w:szCs w:val="21"/>
                <w:highlight w:val="none"/>
              </w:rPr>
              <w:t xml:space="preserve">    </w:t>
            </w:r>
          </w:p>
        </w:tc>
      </w:tr>
      <w:tr w14:paraId="07675E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auto" w:sz="4" w:space="0"/>
              <w:left w:val="single" w:color="auto" w:sz="4" w:space="0"/>
              <w:bottom w:val="single" w:color="auto" w:sz="4" w:space="0"/>
              <w:right w:val="single" w:color="auto" w:sz="4" w:space="0"/>
            </w:tcBorders>
            <w:noWrap w:val="0"/>
            <w:vAlign w:val="center"/>
          </w:tcPr>
          <w:p w14:paraId="40C33520">
            <w:pPr>
              <w:spacing w:line="300" w:lineRule="exact"/>
              <w:jc w:val="center"/>
              <w:rPr>
                <w:b/>
                <w:color w:val="auto"/>
                <w:szCs w:val="21"/>
                <w:highlight w:val="none"/>
              </w:rPr>
            </w:pPr>
            <w:r>
              <w:rPr>
                <w:b/>
                <w:color w:val="auto"/>
                <w:szCs w:val="21"/>
                <w:highlight w:val="none"/>
              </w:rPr>
              <w:t>1.7.2</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998F6E5">
            <w:pPr>
              <w:spacing w:line="300" w:lineRule="exact"/>
              <w:jc w:val="center"/>
              <w:rPr>
                <w:color w:val="auto"/>
                <w:szCs w:val="21"/>
                <w:highlight w:val="none"/>
              </w:rPr>
            </w:pPr>
            <w:r>
              <w:rPr>
                <w:color w:val="auto"/>
                <w:szCs w:val="21"/>
                <w:highlight w:val="none"/>
              </w:rPr>
              <w:t>分包</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41C7BE84">
            <w:pPr>
              <w:spacing w:line="300" w:lineRule="exact"/>
              <w:jc w:val="left"/>
              <w:rPr>
                <w:color w:val="auto"/>
                <w:szCs w:val="21"/>
                <w:highlight w:val="none"/>
              </w:rPr>
            </w:pPr>
            <w:r>
              <w:rPr>
                <w:rFonts w:hint="eastAsia"/>
                <w:color w:val="auto"/>
                <w:szCs w:val="21"/>
                <w:highlight w:val="none"/>
              </w:rPr>
              <w:t>不接受分包</w:t>
            </w:r>
          </w:p>
        </w:tc>
      </w:tr>
      <w:tr w14:paraId="1E15F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auto" w:sz="4" w:space="0"/>
              <w:left w:val="single" w:color="auto" w:sz="4" w:space="0"/>
              <w:bottom w:val="single" w:color="auto" w:sz="4" w:space="0"/>
              <w:right w:val="single" w:color="auto" w:sz="4" w:space="0"/>
            </w:tcBorders>
            <w:noWrap w:val="0"/>
            <w:vAlign w:val="center"/>
          </w:tcPr>
          <w:p w14:paraId="2E7DEC38">
            <w:pPr>
              <w:spacing w:line="300" w:lineRule="exact"/>
              <w:jc w:val="center"/>
              <w:rPr>
                <w:b/>
                <w:color w:val="auto"/>
                <w:szCs w:val="21"/>
                <w:highlight w:val="none"/>
              </w:rPr>
            </w:pPr>
            <w:r>
              <w:rPr>
                <w:rFonts w:hint="eastAsia"/>
                <w:b/>
                <w:color w:val="auto"/>
                <w:szCs w:val="21"/>
                <w:highlight w:val="none"/>
                <w:lang w:val="en-US" w:eastAsia="zh-CN"/>
              </w:rPr>
              <w:t>1.9</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8943079">
            <w:pPr>
              <w:spacing w:line="300" w:lineRule="exact"/>
              <w:jc w:val="center"/>
              <w:rPr>
                <w:color w:val="auto"/>
                <w:szCs w:val="21"/>
                <w:highlight w:val="none"/>
              </w:rPr>
            </w:pPr>
            <w:r>
              <w:rPr>
                <w:rFonts w:hint="eastAsia"/>
                <w:color w:val="auto"/>
                <w:szCs w:val="21"/>
                <w:highlight w:val="none"/>
              </w:rPr>
              <w:t>支持本国产品</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61C8F5A4">
            <w:pPr>
              <w:spacing w:line="300" w:lineRule="exact"/>
              <w:jc w:val="left"/>
              <w:rPr>
                <w:rFonts w:hint="eastAsia"/>
                <w:color w:val="auto"/>
                <w:szCs w:val="21"/>
                <w:highlight w:val="none"/>
              </w:rPr>
            </w:pPr>
            <w:r>
              <w:rPr>
                <w:rFonts w:hint="eastAsia"/>
                <w:color w:val="auto"/>
                <w:szCs w:val="21"/>
                <w:highlight w:val="none"/>
                <w:lang w:eastAsia="zh-CN"/>
              </w:rPr>
              <w:t>☑</w:t>
            </w:r>
            <w:r>
              <w:rPr>
                <w:rFonts w:hint="eastAsia"/>
                <w:color w:val="auto"/>
                <w:szCs w:val="21"/>
                <w:highlight w:val="none"/>
              </w:rPr>
              <w:t>适用</w:t>
            </w:r>
          </w:p>
          <w:p w14:paraId="6E42B08B">
            <w:pPr>
              <w:spacing w:line="300" w:lineRule="exact"/>
              <w:jc w:val="left"/>
              <w:rPr>
                <w:rFonts w:hint="eastAsia"/>
                <w:color w:val="auto"/>
                <w:szCs w:val="21"/>
                <w:highlight w:val="none"/>
              </w:rPr>
            </w:pPr>
            <w:r>
              <w:rPr>
                <w:rFonts w:hint="eastAsia"/>
                <w:color w:val="auto"/>
                <w:szCs w:val="21"/>
                <w:highlight w:val="none"/>
              </w:rPr>
              <w:t>□不适用</w:t>
            </w:r>
          </w:p>
        </w:tc>
      </w:tr>
      <w:tr w14:paraId="49228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auto" w:sz="4" w:space="0"/>
              <w:left w:val="single" w:color="auto" w:sz="4" w:space="0"/>
              <w:bottom w:val="single" w:color="auto" w:sz="4" w:space="0"/>
              <w:right w:val="single" w:color="auto" w:sz="4" w:space="0"/>
            </w:tcBorders>
            <w:noWrap w:val="0"/>
            <w:vAlign w:val="center"/>
          </w:tcPr>
          <w:p w14:paraId="2717E32F">
            <w:pPr>
              <w:spacing w:line="300" w:lineRule="exact"/>
              <w:jc w:val="center"/>
              <w:rPr>
                <w:b/>
                <w:color w:val="auto"/>
                <w:szCs w:val="21"/>
                <w:highlight w:val="none"/>
              </w:rPr>
            </w:pPr>
            <w:r>
              <w:rPr>
                <w:b/>
                <w:color w:val="auto"/>
                <w:szCs w:val="21"/>
                <w:highlight w:val="none"/>
              </w:rPr>
              <w:t>2.3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52EDEAD">
            <w:pPr>
              <w:spacing w:line="300" w:lineRule="exact"/>
              <w:jc w:val="center"/>
              <w:rPr>
                <w:color w:val="auto"/>
                <w:szCs w:val="21"/>
                <w:highlight w:val="none"/>
              </w:rPr>
            </w:pPr>
            <w:r>
              <w:rPr>
                <w:color w:val="auto"/>
                <w:szCs w:val="21"/>
                <w:highlight w:val="none"/>
              </w:rPr>
              <w:t>招标文件澄清、修改</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7BA9D4AE">
            <w:pPr>
              <w:spacing w:line="300" w:lineRule="exact"/>
              <w:jc w:val="left"/>
              <w:rPr>
                <w:color w:val="auto"/>
                <w:szCs w:val="21"/>
                <w:highlight w:val="none"/>
              </w:rPr>
            </w:pPr>
            <w:r>
              <w:rPr>
                <w:color w:val="auto"/>
                <w:szCs w:val="21"/>
                <w:highlight w:val="none"/>
              </w:rPr>
              <w:t>在招标公告发布媒介发布</w:t>
            </w:r>
            <w:r>
              <w:rPr>
                <w:rFonts w:hint="eastAsia"/>
                <w:color w:val="auto"/>
                <w:szCs w:val="21"/>
                <w:highlight w:val="none"/>
              </w:rPr>
              <w:t>。</w:t>
            </w:r>
          </w:p>
        </w:tc>
      </w:tr>
      <w:tr w14:paraId="2A025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01FCE8EA">
            <w:pPr>
              <w:spacing w:line="300" w:lineRule="exact"/>
              <w:jc w:val="center"/>
              <w:rPr>
                <w:b/>
                <w:color w:val="auto"/>
                <w:szCs w:val="21"/>
                <w:highlight w:val="none"/>
              </w:rPr>
            </w:pPr>
            <w:r>
              <w:rPr>
                <w:b/>
                <w:color w:val="auto"/>
                <w:szCs w:val="21"/>
                <w:highlight w:val="none"/>
              </w:rPr>
              <w:t>2.3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2BB0D192">
            <w:pPr>
              <w:spacing w:line="300" w:lineRule="exact"/>
              <w:jc w:val="center"/>
              <w:rPr>
                <w:color w:val="auto"/>
                <w:szCs w:val="21"/>
                <w:highlight w:val="none"/>
              </w:rPr>
            </w:pPr>
            <w:r>
              <w:rPr>
                <w:color w:val="auto"/>
                <w:szCs w:val="21"/>
                <w:highlight w:val="none"/>
              </w:rPr>
              <w:t>确认收到澄清、修改发布的方式</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21D5723B">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自招标</w:t>
            </w:r>
            <w:r>
              <w:rPr>
                <w:color w:val="auto"/>
                <w:szCs w:val="21"/>
                <w:highlight w:val="none"/>
              </w:rPr>
              <w:t>公告发布媒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招标</w:t>
            </w:r>
            <w:r>
              <w:rPr>
                <w:color w:val="auto"/>
                <w:szCs w:val="21"/>
                <w:highlight w:val="none"/>
              </w:rPr>
              <w:t>公告发布媒</w:t>
            </w:r>
            <w:r>
              <w:rPr>
                <w:rFonts w:hint="eastAsia"/>
                <w:color w:val="auto"/>
                <w:szCs w:val="21"/>
                <w:highlight w:val="none"/>
              </w:rPr>
              <w:t>体</w:t>
            </w:r>
            <w:r>
              <w:rPr>
                <w:color w:val="auto"/>
                <w:szCs w:val="21"/>
                <w:highlight w:val="none"/>
              </w:rPr>
              <w:t>造成的损失，由供应商自行负责。</w:t>
            </w:r>
          </w:p>
        </w:tc>
      </w:tr>
      <w:tr w14:paraId="14D6E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21C5A776">
            <w:pPr>
              <w:spacing w:line="300" w:lineRule="exact"/>
              <w:jc w:val="center"/>
              <w:rPr>
                <w:b/>
                <w:color w:val="auto"/>
                <w:szCs w:val="21"/>
                <w:highlight w:val="none"/>
              </w:rPr>
            </w:pPr>
            <w:r>
              <w:rPr>
                <w:b/>
                <w:color w:val="auto"/>
                <w:szCs w:val="21"/>
                <w:highlight w:val="none"/>
              </w:rPr>
              <w:t>3.4.1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228B4B8D">
            <w:pPr>
              <w:spacing w:line="300" w:lineRule="exact"/>
              <w:jc w:val="center"/>
              <w:rPr>
                <w:color w:val="auto"/>
                <w:szCs w:val="21"/>
                <w:highlight w:val="none"/>
              </w:rPr>
            </w:pPr>
            <w:r>
              <w:rPr>
                <w:color w:val="auto"/>
                <w:szCs w:val="21"/>
                <w:highlight w:val="none"/>
              </w:rPr>
              <w:t>投标有效期</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10A36EEA">
            <w:pPr>
              <w:spacing w:line="300" w:lineRule="exact"/>
              <w:jc w:val="left"/>
              <w:rPr>
                <w:color w:val="auto"/>
                <w:szCs w:val="21"/>
                <w:highlight w:val="none"/>
              </w:rPr>
            </w:pPr>
            <w:r>
              <w:rPr>
                <w:color w:val="auto"/>
                <w:szCs w:val="21"/>
                <w:highlight w:val="none"/>
              </w:rPr>
              <w:t>投标截止之日起</w:t>
            </w:r>
            <w:r>
              <w:rPr>
                <w:rFonts w:hint="eastAsia"/>
                <w:color w:val="auto"/>
                <w:szCs w:val="21"/>
                <w:highlight w:val="none"/>
                <w:lang w:val="en-US" w:eastAsia="zh-CN"/>
              </w:rPr>
              <w:t>90</w:t>
            </w:r>
            <w:r>
              <w:rPr>
                <w:color w:val="auto"/>
                <w:szCs w:val="21"/>
                <w:highlight w:val="none"/>
              </w:rPr>
              <w:t>天。</w:t>
            </w:r>
          </w:p>
        </w:tc>
      </w:tr>
      <w:tr w14:paraId="2298A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auto" w:sz="4" w:space="0"/>
              <w:left w:val="single" w:color="auto" w:sz="4" w:space="0"/>
              <w:bottom w:val="single" w:color="auto" w:sz="4" w:space="0"/>
              <w:right w:val="single" w:color="auto" w:sz="4" w:space="0"/>
            </w:tcBorders>
            <w:noWrap w:val="0"/>
            <w:vAlign w:val="center"/>
          </w:tcPr>
          <w:p w14:paraId="78C953FE">
            <w:pPr>
              <w:spacing w:line="300" w:lineRule="exact"/>
              <w:jc w:val="center"/>
              <w:rPr>
                <w:b/>
                <w:color w:val="auto"/>
                <w:szCs w:val="21"/>
                <w:highlight w:val="none"/>
              </w:rPr>
            </w:pPr>
            <w:r>
              <w:rPr>
                <w:b/>
                <w:color w:val="auto"/>
                <w:szCs w:val="21"/>
                <w:highlight w:val="none"/>
              </w:rPr>
              <w:t>3.5</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C430651">
            <w:pPr>
              <w:spacing w:line="300" w:lineRule="exact"/>
              <w:jc w:val="center"/>
              <w:rPr>
                <w:color w:val="auto"/>
                <w:szCs w:val="21"/>
                <w:highlight w:val="none"/>
              </w:rPr>
            </w:pPr>
            <w:r>
              <w:rPr>
                <w:color w:val="auto"/>
                <w:szCs w:val="21"/>
                <w:highlight w:val="none"/>
              </w:rPr>
              <w:t>投标保证金</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5C7E2B12">
            <w:pPr>
              <w:spacing w:line="300" w:lineRule="exact"/>
              <w:jc w:val="left"/>
              <w:rPr>
                <w:b/>
                <w:bCs/>
                <w:color w:val="auto"/>
                <w:szCs w:val="21"/>
                <w:highlight w:val="none"/>
              </w:rPr>
            </w:pPr>
            <w:r>
              <w:rPr>
                <w:rFonts w:hint="eastAsia" w:hAnsi="宋体"/>
                <w:b/>
                <w:color w:val="auto"/>
                <w:szCs w:val="21"/>
                <w:highlight w:val="none"/>
                <w:shd w:val="clear" w:color="auto" w:fill="FFFFFF"/>
              </w:rPr>
              <w:t>本项目不收取投标保证金</w:t>
            </w:r>
          </w:p>
        </w:tc>
      </w:tr>
      <w:tr w14:paraId="0C19D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07" w:type="dxa"/>
            <w:tcBorders>
              <w:left w:val="single" w:color="auto" w:sz="4" w:space="0"/>
              <w:right w:val="single" w:color="auto" w:sz="4" w:space="0"/>
            </w:tcBorders>
            <w:noWrap w:val="0"/>
            <w:vAlign w:val="center"/>
          </w:tcPr>
          <w:p w14:paraId="18073D5C">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890" w:type="dxa"/>
            <w:tcBorders>
              <w:top w:val="single" w:color="auto" w:sz="4" w:space="0"/>
              <w:left w:val="single" w:color="auto" w:sz="4" w:space="0"/>
              <w:right w:val="single" w:color="auto" w:sz="4" w:space="0"/>
            </w:tcBorders>
            <w:noWrap w:val="0"/>
            <w:vAlign w:val="center"/>
          </w:tcPr>
          <w:p w14:paraId="3500E402">
            <w:pPr>
              <w:spacing w:line="300" w:lineRule="exact"/>
              <w:jc w:val="center"/>
              <w:rPr>
                <w:color w:val="auto"/>
                <w:szCs w:val="21"/>
                <w:highlight w:val="none"/>
              </w:rPr>
            </w:pPr>
            <w:r>
              <w:rPr>
                <w:rFonts w:hint="eastAsia"/>
                <w:color w:val="auto"/>
                <w:szCs w:val="21"/>
                <w:highlight w:val="none"/>
              </w:rPr>
              <w:t>投标文件的编制</w:t>
            </w:r>
          </w:p>
        </w:tc>
        <w:tc>
          <w:tcPr>
            <w:tcW w:w="6801" w:type="dxa"/>
            <w:tcBorders>
              <w:top w:val="single" w:color="auto" w:sz="4" w:space="0"/>
              <w:left w:val="single" w:color="auto" w:sz="4" w:space="0"/>
              <w:right w:val="single" w:color="auto" w:sz="4" w:space="0"/>
            </w:tcBorders>
            <w:noWrap w:val="0"/>
            <w:vAlign w:val="center"/>
          </w:tcPr>
          <w:p w14:paraId="2BE8897E">
            <w:pPr>
              <w:spacing w:line="300" w:lineRule="exact"/>
              <w:jc w:val="left"/>
              <w:rPr>
                <w:color w:val="auto"/>
                <w:szCs w:val="21"/>
                <w:highlight w:val="none"/>
              </w:rPr>
            </w:pPr>
            <w:r>
              <w:rPr>
                <w:rFonts w:hint="eastAsia" w:hAnsi="宋体"/>
                <w:color w:val="auto"/>
                <w:szCs w:val="21"/>
                <w:highlight w:val="none"/>
              </w:rPr>
              <w:t>投标文件应按第六章投标文件格式分别编制并使用下载的广西政府采购云平台投标客户端制作并上传。</w:t>
            </w:r>
          </w:p>
        </w:tc>
      </w:tr>
      <w:tr w14:paraId="6D85C3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68284DEC">
            <w:pPr>
              <w:spacing w:line="300" w:lineRule="exact"/>
              <w:jc w:val="center"/>
              <w:rPr>
                <w:b/>
                <w:color w:val="auto"/>
                <w:szCs w:val="21"/>
                <w:highlight w:val="none"/>
              </w:rPr>
            </w:pPr>
            <w:r>
              <w:rPr>
                <w:b/>
                <w:color w:val="auto"/>
                <w:szCs w:val="21"/>
                <w:highlight w:val="none"/>
              </w:rPr>
              <w:t>3.7</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453A4D3">
            <w:pPr>
              <w:spacing w:line="300" w:lineRule="exact"/>
              <w:jc w:val="center"/>
              <w:rPr>
                <w:color w:val="auto"/>
                <w:szCs w:val="21"/>
                <w:highlight w:val="none"/>
              </w:rPr>
            </w:pPr>
            <w:r>
              <w:rPr>
                <w:color w:val="auto"/>
                <w:szCs w:val="21"/>
                <w:highlight w:val="none"/>
              </w:rPr>
              <w:t>投标文件递交</w:t>
            </w:r>
            <w:r>
              <w:rPr>
                <w:rFonts w:hint="eastAsia"/>
                <w:color w:val="auto"/>
                <w:szCs w:val="21"/>
                <w:highlight w:val="none"/>
              </w:rPr>
              <w:t>截止时间及开标时间</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0C1BA7F6">
            <w:pPr>
              <w:spacing w:line="300" w:lineRule="exact"/>
              <w:jc w:val="left"/>
              <w:rPr>
                <w:color w:val="auto"/>
                <w:szCs w:val="21"/>
                <w:highlight w:val="none"/>
              </w:rPr>
            </w:pPr>
            <w:r>
              <w:rPr>
                <w:rFonts w:hint="eastAsia"/>
                <w:color w:val="auto"/>
                <w:szCs w:val="21"/>
                <w:highlight w:val="none"/>
              </w:rPr>
              <w:t>见招标公告要求。</w:t>
            </w:r>
          </w:p>
        </w:tc>
      </w:tr>
      <w:tr w14:paraId="0588A9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78C00D57">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224A4CB0">
            <w:pPr>
              <w:spacing w:line="300" w:lineRule="exact"/>
              <w:jc w:val="center"/>
              <w:rPr>
                <w:color w:val="auto"/>
                <w:szCs w:val="20"/>
                <w:highlight w:val="none"/>
              </w:rPr>
            </w:pPr>
            <w:r>
              <w:rPr>
                <w:rFonts w:hint="eastAsia"/>
                <w:color w:val="auto"/>
                <w:szCs w:val="21"/>
                <w:highlight w:val="none"/>
              </w:rPr>
              <w:t>备份投标文件</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001D8F13">
            <w:pPr>
              <w:spacing w:line="276" w:lineRule="auto"/>
              <w:rPr>
                <w:rFonts w:ascii="宋体" w:hAnsi="宋体"/>
                <w:color w:val="auto"/>
                <w:szCs w:val="21"/>
                <w:highlight w:val="none"/>
              </w:rPr>
            </w:pPr>
            <w:r>
              <w:rPr>
                <w:rFonts w:hint="eastAsia" w:ascii="宋体" w:hAnsi="宋体"/>
                <w:color w:val="auto"/>
                <w:szCs w:val="21"/>
                <w:highlight w:val="none"/>
              </w:rPr>
              <w:t>本项目</w:t>
            </w:r>
            <w:r>
              <w:rPr>
                <w:rFonts w:hint="eastAsia"/>
                <w:color w:val="auto"/>
                <w:szCs w:val="21"/>
                <w:highlight w:val="none"/>
              </w:rPr>
              <w:t xml:space="preserve"> ☑不接受</w:t>
            </w:r>
            <w:r>
              <w:rPr>
                <w:rFonts w:hint="eastAsia" w:ascii="宋体" w:hAnsi="宋体"/>
                <w:color w:val="auto"/>
                <w:szCs w:val="21"/>
                <w:highlight w:val="none"/>
              </w:rPr>
              <w:t>备份投标文件</w:t>
            </w:r>
          </w:p>
          <w:p w14:paraId="1986F8E7">
            <w:pPr>
              <w:spacing w:line="276" w:lineRule="auto"/>
              <w:rPr>
                <w:color w:val="auto"/>
                <w:sz w:val="22"/>
                <w:szCs w:val="22"/>
                <w:highlight w:val="none"/>
              </w:rPr>
            </w:pPr>
            <w:r>
              <w:rPr>
                <w:rFonts w:hint="eastAsia" w:ascii="宋体" w:hAnsi="宋体"/>
                <w:color w:val="auto"/>
                <w:szCs w:val="21"/>
                <w:highlight w:val="none"/>
              </w:rPr>
              <w:t>以广西政府采购云平台系统自动生成的备份文件为依据，当项目允许接受备份投标文件时，供应商才可以按规定上传备份投标文件。</w:t>
            </w:r>
          </w:p>
        </w:tc>
      </w:tr>
      <w:tr w14:paraId="27F91F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099605B6">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9FF1362">
            <w:pPr>
              <w:spacing w:line="300" w:lineRule="exact"/>
              <w:jc w:val="center"/>
              <w:rPr>
                <w:color w:val="auto"/>
                <w:szCs w:val="21"/>
                <w:highlight w:val="none"/>
              </w:rPr>
            </w:pPr>
            <w:r>
              <w:rPr>
                <w:rFonts w:hint="eastAsia"/>
                <w:color w:val="auto"/>
                <w:szCs w:val="20"/>
                <w:highlight w:val="none"/>
              </w:rPr>
              <w:t>演示</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63517E44">
            <w:pPr>
              <w:spacing w:line="276" w:lineRule="auto"/>
              <w:rPr>
                <w:color w:val="auto"/>
                <w:szCs w:val="21"/>
                <w:highlight w:val="none"/>
              </w:rPr>
            </w:pPr>
            <w:r>
              <w:rPr>
                <w:rFonts w:ascii="Wingdings 2" w:hAnsi="Wingdings 2" w:eastAsia="Wingdings 2" w:cs="Wingdings 2"/>
                <w:color w:val="auto"/>
                <w:sz w:val="22"/>
                <w:szCs w:val="22"/>
                <w:highlight w:val="none"/>
              </w:rPr>
              <w:t>R</w:t>
            </w:r>
            <w:r>
              <w:rPr>
                <w:rFonts w:hint="eastAsia"/>
                <w:color w:val="auto"/>
                <w:szCs w:val="21"/>
                <w:highlight w:val="none"/>
              </w:rPr>
              <w:t>否   □是</w:t>
            </w:r>
          </w:p>
          <w:p w14:paraId="7CB08E26">
            <w:pPr>
              <w:spacing w:line="276" w:lineRule="auto"/>
              <w:rPr>
                <w:color w:val="auto"/>
                <w:szCs w:val="21"/>
                <w:highlight w:val="none"/>
                <w:u w:val="single"/>
              </w:rPr>
            </w:pPr>
            <w:r>
              <w:rPr>
                <w:rFonts w:hint="eastAsia"/>
                <w:color w:val="auto"/>
                <w:szCs w:val="21"/>
                <w:highlight w:val="none"/>
              </w:rPr>
              <w:t>演示内容：</w:t>
            </w:r>
            <w:r>
              <w:rPr>
                <w:rFonts w:hint="eastAsia"/>
                <w:color w:val="auto"/>
                <w:szCs w:val="21"/>
                <w:highlight w:val="none"/>
                <w:u w:val="single"/>
              </w:rPr>
              <w:t xml:space="preserve"> </w:t>
            </w:r>
            <w:r>
              <w:rPr>
                <w:color w:val="auto"/>
                <w:szCs w:val="21"/>
                <w:highlight w:val="none"/>
                <w:u w:val="single"/>
              </w:rPr>
              <w:t xml:space="preserve">  \  </w:t>
            </w:r>
          </w:p>
          <w:p w14:paraId="2F218951">
            <w:pPr>
              <w:spacing w:line="276" w:lineRule="auto"/>
              <w:rPr>
                <w:color w:val="auto"/>
                <w:szCs w:val="21"/>
                <w:highlight w:val="none"/>
              </w:rPr>
            </w:pPr>
            <w:r>
              <w:rPr>
                <w:rFonts w:hint="eastAsia"/>
                <w:color w:val="auto"/>
                <w:szCs w:val="21"/>
                <w:highlight w:val="none"/>
              </w:rPr>
              <w:t>演示形式：</w:t>
            </w:r>
            <w:r>
              <w:rPr>
                <w:color w:val="auto"/>
                <w:szCs w:val="21"/>
                <w:highlight w:val="none"/>
              </w:rPr>
              <w:t xml:space="preserve"> </w:t>
            </w:r>
            <w:r>
              <w:rPr>
                <w:rFonts w:hint="eastAsia"/>
                <w:color w:val="auto"/>
                <w:szCs w:val="21"/>
                <w:highlight w:val="none"/>
                <w:u w:val="single"/>
              </w:rPr>
              <w:t xml:space="preserve"> </w:t>
            </w:r>
            <w:r>
              <w:rPr>
                <w:color w:val="auto"/>
                <w:szCs w:val="21"/>
                <w:highlight w:val="none"/>
                <w:u w:val="single"/>
              </w:rPr>
              <w:t xml:space="preserve">  \  </w:t>
            </w:r>
          </w:p>
        </w:tc>
      </w:tr>
      <w:tr w14:paraId="5D87C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6C7B6C34">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30308976">
            <w:pPr>
              <w:spacing w:line="300" w:lineRule="exact"/>
              <w:jc w:val="center"/>
              <w:rPr>
                <w:color w:val="auto"/>
                <w:szCs w:val="21"/>
                <w:highlight w:val="none"/>
              </w:rPr>
            </w:pPr>
            <w:r>
              <w:rPr>
                <w:rFonts w:hint="eastAsia"/>
                <w:color w:val="auto"/>
                <w:szCs w:val="20"/>
                <w:highlight w:val="none"/>
              </w:rPr>
              <w:t>样品</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77E83F05">
            <w:pPr>
              <w:spacing w:line="276" w:lineRule="auto"/>
              <w:rPr>
                <w:color w:val="auto"/>
                <w:szCs w:val="21"/>
                <w:highlight w:val="none"/>
              </w:rPr>
            </w:pPr>
            <w:r>
              <w:rPr>
                <w:rFonts w:ascii="Wingdings 2" w:hAnsi="Wingdings 2" w:eastAsia="Wingdings 2" w:cs="Wingdings 2"/>
                <w:color w:val="auto"/>
                <w:sz w:val="24"/>
                <w:highlight w:val="none"/>
              </w:rPr>
              <w:t>R</w:t>
            </w:r>
            <w:r>
              <w:rPr>
                <w:rFonts w:hint="eastAsia"/>
                <w:color w:val="auto"/>
                <w:szCs w:val="21"/>
                <w:highlight w:val="none"/>
              </w:rPr>
              <w:t>否   □是</w:t>
            </w:r>
          </w:p>
          <w:p w14:paraId="1F60D18F">
            <w:pPr>
              <w:spacing w:line="276" w:lineRule="auto"/>
              <w:rPr>
                <w:color w:val="auto"/>
                <w:szCs w:val="21"/>
                <w:highlight w:val="none"/>
                <w:u w:val="single"/>
              </w:rPr>
            </w:pPr>
            <w:r>
              <w:rPr>
                <w:rFonts w:hint="eastAsia"/>
                <w:color w:val="auto"/>
                <w:szCs w:val="21"/>
                <w:highlight w:val="none"/>
              </w:rPr>
              <w:t>样品制作的标准和要求：</w:t>
            </w:r>
            <w:r>
              <w:rPr>
                <w:rFonts w:hint="eastAsia"/>
                <w:color w:val="auto"/>
                <w:szCs w:val="21"/>
                <w:highlight w:val="none"/>
                <w:u w:val="single"/>
              </w:rPr>
              <w:t xml:space="preserve"> </w:t>
            </w:r>
            <w:r>
              <w:rPr>
                <w:color w:val="auto"/>
                <w:szCs w:val="21"/>
                <w:highlight w:val="none"/>
                <w:u w:val="single"/>
              </w:rPr>
              <w:t xml:space="preserve"> \ </w:t>
            </w:r>
          </w:p>
          <w:p w14:paraId="7C8E72C1">
            <w:pPr>
              <w:spacing w:line="276" w:lineRule="auto"/>
              <w:rPr>
                <w:color w:val="auto"/>
                <w:szCs w:val="21"/>
                <w:highlight w:val="none"/>
                <w:u w:val="single"/>
              </w:rPr>
            </w:pPr>
            <w:r>
              <w:rPr>
                <w:rFonts w:hint="eastAsia"/>
                <w:color w:val="auto"/>
                <w:szCs w:val="21"/>
                <w:highlight w:val="none"/>
              </w:rPr>
              <w:t>样品检测机构的要求：</w:t>
            </w:r>
            <w:r>
              <w:rPr>
                <w:rFonts w:hint="eastAsia"/>
                <w:color w:val="auto"/>
                <w:szCs w:val="21"/>
                <w:highlight w:val="none"/>
                <w:u w:val="single"/>
              </w:rPr>
              <w:t xml:space="preserve"> </w:t>
            </w:r>
            <w:r>
              <w:rPr>
                <w:color w:val="auto"/>
                <w:szCs w:val="21"/>
                <w:highlight w:val="none"/>
                <w:u w:val="single"/>
              </w:rPr>
              <w:t xml:space="preserve">\ </w:t>
            </w:r>
          </w:p>
          <w:p w14:paraId="6300D94A">
            <w:pPr>
              <w:spacing w:line="276" w:lineRule="auto"/>
              <w:rPr>
                <w:color w:val="auto"/>
                <w:szCs w:val="21"/>
                <w:highlight w:val="none"/>
                <w:u w:val="single"/>
              </w:rPr>
            </w:pPr>
            <w:r>
              <w:rPr>
                <w:rFonts w:hint="eastAsia"/>
                <w:color w:val="auto"/>
                <w:szCs w:val="21"/>
                <w:highlight w:val="none"/>
              </w:rPr>
              <w:t>检测内容：</w:t>
            </w:r>
            <w:r>
              <w:rPr>
                <w:rFonts w:hint="eastAsia"/>
                <w:color w:val="auto"/>
                <w:szCs w:val="21"/>
                <w:highlight w:val="none"/>
                <w:u w:val="single"/>
              </w:rPr>
              <w:t xml:space="preserve"> </w:t>
            </w:r>
            <w:r>
              <w:rPr>
                <w:color w:val="auto"/>
                <w:szCs w:val="21"/>
                <w:highlight w:val="none"/>
                <w:u w:val="single"/>
              </w:rPr>
              <w:t xml:space="preserve"> \    </w:t>
            </w:r>
          </w:p>
          <w:p w14:paraId="27184726">
            <w:pPr>
              <w:spacing w:line="300" w:lineRule="exact"/>
              <w:rPr>
                <w:color w:val="auto"/>
                <w:szCs w:val="21"/>
                <w:highlight w:val="none"/>
              </w:rPr>
            </w:pPr>
            <w:r>
              <w:rPr>
                <w:rFonts w:hint="eastAsia"/>
                <w:color w:val="auto"/>
                <w:szCs w:val="21"/>
                <w:highlight w:val="none"/>
              </w:rPr>
              <w:t>样品递交方式：</w:t>
            </w:r>
            <w:r>
              <w:rPr>
                <w:color w:val="auto"/>
                <w:szCs w:val="21"/>
                <w:highlight w:val="none"/>
                <w:u w:val="single"/>
              </w:rPr>
              <w:t xml:space="preserve">\  </w:t>
            </w:r>
            <w:r>
              <w:rPr>
                <w:color w:val="auto"/>
                <w:szCs w:val="21"/>
                <w:highlight w:val="none"/>
              </w:rPr>
              <w:t xml:space="preserve"> </w:t>
            </w:r>
          </w:p>
        </w:tc>
      </w:tr>
      <w:tr w14:paraId="682235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04F0C3E1">
            <w:pPr>
              <w:spacing w:line="300" w:lineRule="exact"/>
              <w:jc w:val="center"/>
              <w:rPr>
                <w:rFonts w:hint="eastAsia"/>
                <w:b/>
                <w:color w:val="auto"/>
                <w:szCs w:val="21"/>
                <w:highlight w:val="none"/>
              </w:rPr>
            </w:pPr>
            <w:r>
              <w:rPr>
                <w:rFonts w:hint="eastAsia"/>
                <w:b/>
                <w:color w:val="auto"/>
                <w:szCs w:val="21"/>
                <w:highlight w:val="none"/>
                <w:lang w:val="en-US" w:eastAsia="zh-CN"/>
              </w:rPr>
              <w:t>5.3.1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DB4C700">
            <w:pPr>
              <w:spacing w:line="300" w:lineRule="exact"/>
              <w:jc w:val="center"/>
              <w:rPr>
                <w:rFonts w:hint="eastAsia"/>
                <w:color w:val="auto"/>
                <w:szCs w:val="20"/>
                <w:highlight w:val="none"/>
              </w:rPr>
            </w:pPr>
            <w:r>
              <w:rPr>
                <w:rFonts w:hint="eastAsia" w:cs="Times New Roman"/>
                <w:color w:val="auto"/>
                <w:sz w:val="21"/>
                <w:szCs w:val="21"/>
                <w:highlight w:val="none"/>
                <w:lang w:val="en-US" w:eastAsia="zh-CN" w:bidi="ar-SA"/>
              </w:rPr>
              <w:t>信用查询规则</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16106574">
            <w:pPr>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采购人或者采购代理机构在资格审查结束前，对</w:t>
            </w:r>
            <w:r>
              <w:rPr>
                <w:rFonts w:hint="eastAsia" w:ascii="宋体" w:hAnsi="宋体"/>
                <w:color w:val="auto"/>
                <w:szCs w:val="21"/>
                <w:highlight w:val="none"/>
                <w:lang w:val="en-US" w:eastAsia="zh-CN"/>
              </w:rPr>
              <w:t>投标人</w:t>
            </w:r>
            <w:r>
              <w:rPr>
                <w:rFonts w:hint="eastAsia" w:ascii="宋体" w:hAnsi="宋体"/>
                <w:color w:val="auto"/>
                <w:szCs w:val="21"/>
                <w:highlight w:val="none"/>
                <w:lang w:eastAsia="zh-CN"/>
              </w:rPr>
              <w:t>进行信用查询。</w:t>
            </w:r>
          </w:p>
          <w:p w14:paraId="604B2B51">
            <w:pPr>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）查询渠道：</w:t>
            </w:r>
            <w:r>
              <w:rPr>
                <w:rFonts w:hint="eastAsia" w:ascii="宋体" w:hAnsi="宋体"/>
                <w:color w:val="auto"/>
                <w:szCs w:val="21"/>
                <w:highlight w:val="none"/>
                <w:lang w:val="en-US" w:eastAsia="zh-CN"/>
              </w:rPr>
              <w:t>广西政府采购云平台</w:t>
            </w:r>
            <w:r>
              <w:rPr>
                <w:rFonts w:hint="eastAsia" w:ascii="宋体" w:hAnsi="宋体"/>
                <w:color w:val="auto"/>
                <w:szCs w:val="21"/>
                <w:highlight w:val="none"/>
                <w:lang w:eastAsia="zh-CN"/>
              </w:rPr>
              <w:t>“信用中国”网站(www.creditchina.gov.cn) 、中国政府采购网(www.ccgp.gov.cn)</w:t>
            </w:r>
            <w:r>
              <w:rPr>
                <w:rFonts w:hint="eastAsia" w:ascii="宋体" w:hAnsi="宋体"/>
                <w:color w:val="auto"/>
                <w:szCs w:val="21"/>
                <w:highlight w:val="none"/>
                <w:lang w:val="en-US" w:eastAsia="zh-CN"/>
              </w:rPr>
              <w:t>链接入口</w:t>
            </w:r>
            <w:r>
              <w:rPr>
                <w:rFonts w:hint="eastAsia" w:ascii="宋体" w:hAnsi="宋体"/>
                <w:color w:val="auto"/>
                <w:szCs w:val="21"/>
                <w:highlight w:val="none"/>
                <w:lang w:eastAsia="zh-CN"/>
              </w:rPr>
              <w:t>。</w:t>
            </w:r>
          </w:p>
          <w:p w14:paraId="1F3E6E7B">
            <w:pPr>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）信用查询截止时点：</w:t>
            </w:r>
            <w:r>
              <w:rPr>
                <w:rFonts w:hint="eastAsia" w:ascii="宋体" w:hAnsi="宋体"/>
                <w:color w:val="auto"/>
                <w:szCs w:val="21"/>
                <w:highlight w:val="none"/>
                <w:lang w:val="en-US" w:eastAsia="zh-CN"/>
              </w:rPr>
              <w:t>资</w:t>
            </w:r>
            <w:r>
              <w:rPr>
                <w:rFonts w:hint="eastAsia" w:ascii="宋体" w:hAnsi="宋体"/>
                <w:color w:val="auto"/>
                <w:szCs w:val="21"/>
                <w:highlight w:val="none"/>
                <w:lang w:eastAsia="zh-CN"/>
              </w:rPr>
              <w:t>格审查结束前</w:t>
            </w:r>
          </w:p>
          <w:p w14:paraId="48DE0E4F">
            <w:pPr>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）查询记录和证据留存方式：在查询网站中直接截图查询记录，截图作为在“广西政府采购云”平台作为附件上传保存。</w:t>
            </w:r>
          </w:p>
          <w:p w14:paraId="77C7354A">
            <w:pPr>
              <w:spacing w:line="380" w:lineRule="exact"/>
              <w:rPr>
                <w:rFonts w:hint="eastAsia"/>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F013C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53FFBCDF">
            <w:pPr>
              <w:spacing w:line="380" w:lineRule="exact"/>
              <w:jc w:val="center"/>
              <w:rPr>
                <w:rFonts w:hint="default" w:ascii="宋体" w:hAnsi="宋体"/>
                <w:color w:val="auto"/>
                <w:szCs w:val="21"/>
                <w:highlight w:val="none"/>
                <w:lang w:val="en-US" w:eastAsia="zh-CN"/>
              </w:rPr>
            </w:pPr>
            <w:r>
              <w:rPr>
                <w:rFonts w:hint="eastAsia"/>
                <w:b/>
                <w:color w:val="auto"/>
                <w:szCs w:val="21"/>
                <w:highlight w:val="none"/>
                <w:lang w:val="en-US" w:eastAsia="zh-CN"/>
              </w:rPr>
              <w:t>6.3.2</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2E5C98C9">
            <w:pPr>
              <w:spacing w:line="380" w:lineRule="exact"/>
              <w:jc w:val="center"/>
              <w:rPr>
                <w:rFonts w:hint="eastAsia" w:ascii="宋体" w:hAnsi="宋体"/>
                <w:color w:val="auto"/>
                <w:szCs w:val="21"/>
                <w:highlight w:val="none"/>
                <w:lang w:val="en-US" w:eastAsia="zh-CN"/>
              </w:rPr>
            </w:pPr>
            <w:r>
              <w:rPr>
                <w:rFonts w:hint="eastAsia" w:ascii="宋体" w:hAnsi="宋体"/>
                <w:color w:val="auto"/>
                <w:szCs w:val="21"/>
                <w:highlight w:val="none"/>
                <w:lang w:eastAsia="zh-CN"/>
              </w:rPr>
              <w:t>政策性加分条件</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67EC4D76">
            <w:pPr>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符合节能环保等国家政策要求等</w:t>
            </w:r>
          </w:p>
        </w:tc>
      </w:tr>
      <w:tr w14:paraId="6144C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0DD4E2F3">
            <w:pPr>
              <w:spacing w:line="300" w:lineRule="exact"/>
              <w:jc w:val="center"/>
              <w:rPr>
                <w:rFonts w:hint="eastAsia"/>
                <w:b/>
                <w:color w:val="auto"/>
                <w:szCs w:val="21"/>
                <w:highlight w:val="none"/>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1F38E5BB">
            <w:pPr>
              <w:spacing w:line="300" w:lineRule="exact"/>
              <w:jc w:val="center"/>
              <w:rPr>
                <w:rFonts w:hint="eastAsia"/>
                <w:color w:val="auto"/>
                <w:szCs w:val="21"/>
                <w:highlight w:val="none"/>
                <w:lang w:val="en-US" w:eastAsia="zh-CN"/>
              </w:rPr>
            </w:pPr>
            <w:r>
              <w:rPr>
                <w:rFonts w:hint="eastAsia"/>
                <w:color w:val="auto"/>
                <w:szCs w:val="21"/>
                <w:highlight w:val="none"/>
                <w:lang w:val="en-US" w:eastAsia="zh-CN"/>
              </w:rPr>
              <w:t>异常低价审查</w:t>
            </w:r>
          </w:p>
          <w:p w14:paraId="499F6B81">
            <w:pPr>
              <w:spacing w:line="300" w:lineRule="exact"/>
              <w:jc w:val="center"/>
              <w:rPr>
                <w:rFonts w:hint="eastAsia"/>
                <w:color w:val="auto"/>
                <w:szCs w:val="20"/>
                <w:highlight w:val="none"/>
              </w:rPr>
            </w:pPr>
          </w:p>
        </w:tc>
        <w:tc>
          <w:tcPr>
            <w:tcW w:w="6801" w:type="dxa"/>
            <w:tcBorders>
              <w:top w:val="single" w:color="auto" w:sz="4" w:space="0"/>
              <w:left w:val="single" w:color="auto" w:sz="4" w:space="0"/>
              <w:bottom w:val="single" w:color="auto" w:sz="4" w:space="0"/>
              <w:right w:val="single" w:color="auto" w:sz="4" w:space="0"/>
            </w:tcBorders>
            <w:noWrap w:val="0"/>
            <w:vAlign w:val="center"/>
          </w:tcPr>
          <w:p w14:paraId="777AC612">
            <w:pPr>
              <w:spacing w:line="300" w:lineRule="exact"/>
              <w:jc w:val="left"/>
              <w:rPr>
                <w:rFonts w:hint="eastAsia"/>
                <w:color w:val="auto"/>
                <w:szCs w:val="21"/>
                <w:highlight w:val="none"/>
                <w:lang w:val="en-US" w:eastAsia="zh-CN"/>
              </w:rPr>
            </w:pPr>
            <w:r>
              <w:rPr>
                <w:rFonts w:hint="eastAsia"/>
                <w:color w:val="auto"/>
                <w:szCs w:val="21"/>
                <w:highlight w:val="none"/>
                <w:lang w:eastAsia="zh-CN"/>
              </w:rPr>
              <w:t>☑</w:t>
            </w:r>
            <w:r>
              <w:rPr>
                <w:rFonts w:hint="eastAsia"/>
                <w:color w:val="auto"/>
                <w:szCs w:val="21"/>
                <w:highlight w:val="none"/>
                <w:lang w:val="en-US" w:eastAsia="zh-CN"/>
              </w:rPr>
              <w:t>评审中出现下列情形之一的，评标委员会应当启动异常低价响应审查程序：</w:t>
            </w:r>
          </w:p>
          <w:p w14:paraId="76590446">
            <w:pPr>
              <w:spacing w:line="276" w:lineRule="auto"/>
              <w:rPr>
                <w:rFonts w:hint="default"/>
                <w:color w:val="auto"/>
                <w:szCs w:val="21"/>
                <w:highlight w:val="none"/>
                <w:lang w:val="en-US" w:eastAsia="zh-CN"/>
              </w:rPr>
            </w:pPr>
            <w:r>
              <w:rPr>
                <w:rFonts w:hint="eastAsia"/>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0F2A04F7">
            <w:pPr>
              <w:spacing w:line="276" w:lineRule="auto"/>
              <w:rPr>
                <w:rFonts w:hint="eastAsia"/>
                <w:color w:val="auto"/>
                <w:szCs w:val="21"/>
                <w:highlight w:val="none"/>
                <w:lang w:val="en-US" w:eastAsia="zh-CN"/>
              </w:rPr>
            </w:pPr>
            <w:r>
              <w:rPr>
                <w:rFonts w:hint="eastAsia"/>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339684C0">
            <w:pPr>
              <w:spacing w:line="276" w:lineRule="auto"/>
              <w:rPr>
                <w:rFonts w:hint="eastAsia"/>
                <w:color w:val="auto"/>
                <w:szCs w:val="21"/>
                <w:highlight w:val="none"/>
                <w:lang w:val="en-US" w:eastAsia="zh-CN"/>
              </w:rPr>
            </w:pPr>
            <w:r>
              <w:rPr>
                <w:rFonts w:hint="eastAsia"/>
                <w:color w:val="auto"/>
                <w:szCs w:val="21"/>
                <w:highlight w:val="none"/>
                <w:lang w:val="en-US" w:eastAsia="zh-CN"/>
              </w:rPr>
              <w:t>（3）投标（响应）报价低于采购项目最高限价45%的，即投标（响应）报价&lt;采购项目最高限价×45%；</w:t>
            </w:r>
          </w:p>
          <w:p w14:paraId="191074E0">
            <w:pPr>
              <w:spacing w:line="276" w:lineRule="auto"/>
              <w:rPr>
                <w:rFonts w:hint="eastAsia"/>
                <w:color w:val="auto"/>
                <w:szCs w:val="21"/>
                <w:highlight w:val="none"/>
                <w:lang w:val="en-US" w:eastAsia="zh-CN"/>
              </w:rPr>
            </w:pPr>
            <w:r>
              <w:rPr>
                <w:rFonts w:hint="eastAsia"/>
                <w:color w:val="auto"/>
                <w:szCs w:val="21"/>
                <w:highlight w:val="none"/>
                <w:lang w:val="en-US" w:eastAsia="zh-CN"/>
              </w:rPr>
              <w:t>（4）基于专业判断，认为供应商报价过低，有可能影响产品质量或者不能诚信履约的其他情形。</w:t>
            </w:r>
          </w:p>
          <w:p w14:paraId="0FA40AEA">
            <w:pPr>
              <w:pStyle w:val="20"/>
              <w:rPr>
                <w:rFonts w:hint="eastAsia"/>
                <w:color w:val="auto"/>
                <w:sz w:val="21"/>
                <w:szCs w:val="21"/>
                <w:highlight w:val="none"/>
                <w:lang w:val="en-US" w:eastAsia="zh-CN"/>
              </w:rPr>
            </w:pPr>
            <w:r>
              <w:rPr>
                <w:rFonts w:ascii="Wingdings 2" w:hAnsi="Wingdings 2" w:eastAsia="Wingdings 2" w:cs="Wingdings 2"/>
                <w:color w:val="auto"/>
                <w:sz w:val="21"/>
                <w:szCs w:val="21"/>
                <w:highlight w:val="none"/>
              </w:rPr>
              <w:t>£</w:t>
            </w:r>
            <w:r>
              <w:rPr>
                <w:rFonts w:hint="eastAsia"/>
                <w:color w:val="auto"/>
                <w:sz w:val="21"/>
                <w:szCs w:val="21"/>
                <w:highlight w:val="none"/>
                <w:lang w:val="en-US" w:eastAsia="zh-CN"/>
              </w:rPr>
              <w:t>评审中出现下列情形之一的，评标委员会应当启动异常低价响应审查程序</w:t>
            </w:r>
            <w:r>
              <w:rPr>
                <w:rFonts w:hint="eastAsia"/>
                <w:color w:val="auto"/>
                <w:sz w:val="21"/>
                <w:szCs w:val="21"/>
                <w:highlight w:val="none"/>
                <w:lang w:eastAsia="zh-CN"/>
              </w:rPr>
              <w:t>：</w:t>
            </w:r>
          </w:p>
          <w:p w14:paraId="3AC6CFD8">
            <w:pPr>
              <w:pStyle w:val="20"/>
              <w:rPr>
                <w:rFonts w:hint="default"/>
                <w:color w:val="auto"/>
                <w:sz w:val="21"/>
                <w:szCs w:val="21"/>
                <w:highlight w:val="none"/>
                <w:lang w:val="en-US" w:eastAsia="zh-CN"/>
              </w:rPr>
            </w:pPr>
            <w:r>
              <w:rPr>
                <w:rFonts w:hint="eastAsia"/>
                <w:color w:val="auto"/>
                <w:sz w:val="21"/>
                <w:szCs w:val="21"/>
                <w:highlight w:val="none"/>
                <w:lang w:val="en-US" w:eastAsia="zh-CN"/>
              </w:rPr>
              <w:t>（1）投标（响应）报价低于全部通过符合性审查供应商投标（响应）报价平均值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1BE1FB9C">
            <w:pPr>
              <w:pStyle w:val="20"/>
              <w:rPr>
                <w:rFonts w:hint="eastAsia"/>
                <w:color w:val="auto"/>
                <w:sz w:val="21"/>
                <w:szCs w:val="21"/>
                <w:highlight w:val="none"/>
                <w:lang w:val="en-US" w:eastAsia="zh-CN"/>
              </w:rPr>
            </w:pPr>
            <w:r>
              <w:rPr>
                <w:rFonts w:hint="eastAsia"/>
                <w:color w:val="auto"/>
                <w:sz w:val="21"/>
                <w:szCs w:val="21"/>
                <w:highlight w:val="none"/>
                <w:lang w:val="en-US" w:eastAsia="zh-CN"/>
              </w:rPr>
              <w:t>（2）投标（响应）报价低于通过符合性审查的次低报价供应商投标（响应）报价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 xml:space="preserve">  %的，即投标（响应）报价&lt;通过符合性审查的次低报价供应商投标（响应）报价×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43DC41CB">
            <w:pPr>
              <w:pStyle w:val="20"/>
              <w:rPr>
                <w:rFonts w:hint="eastAsia"/>
                <w:color w:val="auto"/>
                <w:sz w:val="21"/>
                <w:szCs w:val="21"/>
                <w:highlight w:val="none"/>
                <w:lang w:val="en-US" w:eastAsia="zh-CN"/>
              </w:rPr>
            </w:pPr>
            <w:r>
              <w:rPr>
                <w:rFonts w:hint="eastAsia"/>
                <w:color w:val="auto"/>
                <w:sz w:val="21"/>
                <w:szCs w:val="21"/>
                <w:highlight w:val="none"/>
                <w:lang w:val="en-US" w:eastAsia="zh-CN"/>
              </w:rPr>
              <w:t>（3）投标（响应）报价低于采购项目最高限价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39F394E0">
            <w:pPr>
              <w:pStyle w:val="20"/>
              <w:rPr>
                <w:rFonts w:hint="eastAsia"/>
                <w:color w:val="auto"/>
                <w:szCs w:val="21"/>
                <w:highlight w:val="none"/>
              </w:rPr>
            </w:pPr>
            <w:r>
              <w:rPr>
                <w:rFonts w:hint="eastAsia"/>
                <w:color w:val="auto"/>
                <w:sz w:val="21"/>
                <w:szCs w:val="21"/>
                <w:highlight w:val="none"/>
                <w:lang w:val="en-US" w:eastAsia="zh-CN"/>
              </w:rPr>
              <w:t>（4）评标委员会基于专业判断，认为供应商报价过低，有可能影响产品质量或者不能诚信履约的其他情形。</w:t>
            </w:r>
          </w:p>
        </w:tc>
      </w:tr>
      <w:tr w14:paraId="7AAFE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53033EF2">
            <w:pPr>
              <w:spacing w:line="300" w:lineRule="exact"/>
              <w:jc w:val="center"/>
              <w:rPr>
                <w:rFonts w:hint="eastAsia" w:eastAsia="宋体"/>
                <w:b/>
                <w:color w:val="auto"/>
                <w:szCs w:val="21"/>
                <w:highlight w:val="none"/>
                <w:lang w:eastAsia="zh-CN"/>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rFonts w:hint="eastAsia"/>
                <w:b/>
                <w:color w:val="auto"/>
                <w:szCs w:val="21"/>
                <w:highlight w:val="none"/>
                <w:lang w:val="en-US" w:eastAsia="zh-CN"/>
              </w:rPr>
              <w:t>6</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1C57903D">
            <w:pPr>
              <w:spacing w:line="300" w:lineRule="exact"/>
              <w:jc w:val="center"/>
              <w:rPr>
                <w:color w:val="auto"/>
                <w:szCs w:val="21"/>
                <w:highlight w:val="none"/>
              </w:rPr>
            </w:pPr>
            <w:r>
              <w:rPr>
                <w:rFonts w:hint="eastAsia"/>
                <w:color w:val="auto"/>
                <w:szCs w:val="21"/>
                <w:highlight w:val="none"/>
              </w:rPr>
              <w:t>相同品牌推荐方式</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705F1BA3">
            <w:pPr>
              <w:spacing w:line="276" w:lineRule="auto"/>
              <w:rPr>
                <w:rFonts w:hint="eastAsia"/>
                <w:color w:val="auto"/>
                <w:szCs w:val="21"/>
                <w:highlight w:val="none"/>
              </w:rPr>
            </w:pPr>
            <w:r>
              <w:rPr>
                <w:rFonts w:ascii="Wingdings 2" w:hAnsi="Wingdings 2" w:eastAsia="Wingdings 2" w:cs="Wingdings 2"/>
                <w:color w:val="auto"/>
                <w:sz w:val="22"/>
                <w:szCs w:val="22"/>
                <w:highlight w:val="none"/>
              </w:rPr>
              <w:t>R</w:t>
            </w:r>
            <w:r>
              <w:rPr>
                <w:rFonts w:hint="eastAsia"/>
                <w:color w:val="auto"/>
                <w:szCs w:val="21"/>
                <w:highlight w:val="none"/>
              </w:rPr>
              <w:t>采购人委托</w:t>
            </w:r>
            <w:r>
              <w:rPr>
                <w:rFonts w:hint="eastAsia"/>
                <w:color w:val="auto"/>
                <w:szCs w:val="21"/>
                <w:highlight w:val="none"/>
                <w:lang w:eastAsia="zh-CN"/>
              </w:rPr>
              <w:t>评标委员会</w:t>
            </w:r>
            <w:r>
              <w:rPr>
                <w:rFonts w:hint="eastAsia"/>
                <w:color w:val="auto"/>
                <w:szCs w:val="21"/>
                <w:highlight w:val="none"/>
              </w:rPr>
              <w:t>确定   □采购人确定</w:t>
            </w:r>
          </w:p>
          <w:p w14:paraId="11E23EEC">
            <w:pPr>
              <w:spacing w:line="276" w:lineRule="auto"/>
              <w:rPr>
                <w:rFonts w:hint="eastAsia"/>
                <w:color w:val="auto"/>
                <w:szCs w:val="21"/>
                <w:highlight w:val="none"/>
              </w:rPr>
            </w:pPr>
          </w:p>
        </w:tc>
      </w:tr>
      <w:tr w14:paraId="6022E5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17CEFB6C">
            <w:pPr>
              <w:spacing w:line="300" w:lineRule="exact"/>
              <w:jc w:val="center"/>
              <w:rPr>
                <w:b/>
                <w:color w:val="auto"/>
                <w:szCs w:val="21"/>
                <w:highlight w:val="none"/>
              </w:rPr>
            </w:pPr>
            <w:r>
              <w:rPr>
                <w:b/>
                <w:color w:val="auto"/>
                <w:szCs w:val="21"/>
                <w:highlight w:val="none"/>
              </w:rPr>
              <w:t>6.5</w:t>
            </w:r>
            <w:r>
              <w:rPr>
                <w:rFonts w:hint="eastAsia"/>
                <w:b/>
                <w:color w:val="auto"/>
                <w:szCs w:val="21"/>
                <w:highlight w:val="none"/>
              </w:rPr>
              <w:t>.1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2C50F3A5">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0CD5A689">
            <w:pPr>
              <w:spacing w:line="300" w:lineRule="exact"/>
              <w:jc w:val="left"/>
              <w:rPr>
                <w:color w:val="auto"/>
                <w:szCs w:val="21"/>
                <w:highlight w:val="none"/>
              </w:rPr>
            </w:pPr>
            <w:r>
              <w:rPr>
                <w:color w:val="auto"/>
                <w:szCs w:val="21"/>
                <w:highlight w:val="none"/>
              </w:rPr>
              <w:t>采购代理机构在采购人依法确认</w:t>
            </w:r>
            <w:r>
              <w:rPr>
                <w:rFonts w:hint="eastAsia"/>
                <w:color w:val="auto"/>
                <w:szCs w:val="21"/>
                <w:highlight w:val="none"/>
              </w:rPr>
              <w:t>中标供应商</w:t>
            </w:r>
            <w:r>
              <w:rPr>
                <w:color w:val="auto"/>
                <w:szCs w:val="21"/>
                <w:highlight w:val="none"/>
              </w:rPr>
              <w:t>后2个工作日内在招标公告发布的媒体上发布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5BE592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3F654BD0">
            <w:pPr>
              <w:spacing w:line="300" w:lineRule="exact"/>
              <w:jc w:val="center"/>
              <w:rPr>
                <w:b/>
                <w:color w:val="auto"/>
                <w:szCs w:val="21"/>
                <w:highlight w:val="none"/>
              </w:rPr>
            </w:pPr>
            <w:r>
              <w:rPr>
                <w:b/>
                <w:color w:val="auto"/>
                <w:szCs w:val="21"/>
                <w:highlight w:val="none"/>
              </w:rPr>
              <w:t>6.5.2</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06807A3">
            <w:pPr>
              <w:spacing w:line="300" w:lineRule="exact"/>
              <w:jc w:val="center"/>
              <w:rPr>
                <w:color w:val="auto"/>
                <w:szCs w:val="21"/>
                <w:highlight w:val="none"/>
              </w:rPr>
            </w:pPr>
            <w:r>
              <w:rPr>
                <w:rFonts w:hint="eastAsia"/>
                <w:color w:val="auto"/>
                <w:szCs w:val="21"/>
                <w:highlight w:val="none"/>
              </w:rPr>
              <w:t>中标通知书</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700DD92F">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中标通知书。</w:t>
            </w:r>
          </w:p>
          <w:p w14:paraId="3617A93C">
            <w:pPr>
              <w:spacing w:line="300" w:lineRule="exact"/>
              <w:jc w:val="left"/>
              <w:rPr>
                <w:color w:val="auto"/>
                <w:szCs w:val="21"/>
                <w:highlight w:val="none"/>
              </w:rPr>
            </w:pPr>
            <w:r>
              <w:rPr>
                <w:rFonts w:hint="eastAsia"/>
                <w:color w:val="auto"/>
                <w:szCs w:val="21"/>
                <w:highlight w:val="none"/>
              </w:rPr>
              <w:t>中标通知书在广西政府采购云平台推送之日起，视为中标供应商已收到，中标供应商自行承担未及时查收的后果。</w:t>
            </w:r>
          </w:p>
        </w:tc>
      </w:tr>
      <w:tr w14:paraId="26C6E9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6DD06DAC">
            <w:pPr>
              <w:spacing w:line="300" w:lineRule="exact"/>
              <w:jc w:val="center"/>
              <w:rPr>
                <w:b/>
                <w:color w:val="auto"/>
                <w:szCs w:val="21"/>
                <w:highlight w:val="none"/>
              </w:rPr>
            </w:pPr>
            <w:r>
              <w:rPr>
                <w:b/>
                <w:color w:val="auto"/>
                <w:szCs w:val="21"/>
                <w:highlight w:val="none"/>
              </w:rPr>
              <w:t>6.5.3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0A98715E">
            <w:pPr>
              <w:spacing w:line="300" w:lineRule="exact"/>
              <w:jc w:val="center"/>
              <w:rPr>
                <w:color w:val="auto"/>
                <w:szCs w:val="21"/>
                <w:highlight w:val="none"/>
              </w:rPr>
            </w:pPr>
            <w:r>
              <w:rPr>
                <w:rFonts w:hint="eastAsia"/>
                <w:color w:val="auto"/>
                <w:szCs w:val="21"/>
                <w:highlight w:val="none"/>
              </w:rPr>
              <w:t>招标结果通知书</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7AF1C009">
            <w:pPr>
              <w:spacing w:line="300" w:lineRule="exact"/>
              <w:jc w:val="left"/>
              <w:rPr>
                <w:color w:val="auto"/>
                <w:szCs w:val="21"/>
                <w:highlight w:val="none"/>
              </w:rPr>
            </w:pPr>
            <w:r>
              <w:rPr>
                <w:rFonts w:hint="eastAsia"/>
                <w:color w:val="auto"/>
                <w:szCs w:val="21"/>
                <w:highlight w:val="none"/>
              </w:rPr>
              <w:t>采购代理机构通过</w:t>
            </w:r>
            <w:r>
              <w:rPr>
                <w:rFonts w:ascii="Arial" w:hAnsi="Arial" w:cs="Arial"/>
                <w:color w:val="auto"/>
                <w:szCs w:val="21"/>
                <w:highlight w:val="none"/>
              </w:rPr>
              <w:t>广西政府采购云平台</w:t>
            </w:r>
            <w:r>
              <w:rPr>
                <w:rFonts w:hint="eastAsia"/>
                <w:color w:val="auto"/>
                <w:szCs w:val="21"/>
                <w:highlight w:val="none"/>
              </w:rPr>
              <w:t>发出招标结果</w:t>
            </w:r>
            <w:r>
              <w:rPr>
                <w:color w:val="auto"/>
                <w:szCs w:val="21"/>
                <w:highlight w:val="none"/>
              </w:rPr>
              <w:t>通知书</w:t>
            </w:r>
          </w:p>
          <w:p w14:paraId="47D3BD35">
            <w:pPr>
              <w:spacing w:line="300" w:lineRule="exact"/>
              <w:jc w:val="left"/>
              <w:rPr>
                <w:color w:val="auto"/>
                <w:szCs w:val="21"/>
                <w:highlight w:val="none"/>
              </w:rPr>
            </w:pPr>
            <w:r>
              <w:rPr>
                <w:rFonts w:hint="eastAsia"/>
                <w:color w:val="auto"/>
                <w:szCs w:val="21"/>
                <w:highlight w:val="none"/>
              </w:rPr>
              <w:t>招标结果通知书在广西政府采购云平台推送之日起，视为中标供应商已收到，中标供应商自行承担未及时查收的后果。</w:t>
            </w:r>
          </w:p>
        </w:tc>
      </w:tr>
      <w:tr w14:paraId="266C16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3FFD3D6B">
            <w:pPr>
              <w:spacing w:line="300" w:lineRule="exact"/>
              <w:jc w:val="center"/>
              <w:rPr>
                <w:b/>
                <w:color w:val="auto"/>
                <w:szCs w:val="21"/>
                <w:highlight w:val="none"/>
              </w:rPr>
            </w:pPr>
            <w:r>
              <w:rPr>
                <w:b/>
                <w:color w:val="auto"/>
                <w:szCs w:val="21"/>
                <w:highlight w:val="none"/>
              </w:rPr>
              <w:t>8.1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56212B6B">
            <w:pPr>
              <w:spacing w:line="300" w:lineRule="exact"/>
              <w:jc w:val="center"/>
              <w:rPr>
                <w:color w:val="auto"/>
                <w:szCs w:val="21"/>
                <w:highlight w:val="none"/>
              </w:rPr>
            </w:pPr>
            <w:r>
              <w:rPr>
                <w:rFonts w:hint="eastAsia"/>
                <w:color w:val="auto"/>
                <w:szCs w:val="21"/>
                <w:highlight w:val="none"/>
              </w:rPr>
              <w:t>质疑</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7E532D70">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招标文件</w:t>
            </w:r>
            <w:r>
              <w:rPr>
                <w:color w:val="auto"/>
                <w:szCs w:val="21"/>
                <w:highlight w:val="none"/>
              </w:rPr>
              <w:t>、</w:t>
            </w:r>
            <w:r>
              <w:rPr>
                <w:rFonts w:hint="eastAsia"/>
                <w:color w:val="auto"/>
                <w:szCs w:val="21"/>
                <w:highlight w:val="none"/>
              </w:rPr>
              <w:t>采购</w:t>
            </w:r>
            <w:r>
              <w:rPr>
                <w:color w:val="auto"/>
                <w:szCs w:val="21"/>
                <w:highlight w:val="none"/>
              </w:rPr>
              <w:t>过程、中标</w:t>
            </w:r>
            <w:r>
              <w:rPr>
                <w:rFonts w:hint="eastAsia"/>
                <w:color w:val="auto"/>
                <w:szCs w:val="21"/>
                <w:highlight w:val="none"/>
              </w:rPr>
              <w:t>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5C81C70C">
            <w:pPr>
              <w:spacing w:line="300" w:lineRule="exact"/>
              <w:jc w:val="left"/>
              <w:rPr>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，供应商可通过现场或邮寄方式递交书面质疑材料。供应商应于质疑有效期内将质疑函原件递交或邮寄至招标公告中采购代理机构信息中的联系人。</w:t>
            </w:r>
          </w:p>
        </w:tc>
      </w:tr>
      <w:tr w14:paraId="348B12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50FA7573">
            <w:pPr>
              <w:spacing w:line="300" w:lineRule="exact"/>
              <w:jc w:val="center"/>
              <w:rPr>
                <w:b/>
                <w:color w:val="auto"/>
                <w:szCs w:val="21"/>
                <w:highlight w:val="none"/>
              </w:rPr>
            </w:pPr>
            <w:r>
              <w:rPr>
                <w:b/>
                <w:color w:val="auto"/>
                <w:szCs w:val="21"/>
                <w:highlight w:val="none"/>
              </w:rPr>
              <w:t>9.1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41BB261B">
            <w:pPr>
              <w:spacing w:line="300" w:lineRule="exact"/>
              <w:jc w:val="center"/>
              <w:rPr>
                <w:color w:val="auto"/>
                <w:szCs w:val="21"/>
                <w:highlight w:val="none"/>
              </w:rPr>
            </w:pPr>
            <w:r>
              <w:rPr>
                <w:color w:val="auto"/>
                <w:szCs w:val="20"/>
                <w:highlight w:val="none"/>
              </w:rPr>
              <w:t>代理服务费</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7F9A1953">
            <w:pPr>
              <w:rPr>
                <w:color w:val="auto"/>
                <w:szCs w:val="21"/>
                <w:highlight w:val="none"/>
              </w:rPr>
            </w:pPr>
            <w:r>
              <w:rPr>
                <w:color w:val="auto"/>
                <w:szCs w:val="21"/>
                <w:highlight w:val="none"/>
              </w:rPr>
              <w:t>（1）</w:t>
            </w:r>
            <w:r>
              <w:rPr>
                <w:color w:val="auto"/>
                <w:szCs w:val="20"/>
                <w:highlight w:val="none"/>
              </w:rPr>
              <w:t>代理服务费</w:t>
            </w:r>
          </w:p>
          <w:p w14:paraId="393E958A">
            <w:pPr>
              <w:spacing w:line="300" w:lineRule="exact"/>
              <w:jc w:val="left"/>
              <w:rPr>
                <w:color w:val="auto"/>
                <w:szCs w:val="21"/>
                <w:highlight w:val="none"/>
              </w:rPr>
            </w:pPr>
            <w:r>
              <w:rPr>
                <w:rFonts w:ascii="Wingdings 2" w:hAnsi="Wingdings 2" w:eastAsia="Wingdings 2" w:cs="Wingdings 2"/>
                <w:color w:val="auto"/>
                <w:szCs w:val="21"/>
                <w:highlight w:val="none"/>
              </w:rPr>
              <w:t>R</w:t>
            </w:r>
            <w:r>
              <w:rPr>
                <w:color w:val="auto"/>
                <w:szCs w:val="21"/>
                <w:highlight w:val="none"/>
              </w:rPr>
              <w:t>采购代理机构向</w:t>
            </w:r>
            <w:r>
              <w:rPr>
                <w:rFonts w:hint="eastAsia"/>
                <w:color w:val="auto"/>
                <w:szCs w:val="21"/>
                <w:highlight w:val="none"/>
              </w:rPr>
              <w:t>中标供应商</w:t>
            </w:r>
            <w:r>
              <w:rPr>
                <w:color w:val="auto"/>
                <w:szCs w:val="21"/>
                <w:highlight w:val="none"/>
              </w:rPr>
              <w:t>收取代理服务费。本项目代理服务费</w:t>
            </w:r>
            <w:r>
              <w:rPr>
                <w:rFonts w:hint="eastAsia"/>
                <w:color w:val="auto"/>
                <w:szCs w:val="21"/>
                <w:highlight w:val="none"/>
              </w:rPr>
              <w:t>按照</w:t>
            </w:r>
            <w:r>
              <w:rPr>
                <w:color w:val="auto"/>
                <w:szCs w:val="21"/>
                <w:highlight w:val="none"/>
              </w:rPr>
              <w:t>《招标代理服务费管理暂行办法》 (计价格﹝2002﹞1980号)、《国家发展改革委关于降低部分建设项目收费标准规范收费行为等有关问题的通知》(</w:t>
            </w:r>
            <w:r>
              <w:rPr>
                <w:rFonts w:eastAsia="宋体"/>
                <w:color w:val="auto"/>
                <w:szCs w:val="21"/>
                <w:highlight w:val="none"/>
              </w:rPr>
              <w:t>发改价格﹝2011﹞534号)</w:t>
            </w:r>
            <w:r>
              <w:rPr>
                <w:rFonts w:hint="default" w:eastAsia="宋体"/>
                <w:color w:val="auto"/>
                <w:szCs w:val="21"/>
                <w:highlight w:val="none"/>
              </w:rPr>
              <w:t>的</w:t>
            </w:r>
            <w:r>
              <w:rPr>
                <w:rFonts w:eastAsia="宋体"/>
                <w:color w:val="auto"/>
                <w:szCs w:val="21"/>
                <w:highlight w:val="none"/>
              </w:rPr>
              <w:t>规定</w:t>
            </w:r>
            <w:r>
              <w:rPr>
                <w:rFonts w:hint="default" w:eastAsia="宋体"/>
                <w:color w:val="auto"/>
                <w:szCs w:val="21"/>
                <w:highlight w:val="none"/>
              </w:rPr>
              <w:t>采用</w:t>
            </w:r>
            <w:r>
              <w:rPr>
                <w:rFonts w:eastAsia="宋体"/>
                <w:color w:val="auto"/>
                <w:szCs w:val="21"/>
                <w:highlight w:val="none"/>
              </w:rPr>
              <w:t>差额定率累进</w:t>
            </w:r>
            <w:r>
              <w:rPr>
                <w:rFonts w:hint="default" w:eastAsia="宋体"/>
                <w:color w:val="auto"/>
                <w:szCs w:val="21"/>
                <w:highlight w:val="none"/>
              </w:rPr>
              <w:t xml:space="preserve">法下浮 </w:t>
            </w:r>
            <w:r>
              <w:rPr>
                <w:rFonts w:hint="eastAsia"/>
                <w:color w:val="auto"/>
                <w:szCs w:val="21"/>
                <w:highlight w:val="none"/>
                <w:lang w:val="en-US" w:eastAsia="zh-CN"/>
              </w:rPr>
              <w:t>1</w:t>
            </w:r>
            <w:r>
              <w:rPr>
                <w:rFonts w:hint="default" w:eastAsia="宋体"/>
                <w:color w:val="auto"/>
                <w:szCs w:val="21"/>
                <w:highlight w:val="none"/>
              </w:rPr>
              <w:t>0%</w:t>
            </w:r>
            <w:r>
              <w:rPr>
                <w:rFonts w:eastAsia="宋体"/>
                <w:color w:val="auto"/>
                <w:szCs w:val="21"/>
                <w:highlight w:val="none"/>
              </w:rPr>
              <w:t>计算</w:t>
            </w:r>
            <w:r>
              <w:rPr>
                <w:rFonts w:hint="eastAsia"/>
                <w:color w:val="auto"/>
                <w:szCs w:val="21"/>
                <w:highlight w:val="none"/>
              </w:rPr>
              <w:t>：</w:t>
            </w:r>
          </w:p>
          <w:p w14:paraId="47453CE9">
            <w:pPr>
              <w:spacing w:line="300" w:lineRule="exact"/>
              <w:jc w:val="left"/>
              <w:rPr>
                <w:color w:val="auto"/>
                <w:szCs w:val="21"/>
                <w:highlight w:val="none"/>
              </w:rPr>
            </w:pPr>
            <w:r>
              <w:rPr>
                <w:rFonts w:hint="eastAsia"/>
                <w:color w:val="auto"/>
                <w:szCs w:val="21"/>
                <w:highlight w:val="none"/>
              </w:rPr>
              <w:t>①招标金额在1</w:t>
            </w:r>
            <w:r>
              <w:rPr>
                <w:color w:val="auto"/>
                <w:szCs w:val="21"/>
                <w:highlight w:val="none"/>
              </w:rPr>
              <w:t>00</w:t>
            </w:r>
            <w:r>
              <w:rPr>
                <w:rFonts w:hint="eastAsia"/>
                <w:color w:val="auto"/>
                <w:szCs w:val="21"/>
                <w:highlight w:val="none"/>
              </w:rPr>
              <w:t>万元以下的：</w:t>
            </w:r>
          </w:p>
          <w:p w14:paraId="26A8CDF3">
            <w:pP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344E1DA6">
            <w:pPr>
              <w:spacing w:line="300" w:lineRule="exact"/>
              <w:jc w:val="left"/>
              <w:rPr>
                <w:color w:val="auto"/>
                <w:szCs w:val="21"/>
                <w:highlight w:val="none"/>
              </w:rPr>
            </w:pPr>
            <w:r>
              <w:rPr>
                <w:rFonts w:hint="eastAsia"/>
                <w:color w:val="auto"/>
                <w:szCs w:val="21"/>
                <w:highlight w:val="none"/>
              </w:rPr>
              <w:t>②招标金额在</w:t>
            </w:r>
            <w:r>
              <w:rPr>
                <w:color w:val="auto"/>
                <w:szCs w:val="21"/>
                <w:highlight w:val="none"/>
              </w:rPr>
              <w:t>100-500</w:t>
            </w:r>
            <w:r>
              <w:rPr>
                <w:rFonts w:hint="eastAsia"/>
                <w:color w:val="auto"/>
                <w:szCs w:val="21"/>
                <w:highlight w:val="none"/>
              </w:rPr>
              <w:t>万元之间：</w:t>
            </w:r>
          </w:p>
          <w:p w14:paraId="68ED9385">
            <w:pP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24C744E3">
            <w:pPr>
              <w:spacing w:line="300" w:lineRule="exact"/>
              <w:jc w:val="left"/>
              <w:rPr>
                <w:color w:val="auto"/>
                <w:szCs w:val="21"/>
                <w:highlight w:val="none"/>
              </w:rPr>
            </w:pPr>
            <w:r>
              <w:rPr>
                <w:rFonts w:hint="eastAsia"/>
                <w:color w:val="auto"/>
                <w:szCs w:val="21"/>
                <w:highlight w:val="none"/>
              </w:rPr>
              <w:t>③招标金额在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121485FA">
            <w:pP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1BA99BFA">
            <w:pPr>
              <w:spacing w:line="300" w:lineRule="exact"/>
              <w:jc w:val="left"/>
              <w:rPr>
                <w:color w:val="auto"/>
                <w:szCs w:val="21"/>
                <w:highlight w:val="none"/>
              </w:rPr>
            </w:pPr>
            <w:r>
              <w:rPr>
                <w:rFonts w:hint="eastAsia"/>
                <w:color w:val="auto"/>
                <w:szCs w:val="21"/>
                <w:highlight w:val="none"/>
              </w:rPr>
              <w:t>④招标金额在</w:t>
            </w:r>
            <w:r>
              <w:rPr>
                <w:color w:val="auto"/>
                <w:szCs w:val="21"/>
                <w:highlight w:val="none"/>
              </w:rPr>
              <w:t>1000-5000</w:t>
            </w:r>
            <w:r>
              <w:rPr>
                <w:rFonts w:hint="eastAsia"/>
                <w:color w:val="auto"/>
                <w:szCs w:val="21"/>
                <w:highlight w:val="none"/>
              </w:rPr>
              <w:t>万元之间：</w:t>
            </w:r>
          </w:p>
          <w:p w14:paraId="629C33C8">
            <w:pP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4925CBC8">
            <w:pPr>
              <w:spacing w:line="300" w:lineRule="exact"/>
              <w:jc w:val="left"/>
              <w:rPr>
                <w:color w:val="auto"/>
                <w:szCs w:val="21"/>
                <w:highlight w:val="none"/>
              </w:rPr>
            </w:pPr>
            <w:r>
              <w:rPr>
                <w:rFonts w:hint="eastAsia"/>
                <w:color w:val="auto"/>
                <w:szCs w:val="21"/>
                <w:highlight w:val="none"/>
              </w:rPr>
              <w:t>……</w:t>
            </w:r>
          </w:p>
          <w:p w14:paraId="0500DB53">
            <w:pP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2577B836">
            <w:pPr>
              <w:spacing w:line="300" w:lineRule="exact"/>
              <w:jc w:val="left"/>
              <w:rPr>
                <w:color w:val="auto"/>
                <w:szCs w:val="21"/>
                <w:highlight w:val="none"/>
              </w:rPr>
            </w:pPr>
            <w:r>
              <w:rPr>
                <w:color w:val="auto"/>
                <w:szCs w:val="21"/>
                <w:highlight w:val="none"/>
              </w:rPr>
              <w:t>例如：某货物招标代理业务成交金额为300万元，招标代理服务费金额按如下计算：</w:t>
            </w:r>
          </w:p>
          <w:p w14:paraId="4F5458DE">
            <w:pPr>
              <w:spacing w:line="300" w:lineRule="exact"/>
              <w:jc w:val="left"/>
              <w:rPr>
                <w:color w:val="auto"/>
                <w:szCs w:val="21"/>
                <w:highlight w:val="none"/>
              </w:rPr>
            </w:pPr>
            <w:r>
              <w:rPr>
                <w:color w:val="auto"/>
                <w:szCs w:val="21"/>
                <w:highlight w:val="none"/>
              </w:rPr>
              <w:t>100万元×1.5%＝1.5万元</w:t>
            </w:r>
          </w:p>
          <w:p w14:paraId="0127A191">
            <w:pPr>
              <w:spacing w:line="300" w:lineRule="exact"/>
              <w:jc w:val="left"/>
              <w:rPr>
                <w:color w:val="auto"/>
                <w:szCs w:val="21"/>
                <w:highlight w:val="none"/>
              </w:rPr>
            </w:pPr>
            <w:r>
              <w:rPr>
                <w:color w:val="auto"/>
                <w:szCs w:val="21"/>
                <w:highlight w:val="none"/>
              </w:rPr>
              <w:t>（300－100）万元×1.1%＝2.2万元</w:t>
            </w:r>
          </w:p>
          <w:p w14:paraId="71C0C0F6">
            <w:pPr>
              <w:keepNext w:val="0"/>
              <w:keepLines w:val="0"/>
              <w:widowControl/>
              <w:suppressLineNumbers w:val="0"/>
              <w:jc w:val="left"/>
              <w:rPr>
                <w:color w:val="auto"/>
                <w:highlight w:val="none"/>
              </w:rPr>
            </w:pPr>
            <w:r>
              <w:rPr>
                <w:color w:val="auto"/>
                <w:szCs w:val="21"/>
                <w:highlight w:val="none"/>
              </w:rPr>
              <w:t>合计收费＝</w:t>
            </w:r>
            <w:r>
              <w:rPr>
                <w:rFonts w:hint="eastAsia"/>
                <w:color w:val="auto"/>
                <w:szCs w:val="21"/>
                <w:highlight w:val="none"/>
                <w:lang w:eastAsia="zh-CN"/>
              </w:rPr>
              <w:t>（</w:t>
            </w:r>
            <w:r>
              <w:rPr>
                <w:color w:val="auto"/>
                <w:szCs w:val="21"/>
                <w:highlight w:val="none"/>
              </w:rPr>
              <w:t>1.5＋2.2</w:t>
            </w:r>
            <w:r>
              <w:rPr>
                <w:rFonts w:hint="eastAsia"/>
                <w:color w:val="auto"/>
                <w:szCs w:val="21"/>
                <w:highlight w:val="none"/>
                <w:lang w:eastAsia="zh-CN"/>
              </w:rPr>
              <w:t>）</w:t>
            </w:r>
            <w:r>
              <w:rPr>
                <w:rFonts w:ascii="HYShuSongErKW" w:hAnsi="HYShuSongErKW" w:eastAsia="HYShuSongErKW" w:cs="HYShuSongErKW"/>
                <w:color w:val="auto"/>
                <w:sz w:val="20"/>
                <w:szCs w:val="20"/>
                <w:highlight w:val="none"/>
                <w:lang w:val="en-US" w:eastAsia="zh-CN" w:bidi="ar"/>
              </w:rPr>
              <w:t>×</w:t>
            </w:r>
            <w:r>
              <w:rPr>
                <w:rFonts w:hint="default" w:ascii="Times New Roman" w:hAnsi="Times New Roman" w:eastAsia="宋体" w:cs="Times New Roman"/>
                <w:color w:val="auto"/>
                <w:sz w:val="20"/>
                <w:szCs w:val="20"/>
                <w:highlight w:val="none"/>
                <w:lang w:val="en-US" w:eastAsia="zh-CN" w:bidi="ar"/>
              </w:rPr>
              <w:t xml:space="preserve">0.8=2.96 </w:t>
            </w:r>
            <w:r>
              <w:rPr>
                <w:rFonts w:hint="default" w:ascii="HYShuSongErKW" w:hAnsi="HYShuSongErKW" w:eastAsia="HYShuSongErKW" w:cs="HYShuSongErKW"/>
                <w:color w:val="auto"/>
                <w:sz w:val="20"/>
                <w:szCs w:val="20"/>
                <w:highlight w:val="none"/>
                <w:lang w:val="en-US" w:eastAsia="zh-CN" w:bidi="ar"/>
              </w:rPr>
              <w:t>万元</w:t>
            </w:r>
          </w:p>
          <w:p w14:paraId="3AAAE89F">
            <w:pPr>
              <w:spacing w:line="300" w:lineRule="exact"/>
              <w:jc w:val="left"/>
              <w:rPr>
                <w:color w:val="auto"/>
                <w:szCs w:val="21"/>
                <w:highlight w:val="none"/>
              </w:rPr>
            </w:pPr>
          </w:p>
          <w:p w14:paraId="76784C5C">
            <w:pPr>
              <w:spacing w:line="300" w:lineRule="exact"/>
              <w:jc w:val="left"/>
              <w:rPr>
                <w:color w:val="auto"/>
                <w:szCs w:val="21"/>
                <w:highlight w:val="none"/>
                <w:u w:val="single"/>
              </w:rPr>
            </w:pPr>
            <w:r>
              <w:rPr>
                <w:rFonts w:ascii="Wingdings 2" w:hAnsi="Wingdings 2" w:eastAsia="Wingdings 2" w:cs="Wingdings 2"/>
                <w:color w:val="auto"/>
                <w:szCs w:val="21"/>
                <w:highlight w:val="none"/>
              </w:rPr>
              <w:t>£</w:t>
            </w:r>
            <w:r>
              <w:rPr>
                <w:color w:val="auto"/>
                <w:szCs w:val="21"/>
                <w:highlight w:val="none"/>
              </w:rPr>
              <w:t>采购代理机构</w:t>
            </w:r>
            <w:r>
              <w:rPr>
                <w:color w:val="auto"/>
                <w:szCs w:val="20"/>
                <w:highlight w:val="none"/>
              </w:rPr>
              <w:t>向</w:t>
            </w:r>
            <w:r>
              <w:rPr>
                <w:rFonts w:hint="eastAsia"/>
                <w:color w:val="auto"/>
                <w:szCs w:val="20"/>
                <w:highlight w:val="none"/>
              </w:rPr>
              <w:t>中标供应商</w:t>
            </w:r>
            <w:r>
              <w:rPr>
                <w:color w:val="auto"/>
                <w:szCs w:val="20"/>
                <w:highlight w:val="none"/>
              </w:rPr>
              <w:t>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 xml:space="preserve">  </w:t>
            </w:r>
            <w:r>
              <w:rPr>
                <w:color w:val="auto"/>
                <w:szCs w:val="21"/>
                <w:highlight w:val="none"/>
                <w:u w:val="single"/>
              </w:rPr>
              <w:t xml:space="preserve">\    </w:t>
            </w:r>
            <w:r>
              <w:rPr>
                <w:rFonts w:hint="eastAsia"/>
                <w:color w:val="auto"/>
                <w:szCs w:val="20"/>
                <w:highlight w:val="none"/>
                <w:u w:val="single"/>
              </w:rPr>
              <w:t xml:space="preserve">  </w:t>
            </w:r>
            <w:r>
              <w:rPr>
                <w:rFonts w:hint="eastAsia"/>
                <w:color w:val="auto"/>
                <w:szCs w:val="20"/>
                <w:highlight w:val="none"/>
              </w:rPr>
              <w:t>。</w:t>
            </w:r>
          </w:p>
          <w:p w14:paraId="5845E205">
            <w:pPr>
              <w:numPr>
                <w:ilvl w:val="0"/>
                <w:numId w:val="20"/>
              </w:numPr>
              <w:spacing w:line="300" w:lineRule="exact"/>
              <w:jc w:val="left"/>
              <w:rPr>
                <w:color w:val="auto"/>
                <w:szCs w:val="21"/>
                <w:highlight w:val="none"/>
              </w:rPr>
            </w:pPr>
            <w:r>
              <w:rPr>
                <w:rFonts w:hint="eastAsia"/>
                <w:color w:val="auto"/>
                <w:szCs w:val="21"/>
                <w:highlight w:val="none"/>
              </w:rPr>
              <w:t>中标供应商</w:t>
            </w:r>
            <w:r>
              <w:rPr>
                <w:color w:val="auto"/>
                <w:szCs w:val="21"/>
                <w:highlight w:val="none"/>
              </w:rPr>
              <w:t>在中标通知书发出前以银行转账或现金形式支付代理服务费；采购代理机构也可以从</w:t>
            </w:r>
            <w:r>
              <w:rPr>
                <w:rFonts w:hint="eastAsia"/>
                <w:color w:val="auto"/>
                <w:szCs w:val="21"/>
                <w:highlight w:val="none"/>
              </w:rPr>
              <w:t>中标供应商</w:t>
            </w:r>
            <w:r>
              <w:rPr>
                <w:color w:val="auto"/>
                <w:szCs w:val="21"/>
                <w:highlight w:val="none"/>
              </w:rPr>
              <w:t>的投标保证金中扣除上述金额的代理服务费，余款按供应商所汇入投标保证金的账户原路退回，如无法原路返回，则按《代理服务费承诺书》列明的账户退回。</w:t>
            </w:r>
          </w:p>
          <w:p w14:paraId="14A9A051">
            <w:pPr>
              <w:pStyle w:val="14"/>
              <w:ind w:left="0"/>
              <w:rPr>
                <w:color w:val="auto"/>
                <w:highlight w:val="none"/>
              </w:rPr>
            </w:pPr>
          </w:p>
          <w:p w14:paraId="2F289E43">
            <w:pPr>
              <w:spacing w:line="300" w:lineRule="exact"/>
              <w:jc w:val="left"/>
              <w:rPr>
                <w:color w:val="auto"/>
                <w:szCs w:val="21"/>
                <w:highlight w:val="none"/>
              </w:rPr>
            </w:pPr>
            <w:r>
              <w:rPr>
                <w:rFonts w:hint="eastAsia"/>
                <w:color w:val="auto"/>
                <w:szCs w:val="21"/>
                <w:highlight w:val="none"/>
              </w:rPr>
              <w:t>开户名称：广西机电设备招标有限公司北海分公司</w:t>
            </w:r>
          </w:p>
          <w:p w14:paraId="6F22A78B">
            <w:pPr>
              <w:spacing w:line="300" w:lineRule="exact"/>
              <w:jc w:val="left"/>
              <w:rPr>
                <w:color w:val="auto"/>
                <w:szCs w:val="21"/>
                <w:highlight w:val="none"/>
              </w:rPr>
            </w:pPr>
            <w:r>
              <w:rPr>
                <w:rFonts w:hint="eastAsia"/>
                <w:color w:val="auto"/>
                <w:szCs w:val="21"/>
                <w:highlight w:val="none"/>
              </w:rPr>
              <w:t>开户银行：交通银行北海分行营业部</w:t>
            </w:r>
          </w:p>
          <w:p w14:paraId="0242DDA0">
            <w:pPr>
              <w:spacing w:line="300" w:lineRule="exact"/>
              <w:jc w:val="left"/>
              <w:rPr>
                <w:color w:val="auto"/>
                <w:szCs w:val="21"/>
                <w:highlight w:val="none"/>
              </w:rPr>
            </w:pPr>
            <w:r>
              <w:rPr>
                <w:rFonts w:hint="eastAsia"/>
                <w:color w:val="auto"/>
                <w:szCs w:val="21"/>
                <w:highlight w:val="none"/>
              </w:rPr>
              <w:t>银行账号：455060200018170923660</w:t>
            </w:r>
          </w:p>
          <w:p w14:paraId="7007BAEE">
            <w:pPr>
              <w:spacing w:line="300" w:lineRule="exact"/>
              <w:jc w:val="left"/>
              <w:rPr>
                <w:color w:val="auto"/>
                <w:szCs w:val="21"/>
                <w:highlight w:val="none"/>
              </w:rPr>
            </w:pPr>
            <w:r>
              <w:rPr>
                <w:rFonts w:hint="eastAsia"/>
                <w:color w:val="auto"/>
                <w:szCs w:val="21"/>
                <w:highlight w:val="none"/>
              </w:rPr>
              <w:t>财务联系人：吴茜（电话：0771-2821398）</w:t>
            </w:r>
          </w:p>
        </w:tc>
      </w:tr>
      <w:tr w14:paraId="1E280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0F3CA6A8">
            <w:pPr>
              <w:spacing w:line="300" w:lineRule="exact"/>
              <w:jc w:val="center"/>
              <w:rPr>
                <w:b/>
                <w:color w:val="auto"/>
                <w:szCs w:val="21"/>
                <w:highlight w:val="none"/>
              </w:rPr>
            </w:pPr>
            <w:r>
              <w:rPr>
                <w:b/>
                <w:color w:val="auto"/>
                <w:szCs w:val="21"/>
                <w:highlight w:val="none"/>
              </w:rPr>
              <w:t>9.3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22399B6">
            <w:pPr>
              <w:spacing w:line="300" w:lineRule="exact"/>
              <w:jc w:val="center"/>
              <w:rPr>
                <w:color w:val="auto"/>
                <w:szCs w:val="20"/>
                <w:highlight w:val="none"/>
              </w:rPr>
            </w:pPr>
            <w:r>
              <w:rPr>
                <w:rFonts w:hint="eastAsia"/>
                <w:color w:val="auto"/>
                <w:szCs w:val="20"/>
                <w:highlight w:val="none"/>
              </w:rPr>
              <w:t>附件</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2E790196">
            <w:pPr>
              <w:spacing w:line="276" w:lineRule="auto"/>
              <w:rPr>
                <w:color w:val="auto"/>
                <w:szCs w:val="21"/>
                <w:highlight w:val="none"/>
                <w:u w:val="single"/>
              </w:rPr>
            </w:pPr>
            <w:r>
              <w:rPr>
                <w:rFonts w:hint="eastAsia"/>
                <w:color w:val="auto"/>
                <w:szCs w:val="21"/>
                <w:highlight w:val="none"/>
              </w:rPr>
              <w:t>无</w:t>
            </w:r>
          </w:p>
        </w:tc>
      </w:tr>
      <w:tr w14:paraId="6F7D84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4C9EC252">
            <w:pPr>
              <w:spacing w:line="300" w:lineRule="exact"/>
              <w:jc w:val="center"/>
              <w:rPr>
                <w:b/>
                <w:color w:val="auto"/>
                <w:szCs w:val="21"/>
                <w:highlight w:val="none"/>
              </w:rPr>
            </w:pPr>
            <w:r>
              <w:rPr>
                <w:b/>
                <w:color w:val="auto"/>
                <w:szCs w:val="21"/>
                <w:highlight w:val="none"/>
              </w:rPr>
              <w:t>9.3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41573AC1">
            <w:pPr>
              <w:spacing w:line="300" w:lineRule="exact"/>
              <w:jc w:val="center"/>
              <w:rPr>
                <w:color w:val="auto"/>
                <w:szCs w:val="20"/>
                <w:highlight w:val="none"/>
              </w:rPr>
            </w:pPr>
            <w:r>
              <w:rPr>
                <w:rFonts w:hint="eastAsia"/>
                <w:color w:val="auto"/>
                <w:szCs w:val="20"/>
                <w:highlight w:val="none"/>
              </w:rPr>
              <w:t>图纸</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531489E0">
            <w:pPr>
              <w:spacing w:line="276" w:lineRule="auto"/>
              <w:rPr>
                <w:color w:val="auto"/>
                <w:szCs w:val="21"/>
                <w:highlight w:val="none"/>
                <w:u w:val="single"/>
              </w:rPr>
            </w:pPr>
            <w:r>
              <w:rPr>
                <w:rFonts w:hint="eastAsia"/>
                <w:color w:val="auto"/>
                <w:szCs w:val="21"/>
                <w:highlight w:val="none"/>
              </w:rPr>
              <w:t>无</w:t>
            </w:r>
          </w:p>
        </w:tc>
      </w:tr>
      <w:tr w14:paraId="1A64BB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5C599821">
            <w:pPr>
              <w:spacing w:line="300" w:lineRule="exact"/>
              <w:jc w:val="center"/>
              <w:rPr>
                <w:b/>
                <w:color w:val="auto"/>
                <w:szCs w:val="21"/>
                <w:highlight w:val="none"/>
              </w:rPr>
            </w:pPr>
            <w:r>
              <w:rPr>
                <w:b/>
                <w:color w:val="auto"/>
                <w:szCs w:val="21"/>
                <w:highlight w:val="none"/>
              </w:rPr>
              <w:t>9.4</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4E285B8F">
            <w:pPr>
              <w:spacing w:line="300" w:lineRule="exact"/>
              <w:jc w:val="center"/>
              <w:rPr>
                <w:color w:val="auto"/>
                <w:szCs w:val="20"/>
                <w:highlight w:val="none"/>
              </w:rPr>
            </w:pPr>
            <w:r>
              <w:rPr>
                <w:rFonts w:hint="eastAsia"/>
                <w:color w:val="auto"/>
                <w:szCs w:val="20"/>
                <w:highlight w:val="none"/>
              </w:rPr>
              <w:t>其他事项</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2BE3D478">
            <w:pPr>
              <w:spacing w:line="276" w:lineRule="auto"/>
              <w:rPr>
                <w:color w:val="auto"/>
                <w:szCs w:val="21"/>
                <w:highlight w:val="none"/>
              </w:rPr>
            </w:pPr>
            <w:r>
              <w:rPr>
                <w:rFonts w:hint="eastAsia"/>
                <w:color w:val="auto"/>
                <w:szCs w:val="21"/>
                <w:highlight w:val="none"/>
              </w:rPr>
              <w:t>构成本招标文件的各个组成文件应互为解释，互为说明：</w:t>
            </w:r>
          </w:p>
          <w:p w14:paraId="0ECAA6B3">
            <w:pPr>
              <w:spacing w:line="276" w:lineRule="auto"/>
              <w:rPr>
                <w:color w:val="auto"/>
                <w:sz w:val="24"/>
                <w:highlight w:val="none"/>
              </w:rPr>
            </w:pPr>
            <w:r>
              <w:rPr>
                <w:rFonts w:hint="eastAsia"/>
                <w:color w:val="auto"/>
                <w:szCs w:val="21"/>
                <w:highlight w:val="none"/>
              </w:rPr>
              <w:t>除招标文件中有特别规定外，仅适用于招标投标阶段的规定，按更正公告（澄清公告）、招标公告、采购需求、投标人须知、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7D058CF5">
      <w:pPr>
        <w:spacing w:before="120" w:line="320" w:lineRule="atLeast"/>
        <w:outlineLvl w:val="1"/>
        <w:rPr>
          <w:b/>
          <w:bCs/>
          <w:color w:val="auto"/>
          <w:szCs w:val="21"/>
          <w:highlight w:val="none"/>
        </w:rPr>
      </w:pPr>
      <w:bookmarkStart w:id="115" w:name="_Hlk88949215"/>
    </w:p>
    <w:p w14:paraId="50023345">
      <w:pPr>
        <w:spacing w:before="120" w:line="320" w:lineRule="atLeast"/>
        <w:outlineLvl w:val="1"/>
        <w:rPr>
          <w:b/>
          <w:bCs/>
          <w:color w:val="auto"/>
          <w:szCs w:val="21"/>
          <w:highlight w:val="none"/>
        </w:rPr>
        <w:sectPr>
          <w:pgSz w:w="11906" w:h="16838"/>
          <w:pgMar w:top="993" w:right="1133" w:bottom="1246" w:left="1418" w:header="851" w:footer="992" w:gutter="0"/>
          <w:cols w:space="720" w:num="1"/>
          <w:titlePg/>
        </w:sectPr>
      </w:pPr>
    </w:p>
    <w:p w14:paraId="4C206A6D">
      <w:pPr>
        <w:spacing w:before="120" w:line="320" w:lineRule="atLeast"/>
        <w:outlineLvl w:val="1"/>
        <w:rPr>
          <w:b/>
          <w:bCs/>
          <w:color w:val="auto"/>
          <w:szCs w:val="21"/>
          <w:highlight w:val="none"/>
        </w:rPr>
      </w:pPr>
      <w:r>
        <w:rPr>
          <w:b/>
          <w:bCs/>
          <w:color w:val="auto"/>
          <w:szCs w:val="21"/>
          <w:highlight w:val="none"/>
        </w:rPr>
        <w:t>1．总则</w:t>
      </w:r>
    </w:p>
    <w:p w14:paraId="1C8AD721">
      <w:pPr>
        <w:spacing w:before="120" w:line="320" w:lineRule="atLeast"/>
        <w:ind w:firstLine="422"/>
        <w:outlineLvl w:val="2"/>
        <w:rPr>
          <w:b/>
          <w:bCs/>
          <w:color w:val="auto"/>
          <w:szCs w:val="21"/>
          <w:highlight w:val="none"/>
        </w:rPr>
      </w:pPr>
      <w:bookmarkStart w:id="116" w:name="_Toc254970527"/>
      <w:bookmarkStart w:id="117" w:name="_Toc254970668"/>
      <w:r>
        <w:rPr>
          <w:b/>
          <w:bCs/>
          <w:color w:val="auto"/>
          <w:szCs w:val="21"/>
          <w:highlight w:val="none"/>
        </w:rPr>
        <w:t>1.1适用范围</w:t>
      </w:r>
      <w:bookmarkEnd w:id="116"/>
      <w:bookmarkEnd w:id="117"/>
    </w:p>
    <w:p w14:paraId="36F7E0CD">
      <w:pPr>
        <w:spacing w:before="120" w:line="320" w:lineRule="atLeast"/>
        <w:ind w:firstLine="420"/>
        <w:rPr>
          <w:color w:val="auto"/>
          <w:szCs w:val="21"/>
          <w:highlight w:val="none"/>
        </w:rPr>
      </w:pPr>
      <w:r>
        <w:rPr>
          <w:color w:val="auto"/>
          <w:szCs w:val="21"/>
          <w:highlight w:val="none"/>
        </w:rPr>
        <w:t>本招标文件适用于供应商须知前附表所述项目的</w:t>
      </w:r>
      <w:r>
        <w:rPr>
          <w:rFonts w:hint="eastAsia"/>
          <w:color w:val="auto"/>
          <w:szCs w:val="21"/>
          <w:highlight w:val="none"/>
        </w:rPr>
        <w:t>政府采购活动。</w:t>
      </w:r>
    </w:p>
    <w:p w14:paraId="4CD920A9">
      <w:pPr>
        <w:spacing w:before="120" w:line="320" w:lineRule="atLeast"/>
        <w:ind w:firstLine="422"/>
        <w:outlineLvl w:val="2"/>
        <w:rPr>
          <w:b/>
          <w:bCs/>
          <w:color w:val="auto"/>
          <w:szCs w:val="21"/>
          <w:highlight w:val="none"/>
        </w:rPr>
      </w:pPr>
      <w:bookmarkStart w:id="118" w:name="_Toc254970528"/>
      <w:bookmarkStart w:id="119" w:name="_Toc254970669"/>
      <w:r>
        <w:rPr>
          <w:b/>
          <w:bCs/>
          <w:color w:val="auto"/>
          <w:szCs w:val="21"/>
          <w:highlight w:val="none"/>
        </w:rPr>
        <w:t>1.2定义</w:t>
      </w:r>
      <w:bookmarkEnd w:id="118"/>
      <w:bookmarkEnd w:id="119"/>
    </w:p>
    <w:p w14:paraId="25024536">
      <w:pPr>
        <w:spacing w:before="120" w:line="320" w:lineRule="atLeast"/>
        <w:ind w:firstLine="420"/>
        <w:rPr>
          <w:color w:val="auto"/>
          <w:szCs w:val="21"/>
          <w:highlight w:val="none"/>
        </w:rPr>
      </w:pPr>
      <w:r>
        <w:rPr>
          <w:color w:val="auto"/>
          <w:szCs w:val="21"/>
          <w:highlight w:val="none"/>
        </w:rPr>
        <w:t>1.2.1“采购人”系指依法进行政府采购的国家机关、事业单位、团体组织。</w:t>
      </w:r>
    </w:p>
    <w:p w14:paraId="4E7C5876">
      <w:pPr>
        <w:spacing w:before="120" w:line="320" w:lineRule="atLeast"/>
        <w:ind w:firstLine="420"/>
        <w:rPr>
          <w:color w:val="auto"/>
          <w:szCs w:val="21"/>
          <w:highlight w:val="none"/>
        </w:rPr>
      </w:pPr>
      <w:r>
        <w:rPr>
          <w:color w:val="auto"/>
          <w:szCs w:val="21"/>
          <w:highlight w:val="none"/>
        </w:rPr>
        <w:t>1.2.2“供应商”系</w:t>
      </w:r>
      <w:r>
        <w:rPr>
          <w:color w:val="auto"/>
          <w:highlight w:val="none"/>
        </w:rPr>
        <w:t>指响应招标、参加投标竞争的法人、其他组织或者自然人</w:t>
      </w:r>
      <w:r>
        <w:rPr>
          <w:color w:val="auto"/>
          <w:szCs w:val="21"/>
          <w:highlight w:val="none"/>
        </w:rPr>
        <w:t>。</w:t>
      </w:r>
    </w:p>
    <w:p w14:paraId="6F716BC2">
      <w:pPr>
        <w:spacing w:before="120" w:line="360" w:lineRule="auto"/>
        <w:ind w:firstLine="420"/>
        <w:rPr>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p>
    <w:p w14:paraId="0305EB32">
      <w:pPr>
        <w:spacing w:before="120" w:line="360" w:lineRule="auto"/>
        <w:ind w:firstLine="420"/>
        <w:rPr>
          <w:color w:val="auto"/>
          <w:highlight w:val="none"/>
        </w:rPr>
      </w:pP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452BFF9B">
      <w:pPr>
        <w:widowControl/>
        <w:spacing w:line="360" w:lineRule="auto"/>
        <w:ind w:firstLine="42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 xml:space="preserve">招标文件如有特殊规定，以招标文件规定为准。 </w:t>
      </w:r>
    </w:p>
    <w:p w14:paraId="65CC625E">
      <w:pPr>
        <w:spacing w:before="120" w:line="320" w:lineRule="atLeast"/>
        <w:ind w:firstLine="420"/>
        <w:rPr>
          <w:rFonts w:hint="eastAsia"/>
          <w:color w:val="auto"/>
          <w:szCs w:val="21"/>
          <w:highlight w:val="none"/>
        </w:rPr>
      </w:pPr>
      <w:r>
        <w:rPr>
          <w:color w:val="auto"/>
          <w:szCs w:val="21"/>
          <w:highlight w:val="none"/>
        </w:rPr>
        <w:t>1.2.</w:t>
      </w:r>
      <w:r>
        <w:rPr>
          <w:rFonts w:hint="eastAsia"/>
          <w:color w:val="auto"/>
          <w:szCs w:val="21"/>
          <w:highlight w:val="none"/>
        </w:rPr>
        <w:t>6本项目的技术商务要求重要性分为“▲”（如有）、“●”（如有）和一般无标识指标。▲</w:t>
      </w:r>
    </w:p>
    <w:p w14:paraId="49E9E1D8">
      <w:pPr>
        <w:spacing w:before="120" w:line="320" w:lineRule="atLeast"/>
        <w:rPr>
          <w:color w:val="auto"/>
          <w:szCs w:val="21"/>
          <w:highlight w:val="none"/>
        </w:rPr>
      </w:pPr>
      <w:r>
        <w:rPr>
          <w:rFonts w:hint="eastAsia"/>
          <w:color w:val="auto"/>
          <w:szCs w:val="21"/>
          <w:highlight w:val="none"/>
        </w:rPr>
        <w:t>代表实质性要求指标，不满足该指标项将导致</w:t>
      </w:r>
      <w:r>
        <w:rPr>
          <w:rFonts w:hint="eastAsia"/>
          <w:color w:val="auto"/>
          <w:szCs w:val="21"/>
          <w:highlight w:val="none"/>
          <w:lang w:eastAsia="zh-CN"/>
        </w:rPr>
        <w:t>投标无效</w:t>
      </w:r>
      <w:r>
        <w:rPr>
          <w:rFonts w:hint="eastAsia"/>
          <w:color w:val="auto"/>
          <w:szCs w:val="21"/>
          <w:highlight w:val="none"/>
        </w:rPr>
        <w:t>，●代表重要指标，无标识则表示一般指标项。</w:t>
      </w:r>
    </w:p>
    <w:p w14:paraId="06541D49">
      <w:pPr>
        <w:spacing w:before="120" w:line="320" w:lineRule="atLeast"/>
        <w:ind w:firstLine="420"/>
        <w:rPr>
          <w:color w:val="auto"/>
          <w:szCs w:val="21"/>
          <w:highlight w:val="none"/>
        </w:rPr>
      </w:pPr>
      <w:r>
        <w:rPr>
          <w:color w:val="auto"/>
          <w:szCs w:val="21"/>
          <w:highlight w:val="none"/>
        </w:rPr>
        <w:t>1.2.</w:t>
      </w:r>
      <w:r>
        <w:rPr>
          <w:rFonts w:hint="eastAsia"/>
          <w:color w:val="auto"/>
          <w:szCs w:val="21"/>
          <w:highlight w:val="none"/>
        </w:rPr>
        <w:t>7 本</w:t>
      </w:r>
      <w:r>
        <w:rPr>
          <w:color w:val="auto"/>
          <w:szCs w:val="21"/>
          <w:highlight w:val="none"/>
        </w:rPr>
        <w:t>招标文件</w:t>
      </w:r>
      <w:r>
        <w:rPr>
          <w:rFonts w:hint="eastAsia"/>
          <w:color w:val="auto"/>
          <w:szCs w:val="21"/>
          <w:highlight w:val="none"/>
        </w:rPr>
        <w:t>出现多种选项的条款，以“</w:t>
      </w:r>
      <w:r>
        <w:rPr>
          <w:rFonts w:ascii="Wingdings 2" w:hAnsi="Wingdings 2" w:eastAsia="Wingdings 2" w:cs="Wingdings 2"/>
          <w:color w:val="auto"/>
          <w:highlight w:val="none"/>
        </w:rPr>
        <w:t>R</w:t>
      </w:r>
      <w:r>
        <w:rPr>
          <w:rFonts w:hint="eastAsia"/>
          <w:color w:val="auto"/>
          <w:szCs w:val="21"/>
          <w:highlight w:val="none"/>
        </w:rPr>
        <w:t>”表示本条款所选择的方式。</w:t>
      </w:r>
    </w:p>
    <w:p w14:paraId="3AB9571C">
      <w:pPr>
        <w:spacing w:before="120" w:line="320" w:lineRule="atLeast"/>
        <w:ind w:firstLine="420"/>
        <w:rPr>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是指以数据电文形式在线完成采购活动的信息平台，本招标文件中也称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7CD4EDFD">
      <w:pPr>
        <w:spacing w:before="120" w:line="320" w:lineRule="atLeast"/>
        <w:ind w:firstLine="422"/>
        <w:outlineLvl w:val="2"/>
        <w:rPr>
          <w:b/>
          <w:bCs/>
          <w:color w:val="auto"/>
          <w:szCs w:val="21"/>
          <w:highlight w:val="none"/>
        </w:rPr>
      </w:pPr>
      <w:r>
        <w:rPr>
          <w:rFonts w:hint="eastAsia"/>
          <w:b/>
          <w:bCs/>
          <w:color w:val="auto"/>
          <w:szCs w:val="21"/>
          <w:highlight w:val="none"/>
        </w:rPr>
        <w:t>1</w:t>
      </w:r>
      <w:r>
        <w:rPr>
          <w:b/>
          <w:bCs/>
          <w:color w:val="auto"/>
          <w:szCs w:val="21"/>
          <w:highlight w:val="none"/>
        </w:rPr>
        <w:t>.3</w:t>
      </w:r>
      <w:r>
        <w:rPr>
          <w:rFonts w:hint="eastAsia"/>
          <w:b/>
          <w:bCs/>
          <w:color w:val="auto"/>
          <w:szCs w:val="21"/>
          <w:highlight w:val="none"/>
        </w:rPr>
        <w:t>项目信息</w:t>
      </w:r>
    </w:p>
    <w:p w14:paraId="78340B20">
      <w:pPr>
        <w:spacing w:before="120" w:line="320" w:lineRule="atLeast"/>
        <w:ind w:firstLine="42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31194196">
      <w:pPr>
        <w:spacing w:before="120" w:line="320" w:lineRule="atLeast"/>
        <w:ind w:firstLine="42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0AD04FE6">
      <w:pPr>
        <w:spacing w:before="120" w:line="320" w:lineRule="atLeast"/>
        <w:ind w:firstLine="422"/>
        <w:outlineLvl w:val="2"/>
        <w:rPr>
          <w:b/>
          <w:bCs/>
          <w:color w:val="auto"/>
          <w:szCs w:val="21"/>
          <w:highlight w:val="none"/>
        </w:rPr>
      </w:pPr>
      <w:bookmarkStart w:id="120" w:name="_Hlk132812137"/>
      <w:r>
        <w:rPr>
          <w:rFonts w:hint="eastAsia"/>
          <w:b/>
          <w:bCs/>
          <w:color w:val="auto"/>
          <w:szCs w:val="21"/>
          <w:highlight w:val="none"/>
        </w:rPr>
        <w:t>1</w:t>
      </w:r>
      <w:r>
        <w:rPr>
          <w:b/>
          <w:bCs/>
          <w:color w:val="auto"/>
          <w:szCs w:val="21"/>
          <w:highlight w:val="none"/>
        </w:rPr>
        <w:t>.4</w:t>
      </w:r>
      <w:r>
        <w:rPr>
          <w:rFonts w:hint="eastAsia"/>
          <w:b/>
          <w:bCs/>
          <w:color w:val="auto"/>
          <w:szCs w:val="21"/>
          <w:highlight w:val="none"/>
        </w:rPr>
        <w:t>促进中小企业发展政策</w:t>
      </w:r>
    </w:p>
    <w:p w14:paraId="00B7A204">
      <w:pPr>
        <w:spacing w:before="120" w:line="320" w:lineRule="atLeast"/>
        <w:ind w:left="2" w:firstLine="420"/>
        <w:rPr>
          <w:color w:val="auto"/>
          <w:szCs w:val="21"/>
          <w:highlight w:val="none"/>
        </w:rPr>
      </w:pPr>
      <w:r>
        <w:rPr>
          <w:color w:val="auto"/>
          <w:szCs w:val="21"/>
          <w:highlight w:val="none"/>
        </w:rPr>
        <w:t>1.4.1</w:t>
      </w:r>
      <w:r>
        <w:rPr>
          <w:rFonts w:hint="eastAsia"/>
          <w:color w:val="auto"/>
          <w:szCs w:val="21"/>
          <w:highlight w:val="none"/>
        </w:rPr>
        <w:t>本项目落实促进中小企业发展政策措施在前附表规定。依据促进中小企业发展政策获得政府采购合同的，小微企业不得将合同分包给大中型企业，中型企业不得将合同分包给大型企业。</w:t>
      </w:r>
    </w:p>
    <w:p w14:paraId="097C5045">
      <w:pPr>
        <w:spacing w:before="120" w:line="320" w:lineRule="atLeast"/>
        <w:ind w:left="2" w:firstLine="420"/>
        <w:rPr>
          <w:color w:val="auto"/>
          <w:szCs w:val="21"/>
          <w:highlight w:val="none"/>
        </w:rPr>
      </w:pPr>
      <w:bookmarkStart w:id="121" w:name="_Hlk138842976"/>
      <w:r>
        <w:rPr>
          <w:rFonts w:hint="eastAsia"/>
          <w:color w:val="auto"/>
          <w:szCs w:val="21"/>
          <w:highlight w:val="none"/>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w:t>
      </w:r>
      <w:bookmarkEnd w:id="121"/>
      <w:bookmarkStart w:id="122" w:name="_Hlk92205820"/>
      <w:r>
        <w:rPr>
          <w:rFonts w:hint="eastAsia"/>
          <w:color w:val="auto"/>
          <w:szCs w:val="21"/>
          <w:highlight w:val="none"/>
        </w:rPr>
        <w:t>价格扣除比例在第四章评审方法及标准中规定，对小型企业和微型企业同等对待，不作区分。</w:t>
      </w:r>
    </w:p>
    <w:p w14:paraId="7B9C0DAA">
      <w:pPr>
        <w:spacing w:before="120" w:line="320" w:lineRule="atLeast"/>
        <w:ind w:left="2" w:firstLine="420"/>
        <w:rPr>
          <w:color w:val="auto"/>
          <w:szCs w:val="21"/>
          <w:highlight w:val="none"/>
        </w:rPr>
      </w:pPr>
      <w:r>
        <w:rPr>
          <w:color w:val="auto"/>
          <w:szCs w:val="21"/>
          <w:highlight w:val="none"/>
        </w:rPr>
        <w:t>1.4.2</w:t>
      </w:r>
      <w:r>
        <w:rPr>
          <w:rFonts w:hint="eastAsia"/>
          <w:color w:val="auto"/>
          <w:szCs w:val="21"/>
          <w:highlight w:val="none"/>
        </w:rPr>
        <w:t>中小企业定义</w:t>
      </w:r>
    </w:p>
    <w:p w14:paraId="7D9668E8">
      <w:pPr>
        <w:spacing w:before="120" w:line="320" w:lineRule="atLeast"/>
        <w:ind w:firstLine="420"/>
        <w:rPr>
          <w:color w:val="auto"/>
          <w:szCs w:val="21"/>
          <w:highlight w:val="none"/>
        </w:rPr>
      </w:pPr>
      <w:r>
        <w:rPr>
          <w:color w:val="auto"/>
          <w:szCs w:val="21"/>
          <w:highlight w:val="none"/>
        </w:rPr>
        <w:t>1.4.2.1</w:t>
      </w:r>
      <w:r>
        <w:rPr>
          <w:rFonts w:hint="eastAsia"/>
          <w:color w:val="auto"/>
          <w:szCs w:val="21"/>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559E5610">
      <w:pPr>
        <w:spacing w:before="120" w:line="320" w:lineRule="atLeast"/>
        <w:ind w:left="2" w:firstLine="420"/>
        <w:rPr>
          <w:color w:val="auto"/>
          <w:szCs w:val="21"/>
          <w:highlight w:val="none"/>
        </w:rPr>
      </w:pPr>
      <w:r>
        <w:rPr>
          <w:color w:val="auto"/>
          <w:szCs w:val="21"/>
          <w:highlight w:val="none"/>
        </w:rPr>
        <w:t>1.4.2.2</w:t>
      </w:r>
      <w:r>
        <w:rPr>
          <w:rFonts w:hint="eastAsia"/>
          <w:color w:val="auto"/>
          <w:szCs w:val="21"/>
          <w:highlight w:val="none"/>
        </w:rPr>
        <w:t>供应商提供的货物、工程或者服务符合下列情形的，享受本款规定的促进中小企业发展政策：</w:t>
      </w:r>
    </w:p>
    <w:p w14:paraId="78022844">
      <w:pPr>
        <w:spacing w:before="120" w:line="320" w:lineRule="atLeast"/>
        <w:ind w:left="2" w:firstLine="420"/>
        <w:rPr>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0CF3E2D4">
      <w:pPr>
        <w:spacing w:before="120" w:line="320" w:lineRule="atLeast"/>
        <w:ind w:left="2" w:firstLine="420"/>
        <w:rPr>
          <w:color w:val="auto"/>
          <w:szCs w:val="21"/>
          <w:highlight w:val="none"/>
        </w:rPr>
      </w:pPr>
      <w:r>
        <w:rPr>
          <w:rFonts w:hint="eastAsia"/>
          <w:color w:val="auto"/>
          <w:szCs w:val="21"/>
          <w:highlight w:val="none"/>
        </w:rPr>
        <w:t>在工程采购项目中，工程由中小企业承建，即工程施工单位为中小企业；</w:t>
      </w:r>
    </w:p>
    <w:p w14:paraId="5A5A0AE8">
      <w:pPr>
        <w:spacing w:before="120" w:line="320" w:lineRule="atLeast"/>
        <w:ind w:left="2" w:firstLine="420"/>
        <w:rPr>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700C0FEA">
      <w:pPr>
        <w:spacing w:before="120" w:line="320" w:lineRule="atLeast"/>
        <w:ind w:left="2" w:firstLine="420"/>
        <w:rPr>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12947F27">
      <w:pPr>
        <w:spacing w:before="120" w:line="320" w:lineRule="atLeast"/>
        <w:ind w:firstLine="420"/>
        <w:rPr>
          <w:color w:val="auto"/>
          <w:szCs w:val="21"/>
          <w:highlight w:val="none"/>
        </w:rPr>
      </w:pPr>
      <w:r>
        <w:rPr>
          <w:color w:val="auto"/>
          <w:szCs w:val="21"/>
          <w:highlight w:val="none"/>
        </w:rPr>
        <w:t>1.4.2</w:t>
      </w:r>
      <w:r>
        <w:rPr>
          <w:rFonts w:hint="eastAsia"/>
          <w:color w:val="auto"/>
          <w:szCs w:val="21"/>
          <w:highlight w:val="none"/>
        </w:rPr>
        <w:t>.</w:t>
      </w:r>
      <w:r>
        <w:rPr>
          <w:color w:val="auto"/>
          <w:szCs w:val="21"/>
          <w:highlight w:val="none"/>
        </w:rPr>
        <w:t>3</w:t>
      </w:r>
      <w:r>
        <w:rPr>
          <w:rFonts w:hint="eastAsia"/>
          <w:color w:val="auto"/>
          <w:szCs w:val="21"/>
          <w:highlight w:val="none"/>
        </w:rPr>
        <w:t>本项目标的所属行业在第二章采购需求中规定。供应商根据中小企业划分标准《关于印发中小企业划型标准规定的通知》（工信部联企业〔2011〕300号）判断是否为中小企业。（见附件）</w:t>
      </w:r>
    </w:p>
    <w:p w14:paraId="17DDCD19">
      <w:pPr>
        <w:spacing w:before="120" w:line="320" w:lineRule="atLeast"/>
        <w:ind w:firstLine="420"/>
        <w:rPr>
          <w:color w:val="auto"/>
          <w:szCs w:val="21"/>
          <w:highlight w:val="none"/>
        </w:rPr>
      </w:pPr>
      <w:r>
        <w:rPr>
          <w:rFonts w:hint="eastAsia"/>
          <w:color w:val="auto"/>
          <w:szCs w:val="21"/>
          <w:highlight w:val="none"/>
        </w:rPr>
        <w:t>符合条件的货物制造商、工程施工单位、服务承接单位为中小企业的，应按招标文件规定在投标文件中提供声明函。</w:t>
      </w:r>
    </w:p>
    <w:p w14:paraId="612119C7">
      <w:pPr>
        <w:spacing w:before="120" w:line="320" w:lineRule="atLeast"/>
        <w:ind w:firstLine="420"/>
        <w:rPr>
          <w:color w:val="auto"/>
          <w:szCs w:val="21"/>
          <w:highlight w:val="none"/>
        </w:rPr>
      </w:pPr>
      <w:r>
        <w:rPr>
          <w:color w:val="auto"/>
          <w:szCs w:val="21"/>
          <w:highlight w:val="none"/>
        </w:rPr>
        <w:t>1.4</w:t>
      </w:r>
      <w:r>
        <w:rPr>
          <w:rFonts w:hint="eastAsia"/>
          <w:color w:val="auto"/>
          <w:szCs w:val="21"/>
          <w:highlight w:val="none"/>
        </w:rPr>
        <w:t>.</w:t>
      </w:r>
      <w:r>
        <w:rPr>
          <w:color w:val="auto"/>
          <w:szCs w:val="21"/>
          <w:highlight w:val="none"/>
        </w:rPr>
        <w:t>2</w:t>
      </w:r>
      <w:r>
        <w:rPr>
          <w:rFonts w:hint="eastAsia"/>
          <w:color w:val="auto"/>
          <w:szCs w:val="21"/>
          <w:highlight w:val="none"/>
        </w:rPr>
        <w:t>.</w:t>
      </w:r>
      <w:r>
        <w:rPr>
          <w:color w:val="auto"/>
          <w:szCs w:val="21"/>
          <w:highlight w:val="none"/>
        </w:rPr>
        <w:t>4</w:t>
      </w:r>
      <w:r>
        <w:rPr>
          <w:rFonts w:hint="eastAsia"/>
          <w:color w:val="auto"/>
          <w:szCs w:val="21"/>
          <w:highlight w:val="none"/>
        </w:rPr>
        <w:t>视同中小企业情形</w:t>
      </w:r>
    </w:p>
    <w:p w14:paraId="30294DCB">
      <w:pPr>
        <w:spacing w:before="120" w:line="320" w:lineRule="atLeast"/>
        <w:ind w:firstLine="420"/>
        <w:rPr>
          <w:color w:val="auto"/>
          <w:szCs w:val="21"/>
          <w:highlight w:val="none"/>
        </w:rPr>
      </w:pPr>
      <w:r>
        <w:rPr>
          <w:rFonts w:hint="eastAsia"/>
          <w:color w:val="auto"/>
          <w:szCs w:val="21"/>
          <w:highlight w:val="none"/>
        </w:rPr>
        <w:t>（1）符合中小企业划分标准的个体工商户，视同中小企业。</w:t>
      </w:r>
    </w:p>
    <w:p w14:paraId="7D07AC07">
      <w:pPr>
        <w:spacing w:before="120" w:line="320" w:lineRule="atLeast"/>
        <w:ind w:firstLine="420"/>
        <w:rPr>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4F777468">
      <w:pPr>
        <w:spacing w:before="120" w:line="320" w:lineRule="atLeast"/>
        <w:ind w:firstLine="420"/>
        <w:rPr>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16C6ED3B">
      <w:pPr>
        <w:spacing w:before="120" w:line="320" w:lineRule="atLeast"/>
        <w:ind w:left="2" w:firstLine="420"/>
        <w:rPr>
          <w:color w:val="auto"/>
          <w:szCs w:val="21"/>
          <w:highlight w:val="none"/>
        </w:rPr>
      </w:pPr>
      <w:r>
        <w:rPr>
          <w:rFonts w:hint="eastAsia"/>
          <w:color w:val="auto"/>
          <w:szCs w:val="21"/>
          <w:highlight w:val="none"/>
        </w:rPr>
        <w:t>符合条件的货物制造商、工程施工单位、服务承接单位为监狱企业或残疾人福利性单位的，应按招标文件规定在投标文件中提供相关证明文件。</w:t>
      </w:r>
      <w:bookmarkEnd w:id="120"/>
      <w:bookmarkEnd w:id="122"/>
    </w:p>
    <w:p w14:paraId="55C32882">
      <w:pPr>
        <w:spacing w:before="120" w:line="320" w:lineRule="atLeast"/>
        <w:ind w:firstLine="422"/>
        <w:outlineLvl w:val="2"/>
        <w:rPr>
          <w:b/>
          <w:bCs/>
          <w:color w:val="auto"/>
          <w:szCs w:val="21"/>
          <w:highlight w:val="none"/>
        </w:rPr>
      </w:pPr>
      <w:r>
        <w:rPr>
          <w:b/>
          <w:bCs/>
          <w:color w:val="auto"/>
          <w:szCs w:val="21"/>
          <w:highlight w:val="none"/>
        </w:rPr>
        <w:t>1.5供应商资格</w:t>
      </w:r>
      <w:r>
        <w:rPr>
          <w:rFonts w:hint="eastAsia"/>
          <w:b/>
          <w:bCs/>
          <w:color w:val="auto"/>
          <w:szCs w:val="21"/>
          <w:highlight w:val="none"/>
        </w:rPr>
        <w:t>要求</w:t>
      </w:r>
    </w:p>
    <w:p w14:paraId="7309C920">
      <w:pPr>
        <w:spacing w:before="120" w:line="320" w:lineRule="atLeast"/>
        <w:ind w:firstLine="42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63CB9D33">
      <w:pPr>
        <w:spacing w:before="120" w:line="320" w:lineRule="atLeast"/>
        <w:ind w:firstLine="420"/>
        <w:rPr>
          <w:color w:val="auto"/>
          <w:szCs w:val="21"/>
          <w:highlight w:val="none"/>
        </w:rPr>
      </w:pPr>
      <w:r>
        <w:rPr>
          <w:color w:val="auto"/>
          <w:szCs w:val="21"/>
          <w:highlight w:val="none"/>
        </w:rPr>
        <w:t>1.5.2按照招标公告的规定获得招标文件。</w:t>
      </w:r>
    </w:p>
    <w:p w14:paraId="353D5DF8">
      <w:pPr>
        <w:spacing w:before="120" w:line="320" w:lineRule="atLeast"/>
        <w:ind w:firstLine="420"/>
        <w:rPr>
          <w:color w:val="auto"/>
          <w:szCs w:val="21"/>
          <w:highlight w:val="none"/>
        </w:rPr>
      </w:pPr>
      <w:r>
        <w:rPr>
          <w:color w:val="auto"/>
          <w:szCs w:val="21"/>
          <w:highlight w:val="none"/>
        </w:rPr>
        <w:t>1.5.3本项目是否接受联合体投标，见“供应商须知前附表”规定。</w:t>
      </w:r>
    </w:p>
    <w:p w14:paraId="58669488">
      <w:pPr>
        <w:spacing w:before="120" w:line="320" w:lineRule="atLeast"/>
        <w:ind w:firstLine="420"/>
        <w:rPr>
          <w:color w:val="auto"/>
          <w:szCs w:val="21"/>
          <w:highlight w:val="none"/>
        </w:rPr>
      </w:pPr>
      <w:r>
        <w:rPr>
          <w:rFonts w:hint="eastAsia"/>
          <w:color w:val="auto"/>
          <w:szCs w:val="21"/>
          <w:highlight w:val="none"/>
        </w:rPr>
        <w:t xml:space="preserve">如接受联合体投标，联合体投标要求如下： </w:t>
      </w:r>
    </w:p>
    <w:p w14:paraId="0A11FF07">
      <w:pPr>
        <w:spacing w:before="120" w:line="320" w:lineRule="atLeast"/>
        <w:ind w:firstLine="420"/>
        <w:rPr>
          <w:color w:val="auto"/>
          <w:szCs w:val="21"/>
          <w:highlight w:val="none"/>
        </w:rPr>
      </w:pPr>
      <w:r>
        <w:rPr>
          <w:color w:val="auto"/>
          <w:szCs w:val="21"/>
          <w:highlight w:val="none"/>
        </w:rPr>
        <w:t>（1</w:t>
      </w:r>
      <w:r>
        <w:rPr>
          <w:rFonts w:hint="eastAsia"/>
          <w:color w:val="auto"/>
          <w:szCs w:val="21"/>
          <w:highlight w:val="none"/>
        </w:rPr>
        <w:t>）供应商可以组成一个投标联合体，以一个供应商的身份共同参加投标。联合体投标的，须提供《联合体协议书》（格式后附）</w:t>
      </w:r>
    </w:p>
    <w:p w14:paraId="215C76F9">
      <w:pPr>
        <w:spacing w:before="120" w:line="320" w:lineRule="atLeast"/>
        <w:ind w:firstLine="420"/>
        <w:rPr>
          <w:color w:val="auto"/>
          <w:szCs w:val="21"/>
          <w:highlight w:val="none"/>
        </w:rPr>
      </w:pPr>
      <w:r>
        <w:rPr>
          <w:color w:val="auto"/>
          <w:szCs w:val="21"/>
          <w:highlight w:val="none"/>
        </w:rPr>
        <w:t>（2</w:t>
      </w:r>
      <w:r>
        <w:rPr>
          <w:rFonts w:hint="eastAsia"/>
          <w:color w:val="auto"/>
          <w:szCs w:val="21"/>
          <w:highlight w:val="none"/>
        </w:rPr>
        <w:t>）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2F6F0A19">
      <w:pPr>
        <w:spacing w:before="120" w:line="320" w:lineRule="atLeast"/>
        <w:ind w:firstLine="420"/>
        <w:rPr>
          <w:color w:val="auto"/>
          <w:szCs w:val="21"/>
          <w:highlight w:val="none"/>
        </w:rPr>
      </w:pPr>
      <w:r>
        <w:rPr>
          <w:color w:val="auto"/>
          <w:szCs w:val="21"/>
          <w:highlight w:val="none"/>
        </w:rPr>
        <w:t>（3</w:t>
      </w:r>
      <w:r>
        <w:rPr>
          <w:rFonts w:hint="eastAsia"/>
          <w:color w:val="auto"/>
          <w:szCs w:val="21"/>
          <w:highlight w:val="none"/>
        </w:rPr>
        <w:t>）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1469D3E8">
      <w:pPr>
        <w:spacing w:before="120" w:line="320" w:lineRule="atLeast"/>
        <w:ind w:firstLine="420"/>
        <w:rPr>
          <w:color w:val="auto"/>
          <w:szCs w:val="21"/>
          <w:highlight w:val="none"/>
        </w:rPr>
      </w:pPr>
      <w:r>
        <w:rPr>
          <w:color w:val="auto"/>
          <w:szCs w:val="21"/>
          <w:highlight w:val="none"/>
        </w:rPr>
        <w:t>（4</w:t>
      </w:r>
      <w:r>
        <w:rPr>
          <w:rFonts w:hint="eastAsia"/>
          <w:color w:val="auto"/>
          <w:szCs w:val="21"/>
          <w:highlight w:val="none"/>
        </w:rPr>
        <w:t>）以联合体形式参加政府采购活动的，联合体各方不得再单独参加或者与其他供应商另外组成联合体参加同一合同项下的政府采购活动。</w:t>
      </w:r>
    </w:p>
    <w:p w14:paraId="64FC1805">
      <w:pPr>
        <w:spacing w:before="120" w:line="320" w:lineRule="atLeast"/>
        <w:ind w:firstLine="420"/>
        <w:rPr>
          <w:color w:val="auto"/>
          <w:szCs w:val="21"/>
          <w:highlight w:val="none"/>
        </w:rPr>
      </w:pPr>
      <w:r>
        <w:rPr>
          <w:color w:val="auto"/>
          <w:szCs w:val="21"/>
          <w:highlight w:val="none"/>
        </w:rPr>
        <w:t>（5</w:t>
      </w:r>
      <w:r>
        <w:rPr>
          <w:rFonts w:hint="eastAsia"/>
          <w:color w:val="auto"/>
          <w:szCs w:val="21"/>
          <w:highlight w:val="none"/>
        </w:rPr>
        <w:t>）联合体中有同类资质的供应商按照联合体分工承担相同工作的，应当按照资质等级较低的供应商确定资质等级。</w:t>
      </w:r>
    </w:p>
    <w:p w14:paraId="2CB24CB0">
      <w:pPr>
        <w:spacing w:before="120" w:line="320" w:lineRule="atLeast"/>
        <w:ind w:firstLine="420"/>
        <w:rPr>
          <w:color w:val="auto"/>
          <w:szCs w:val="21"/>
          <w:highlight w:val="none"/>
        </w:rPr>
      </w:pPr>
      <w:r>
        <w:rPr>
          <w:color w:val="auto"/>
          <w:szCs w:val="21"/>
          <w:highlight w:val="none"/>
        </w:rPr>
        <w:t>（6</w:t>
      </w:r>
      <w:r>
        <w:rPr>
          <w:rFonts w:hint="eastAsia"/>
          <w:color w:val="auto"/>
          <w:szCs w:val="21"/>
          <w:highlight w:val="none"/>
        </w:rPr>
        <w:t>）联合体投标业绩、履约能力按照联合体各方其中较高的一方认定并计算（招标文件其他章节另有规定的除外）。</w:t>
      </w:r>
    </w:p>
    <w:p w14:paraId="17302A58">
      <w:pPr>
        <w:spacing w:before="120" w:line="320" w:lineRule="atLeast"/>
        <w:ind w:firstLine="420"/>
        <w:rPr>
          <w:color w:val="auto"/>
          <w:szCs w:val="21"/>
          <w:highlight w:val="none"/>
        </w:rPr>
      </w:pPr>
      <w:r>
        <w:rPr>
          <w:color w:val="auto"/>
          <w:szCs w:val="21"/>
          <w:highlight w:val="none"/>
        </w:rPr>
        <w:t>（7</w:t>
      </w:r>
      <w:r>
        <w:rPr>
          <w:rFonts w:hint="eastAsia"/>
          <w:color w:val="auto"/>
          <w:szCs w:val="21"/>
          <w:highlight w:val="none"/>
        </w:rPr>
        <w:t>）供应商为联合体的，可以由联合体中的一方或者多方共同交纳投标保证金，其交纳的保证金对联合体各方均具有约束力。</w:t>
      </w:r>
    </w:p>
    <w:p w14:paraId="7C870ECE">
      <w:pPr>
        <w:spacing w:before="120" w:line="320" w:lineRule="atLeast"/>
        <w:ind w:firstLine="420"/>
        <w:rPr>
          <w:color w:val="auto"/>
          <w:szCs w:val="21"/>
          <w:highlight w:val="none"/>
        </w:rPr>
      </w:pPr>
      <w:r>
        <w:rPr>
          <w:color w:val="auto"/>
          <w:szCs w:val="21"/>
          <w:highlight w:val="none"/>
        </w:rPr>
        <w:t>（8</w:t>
      </w:r>
      <w:r>
        <w:rPr>
          <w:rFonts w:hint="eastAsia"/>
          <w:color w:val="auto"/>
          <w:szCs w:val="21"/>
          <w:highlight w:val="none"/>
        </w:rPr>
        <w:t>）联合体各方均应按照招标文件的规定提交资格证明文件。</w:t>
      </w:r>
    </w:p>
    <w:p w14:paraId="6F90FE6B">
      <w:pPr>
        <w:spacing w:before="120" w:line="320" w:lineRule="atLeast"/>
        <w:ind w:firstLine="422"/>
        <w:outlineLvl w:val="2"/>
        <w:rPr>
          <w:b/>
          <w:bCs/>
          <w:color w:val="auto"/>
          <w:szCs w:val="21"/>
          <w:highlight w:val="none"/>
        </w:rPr>
      </w:pPr>
      <w:bookmarkStart w:id="123" w:name="_Toc254970672"/>
      <w:bookmarkStart w:id="124" w:name="_Toc254970531"/>
      <w:r>
        <w:rPr>
          <w:b/>
          <w:bCs/>
          <w:color w:val="auto"/>
          <w:szCs w:val="21"/>
          <w:highlight w:val="none"/>
        </w:rPr>
        <w:t>1.6现场踏勘及投标费用</w:t>
      </w:r>
      <w:bookmarkEnd w:id="123"/>
      <w:bookmarkEnd w:id="124"/>
    </w:p>
    <w:p w14:paraId="032EDB52">
      <w:pPr>
        <w:spacing w:before="120" w:line="320" w:lineRule="atLeast"/>
        <w:ind w:firstLine="420"/>
        <w:rPr>
          <w:color w:val="auto"/>
          <w:szCs w:val="21"/>
          <w:highlight w:val="none"/>
        </w:rPr>
      </w:pPr>
      <w:r>
        <w:rPr>
          <w:color w:val="auto"/>
          <w:szCs w:val="21"/>
          <w:highlight w:val="none"/>
        </w:rPr>
        <w:t>1.6.1前附表如规定现场踏勘的，供应商应按规定时间地点参加踏勘。</w:t>
      </w:r>
    </w:p>
    <w:p w14:paraId="465D7161">
      <w:pPr>
        <w:spacing w:before="120" w:line="320" w:lineRule="atLeast"/>
        <w:ind w:firstLine="420"/>
        <w:rPr>
          <w:color w:val="auto"/>
          <w:szCs w:val="21"/>
          <w:highlight w:val="none"/>
        </w:rPr>
      </w:pPr>
      <w:r>
        <w:rPr>
          <w:color w:val="auto"/>
          <w:szCs w:val="21"/>
          <w:highlight w:val="none"/>
        </w:rPr>
        <w:t>1.6.2供应商均应自行承担所有与投标有关的全部费用（招标文件有相关的规定除外）。</w:t>
      </w:r>
    </w:p>
    <w:p w14:paraId="10BBEED2">
      <w:pPr>
        <w:spacing w:before="120" w:line="320" w:lineRule="atLeast"/>
        <w:ind w:firstLine="422"/>
        <w:outlineLvl w:val="2"/>
        <w:rPr>
          <w:b/>
          <w:bCs/>
          <w:color w:val="auto"/>
          <w:szCs w:val="21"/>
          <w:highlight w:val="none"/>
        </w:rPr>
      </w:pPr>
      <w:r>
        <w:rPr>
          <w:b/>
          <w:bCs/>
          <w:color w:val="auto"/>
          <w:szCs w:val="21"/>
          <w:highlight w:val="none"/>
        </w:rPr>
        <w:t>1.7转包与分包</w:t>
      </w:r>
    </w:p>
    <w:p w14:paraId="42277FB1">
      <w:pPr>
        <w:spacing w:before="120" w:line="320" w:lineRule="atLeast"/>
        <w:ind w:firstLine="420"/>
        <w:rPr>
          <w:color w:val="auto"/>
          <w:szCs w:val="21"/>
          <w:highlight w:val="none"/>
        </w:rPr>
      </w:pPr>
      <w:r>
        <w:rPr>
          <w:color w:val="auto"/>
          <w:szCs w:val="21"/>
          <w:highlight w:val="none"/>
        </w:rPr>
        <w:t>1.7.1如</w:t>
      </w:r>
      <w:r>
        <w:rPr>
          <w:rFonts w:hint="eastAsia"/>
          <w:color w:val="auto"/>
          <w:szCs w:val="21"/>
          <w:highlight w:val="none"/>
        </w:rPr>
        <w:t>招标</w:t>
      </w:r>
      <w:r>
        <w:rPr>
          <w:color w:val="auto"/>
          <w:szCs w:val="21"/>
          <w:highlight w:val="none"/>
        </w:rPr>
        <w:t>文件其他地方无特别规定</w:t>
      </w:r>
      <w:r>
        <w:rPr>
          <w:rFonts w:hint="eastAsia"/>
          <w:color w:val="auto"/>
          <w:szCs w:val="21"/>
          <w:highlight w:val="none"/>
        </w:rPr>
        <w:t>，</w:t>
      </w:r>
      <w:r>
        <w:rPr>
          <w:color w:val="auto"/>
          <w:szCs w:val="21"/>
          <w:highlight w:val="none"/>
        </w:rPr>
        <w:t>本项目不允许转包。</w:t>
      </w:r>
    </w:p>
    <w:p w14:paraId="581FC7C0">
      <w:pPr>
        <w:spacing w:before="120" w:line="320" w:lineRule="atLeast"/>
        <w:ind w:firstLine="42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607DF2C1">
      <w:pPr>
        <w:spacing w:before="120" w:line="276" w:lineRule="auto"/>
        <w:ind w:firstLine="422"/>
        <w:outlineLvl w:val="2"/>
        <w:rPr>
          <w:b/>
          <w:bCs/>
          <w:color w:val="auto"/>
          <w:szCs w:val="21"/>
          <w:highlight w:val="none"/>
        </w:rPr>
      </w:pPr>
      <w:bookmarkStart w:id="125" w:name="_Toc254970673"/>
      <w:bookmarkStart w:id="126" w:name="_Toc254970532"/>
      <w:r>
        <w:rPr>
          <w:b/>
          <w:bCs/>
          <w:color w:val="auto"/>
          <w:szCs w:val="21"/>
          <w:highlight w:val="none"/>
        </w:rPr>
        <w:t>1.8特别说明</w:t>
      </w:r>
      <w:bookmarkEnd w:id="125"/>
      <w:bookmarkEnd w:id="126"/>
    </w:p>
    <w:p w14:paraId="7EA4C4A7">
      <w:pPr>
        <w:spacing w:line="276" w:lineRule="auto"/>
        <w:ind w:firstLine="420"/>
        <w:rPr>
          <w:color w:val="auto"/>
          <w:szCs w:val="21"/>
          <w:highlight w:val="none"/>
        </w:rPr>
      </w:pPr>
      <w:r>
        <w:rPr>
          <w:color w:val="auto"/>
          <w:szCs w:val="21"/>
          <w:highlight w:val="none"/>
        </w:rPr>
        <w:t>1.8.1 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257B4D82">
      <w:pPr>
        <w:spacing w:before="120" w:line="320" w:lineRule="atLeast"/>
        <w:ind w:firstLine="420"/>
        <w:rPr>
          <w:color w:val="auto"/>
          <w:szCs w:val="21"/>
          <w:highlight w:val="none"/>
        </w:rPr>
      </w:pPr>
      <w:r>
        <w:rPr>
          <w:color w:val="auto"/>
          <w:szCs w:val="21"/>
          <w:highlight w:val="none"/>
        </w:rPr>
        <w:t>1.8.2供应商应仔细阅读招标文件的所有内容，按照招标文件的要求提交投标文件，并对所提供的全部资料的真实性承担法律责任。</w:t>
      </w:r>
    </w:p>
    <w:p w14:paraId="5E8A9925">
      <w:pPr>
        <w:spacing w:before="120" w:line="360" w:lineRule="auto"/>
        <w:ind w:firstLine="420"/>
        <w:rPr>
          <w:color w:val="auto"/>
          <w:szCs w:val="21"/>
          <w:highlight w:val="none"/>
        </w:rPr>
      </w:pPr>
      <w:r>
        <w:rPr>
          <w:color w:val="auto"/>
          <w:szCs w:val="21"/>
          <w:highlight w:val="none"/>
        </w:rPr>
        <w:t>1.8.3供应商在投标活动中提供任何虚假材料，</w:t>
      </w:r>
      <w:r>
        <w:rPr>
          <w:rFonts w:hint="eastAsia"/>
          <w:color w:val="auto"/>
          <w:szCs w:val="21"/>
          <w:highlight w:val="none"/>
        </w:rPr>
        <w:t>将</w:t>
      </w:r>
      <w:r>
        <w:rPr>
          <w:color w:val="auto"/>
          <w:szCs w:val="21"/>
          <w:highlight w:val="none"/>
        </w:rPr>
        <w:t xml:space="preserve">报监管部门查处； </w:t>
      </w:r>
    </w:p>
    <w:p w14:paraId="551784FE">
      <w:pPr>
        <w:spacing w:before="120" w:line="276" w:lineRule="auto"/>
        <w:ind w:firstLine="422"/>
        <w:outlineLvl w:val="2"/>
        <w:rPr>
          <w:b/>
          <w:bCs/>
          <w:color w:val="auto"/>
          <w:szCs w:val="21"/>
          <w:highlight w:val="none"/>
        </w:rPr>
      </w:pPr>
      <w:r>
        <w:rPr>
          <w:rFonts w:hint="eastAsia"/>
          <w:b/>
          <w:bCs/>
          <w:color w:val="auto"/>
          <w:szCs w:val="21"/>
          <w:highlight w:val="none"/>
        </w:rPr>
        <w:t>1</w:t>
      </w:r>
      <w:r>
        <w:rPr>
          <w:b/>
          <w:bCs/>
          <w:color w:val="auto"/>
          <w:szCs w:val="21"/>
          <w:highlight w:val="none"/>
        </w:rPr>
        <w:t>.</w:t>
      </w:r>
      <w:r>
        <w:rPr>
          <w:rFonts w:hint="eastAsia"/>
          <w:b/>
          <w:bCs/>
          <w:color w:val="auto"/>
          <w:szCs w:val="21"/>
          <w:highlight w:val="none"/>
          <w:lang w:val="en-US" w:eastAsia="zh-CN"/>
        </w:rPr>
        <w:t xml:space="preserve">9 </w:t>
      </w:r>
      <w:r>
        <w:rPr>
          <w:rFonts w:hint="eastAsia"/>
          <w:b/>
          <w:bCs/>
          <w:color w:val="auto"/>
          <w:szCs w:val="21"/>
          <w:highlight w:val="none"/>
        </w:rPr>
        <w:t>对本国产品的支持政策</w:t>
      </w:r>
    </w:p>
    <w:p w14:paraId="3DB4C911">
      <w:pPr>
        <w:spacing w:before="120" w:line="360" w:lineRule="auto"/>
        <w:ind w:left="819" w:hanging="420"/>
        <w:rPr>
          <w:rFonts w:hint="default"/>
          <w:color w:val="auto"/>
          <w:szCs w:val="21"/>
          <w:highlight w:val="none"/>
          <w:lang w:val="en-US" w:eastAsia="zh-CN"/>
        </w:rPr>
      </w:pPr>
      <w:r>
        <w:rPr>
          <w:rFonts w:hint="eastAsia"/>
          <w:color w:val="auto"/>
          <w:szCs w:val="21"/>
          <w:highlight w:val="none"/>
          <w:lang w:val="en-US" w:eastAsia="zh-CN"/>
        </w:rPr>
        <w:t>1.9.1</w:t>
      </w:r>
      <w:r>
        <w:rPr>
          <w:rFonts w:hint="default"/>
          <w:color w:val="auto"/>
          <w:szCs w:val="21"/>
          <w:highlight w:val="none"/>
          <w:lang w:val="en-US" w:eastAsia="zh-CN"/>
        </w:rPr>
        <w:t>本国产品标准</w:t>
      </w:r>
    </w:p>
    <w:p w14:paraId="22B8CB6A">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7E8E2B74">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本国产品标准的产品应当符合以下条件：</w:t>
      </w:r>
    </w:p>
    <w:p w14:paraId="4E58E81B">
      <w:pPr>
        <w:spacing w:line="276" w:lineRule="auto"/>
        <w:ind w:firstLine="420"/>
        <w:rPr>
          <w:rFonts w:hint="default"/>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lang w:val="en-US" w:eastAsia="zh-CN"/>
        </w:rPr>
        <w:t>在中国境内生产</w:t>
      </w:r>
      <w:r>
        <w:rPr>
          <w:rFonts w:hint="eastAsia"/>
          <w:color w:val="auto"/>
          <w:szCs w:val="21"/>
          <w:highlight w:val="none"/>
          <w:lang w:val="en-US" w:eastAsia="zh-CN"/>
        </w:rPr>
        <w:t>。</w:t>
      </w:r>
      <w:r>
        <w:rPr>
          <w:rFonts w:hint="default"/>
          <w:color w:val="auto"/>
          <w:szCs w:val="21"/>
          <w:highlight w:val="none"/>
          <w:lang w:val="en-US" w:eastAsia="zh-CN"/>
        </w:rPr>
        <w:t>产品应当在中国境内生产，即在中华人民共和国关境内</w:t>
      </w:r>
      <w:r>
        <w:rPr>
          <w:rFonts w:hint="eastAsia" w:ascii="Times New Roman" w:hAnsi="Times New Roman" w:eastAsia="宋体" w:cs="Times New Roman"/>
          <w:color w:val="auto"/>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0058E5CD">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①为确保产品在运输或者储存期间保持某种状态而进行的操作；</w:t>
      </w:r>
    </w:p>
    <w:p w14:paraId="2257498F">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②为产品运输或者销售进行的包装或者展示；</w:t>
      </w:r>
    </w:p>
    <w:p w14:paraId="648ABED8">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③在产品或者其包装上粘贴或者印刷品牌、标志、标识以及其他用于区别的标记；</w:t>
      </w:r>
    </w:p>
    <w:p w14:paraId="5594A7E8">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④简单的上漆、磨光和分装；</w:t>
      </w:r>
    </w:p>
    <w:p w14:paraId="414A0688">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⑤其他不属于属性改变的情形；</w:t>
      </w:r>
    </w:p>
    <w:p w14:paraId="742E14DC">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lang w:val="en-US" w:eastAsia="zh-CN"/>
        </w:rPr>
        <w:t>中国境内生产的组件成本占比达到规定比例</w:t>
      </w:r>
      <w:r>
        <w:rPr>
          <w:rFonts w:hint="eastAsia"/>
          <w:color w:val="auto"/>
          <w:szCs w:val="21"/>
          <w:highlight w:val="none"/>
          <w:lang w:val="en-US" w:eastAsia="zh-CN"/>
        </w:rPr>
        <w:t>。</w:t>
      </w:r>
    </w:p>
    <w:p w14:paraId="54A735CD">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①产品在中国境内生产的组件成本占比应当达到规定比例，计算公式为：产品在中国境内生产的组件成本/产品总成本≥规定比例；</w:t>
      </w:r>
    </w:p>
    <w:p w14:paraId="0919069D">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②产品在中国境内生产的组件成本，按照《中国境内生产的组件成本核算基本规则》计算；</w:t>
      </w:r>
    </w:p>
    <w:p w14:paraId="3AFFD3B5">
      <w:pPr>
        <w:spacing w:line="276" w:lineRule="auto"/>
        <w:ind w:firstLine="420"/>
        <w:rPr>
          <w:rFonts w:hint="default"/>
          <w:color w:val="auto"/>
          <w:szCs w:val="21"/>
          <w:highlight w:val="none"/>
          <w:lang w:val="en-US" w:eastAsia="zh-CN"/>
        </w:rPr>
      </w:pPr>
      <w:r>
        <w:rPr>
          <w:rFonts w:hint="eastAsia"/>
          <w:color w:val="auto"/>
          <w:szCs w:val="21"/>
          <w:highlight w:val="none"/>
          <w:lang w:val="en-US" w:eastAsia="zh-CN"/>
        </w:rPr>
        <w:t>③中国境内生产的组件成本占比相关要求实施前，符合第（1）项条件的产品在政府采购活动中视同本国产品。</w:t>
      </w:r>
    </w:p>
    <w:p w14:paraId="61979957">
      <w:pPr>
        <w:spacing w:line="276" w:lineRule="auto"/>
        <w:ind w:firstLine="420"/>
        <w:rPr>
          <w:rFonts w:hint="default"/>
          <w:color w:val="auto"/>
          <w:szCs w:val="21"/>
          <w:highlight w:val="none"/>
          <w:lang w:val="en-US" w:eastAsia="zh-CN"/>
        </w:rPr>
      </w:pPr>
      <w:r>
        <w:rPr>
          <w:rFonts w:hint="eastAsia"/>
          <w:color w:val="auto"/>
          <w:szCs w:val="21"/>
          <w:highlight w:val="none"/>
          <w:lang w:val="en-US" w:eastAsia="zh-CN"/>
        </w:rPr>
        <w:t>（3）</w:t>
      </w:r>
      <w:r>
        <w:rPr>
          <w:rFonts w:hint="default"/>
          <w:color w:val="auto"/>
          <w:szCs w:val="21"/>
          <w:highlight w:val="none"/>
          <w:lang w:val="en-US" w:eastAsia="zh-CN"/>
        </w:rPr>
        <w:t>特定产品的关键组件和工序在中国境内完成。</w:t>
      </w:r>
    </w:p>
    <w:p w14:paraId="57D4CF6C">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534A00D8">
      <w:pPr>
        <w:spacing w:line="276" w:lineRule="auto"/>
        <w:ind w:firstLine="420"/>
        <w:rPr>
          <w:rFonts w:hint="default"/>
          <w:color w:val="auto"/>
          <w:szCs w:val="21"/>
          <w:highlight w:val="none"/>
          <w:lang w:val="en-US" w:eastAsia="zh-CN"/>
        </w:rPr>
      </w:pPr>
      <w:r>
        <w:rPr>
          <w:rFonts w:hint="eastAsia"/>
          <w:color w:val="auto"/>
          <w:szCs w:val="21"/>
          <w:highlight w:val="none"/>
          <w:lang w:val="en-US" w:eastAsia="zh-CN"/>
        </w:rPr>
        <w:t>②特定产品的关键组件、关键工序符合相关要求实施前，符合第（1）项和第（2）项条件的产品在政府采购活动中视同本国产品。</w:t>
      </w:r>
    </w:p>
    <w:p w14:paraId="46662824">
      <w:pPr>
        <w:spacing w:before="120" w:line="360" w:lineRule="auto"/>
        <w:ind w:left="819" w:hanging="420"/>
        <w:rPr>
          <w:rFonts w:hint="eastAsia"/>
          <w:color w:val="auto"/>
          <w:szCs w:val="21"/>
          <w:highlight w:val="none"/>
          <w:lang w:val="en-US" w:eastAsia="zh-CN"/>
        </w:rPr>
      </w:pPr>
      <w:r>
        <w:rPr>
          <w:rFonts w:hint="eastAsia"/>
          <w:color w:val="auto"/>
          <w:szCs w:val="21"/>
          <w:highlight w:val="none"/>
          <w:lang w:val="en-US" w:eastAsia="zh-CN"/>
        </w:rPr>
        <w:t>1.9.2 本国产品标准的适用范围</w:t>
      </w:r>
    </w:p>
    <w:p w14:paraId="12A94573">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lang w:val="en-US" w:eastAsia="zh-CN"/>
        </w:rPr>
        <w:t>本项目是否适用对本国产品的支持政策详见投标人须知前附表。</w:t>
      </w:r>
    </w:p>
    <w:p w14:paraId="1BBEB545">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中华人民共和国缔结或者共同参加的国际条约、协定对政府采购中本国产品政策另有规定的，按照有关条约、协定执行。</w:t>
      </w:r>
    </w:p>
    <w:p w14:paraId="636C4467">
      <w:pPr>
        <w:spacing w:before="120" w:line="320" w:lineRule="atLeast"/>
        <w:ind w:firstLine="420"/>
        <w:rPr>
          <w:rFonts w:hint="default"/>
          <w:color w:val="auto"/>
          <w:szCs w:val="21"/>
          <w:highlight w:val="none"/>
          <w:lang w:val="en-US" w:eastAsia="zh-CN"/>
        </w:rPr>
      </w:pPr>
      <w:r>
        <w:rPr>
          <w:rFonts w:hint="eastAsia"/>
          <w:color w:val="auto"/>
          <w:szCs w:val="21"/>
          <w:highlight w:val="none"/>
          <w:lang w:val="en-US" w:eastAsia="zh-CN"/>
        </w:rPr>
        <w:t>1.9.3 价格评审优惠</w:t>
      </w:r>
    </w:p>
    <w:p w14:paraId="1E586AD0">
      <w:pPr>
        <w:spacing w:before="120" w:line="320" w:lineRule="atLeast"/>
        <w:ind w:firstLine="420"/>
        <w:rPr>
          <w:rFonts w:hint="eastAsia"/>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550259C2">
      <w:pPr>
        <w:spacing w:before="120" w:line="320" w:lineRule="atLeast"/>
        <w:ind w:firstLine="420"/>
        <w:rPr>
          <w:rFonts w:hint="eastAsia"/>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247802">
      <w:pPr>
        <w:spacing w:before="120" w:line="320" w:lineRule="atLeast"/>
        <w:ind w:firstLine="420"/>
        <w:rPr>
          <w:rFonts w:hint="eastAsia"/>
          <w:color w:val="auto"/>
          <w:szCs w:val="21"/>
          <w:highlight w:val="none"/>
          <w:lang w:eastAsia="zh-CN"/>
        </w:rPr>
      </w:pPr>
      <w:r>
        <w:rPr>
          <w:rFonts w:hint="eastAsia"/>
          <w:color w:val="auto"/>
          <w:szCs w:val="21"/>
          <w:highlight w:val="none"/>
        </w:rPr>
        <w:t>价格扣除比例在第四章评审方法及标准中规定</w:t>
      </w:r>
      <w:r>
        <w:rPr>
          <w:rFonts w:hint="eastAsia"/>
          <w:color w:val="auto"/>
          <w:szCs w:val="21"/>
          <w:highlight w:val="none"/>
          <w:lang w:eastAsia="zh-CN"/>
        </w:rPr>
        <w:t>。</w:t>
      </w:r>
    </w:p>
    <w:p w14:paraId="275E4FA2">
      <w:p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1.9.4政策执行要求</w:t>
      </w:r>
    </w:p>
    <w:p w14:paraId="79224219">
      <w:p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1.9.4.1产品在中国境内生产的组件成本核算规则：产品在中国境内生产的组件成本，按照《中国境内生产的组件成本核算基本规则》计算。</w:t>
      </w:r>
    </w:p>
    <w:p w14:paraId="33DF8801">
      <w:pPr>
        <w:spacing w:before="120" w:line="360" w:lineRule="auto"/>
        <w:ind w:firstLine="2520"/>
        <w:rPr>
          <w:rFonts w:hint="eastAsia"/>
          <w:color w:val="auto"/>
          <w:szCs w:val="21"/>
          <w:highlight w:val="none"/>
          <w:lang w:eastAsia="zh-CN"/>
        </w:rPr>
      </w:pPr>
      <w:r>
        <w:rPr>
          <w:rFonts w:hint="eastAsia" w:eastAsia="宋体"/>
          <w:color w:val="auto"/>
          <w:szCs w:val="21"/>
          <w:highlight w:val="none"/>
          <w:lang w:eastAsia="zh-CN"/>
        </w:rPr>
        <w:t>《中国境内生产的组件成本核算基本规则》</w:t>
      </w:r>
    </w:p>
    <w:p w14:paraId="67F161B0">
      <w:pPr>
        <w:spacing w:before="120" w:line="240" w:lineRule="auto"/>
        <w:ind w:firstLine="420"/>
        <w:rPr>
          <w:rFonts w:hint="eastAsia"/>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9F92E18">
      <w:pPr>
        <w:numPr>
          <w:ilvl w:val="0"/>
          <w:numId w:val="0"/>
        </w:numPr>
        <w:spacing w:before="120" w:line="240" w:lineRule="auto"/>
        <w:ind w:firstLine="420"/>
        <w:rPr>
          <w:rFonts w:hint="eastAsia"/>
          <w:color w:val="auto"/>
          <w:szCs w:val="21"/>
          <w:highlight w:val="none"/>
        </w:rPr>
      </w:pPr>
      <w:r>
        <w:rPr>
          <w:rFonts w:hint="eastAsia"/>
          <w:color w:val="auto"/>
          <w:szCs w:val="21"/>
          <w:highlight w:val="none"/>
          <w:lang w:val="en-US" w:eastAsia="zh-CN"/>
        </w:rPr>
        <w:t>1.</w:t>
      </w:r>
      <w:r>
        <w:rPr>
          <w:rFonts w:hint="eastAsia"/>
          <w:color w:val="auto"/>
          <w:szCs w:val="21"/>
          <w:highlight w:val="none"/>
        </w:rPr>
        <w:t>产品的一级组件是指直接组成产品的组件。产品的二级组件是指直接组成产品一级组件的组件。一级组件不可分解的，视同二级组件。</w:t>
      </w:r>
    </w:p>
    <w:p w14:paraId="19750924">
      <w:pPr>
        <w:numPr>
          <w:ilvl w:val="0"/>
          <w:numId w:val="0"/>
        </w:numPr>
        <w:spacing w:before="120" w:line="240" w:lineRule="auto"/>
        <w:ind w:firstLine="420"/>
        <w:rPr>
          <w:rFonts w:hint="eastAsia"/>
          <w:color w:val="auto"/>
          <w:szCs w:val="21"/>
          <w:highlight w:val="none"/>
        </w:rPr>
      </w:pPr>
      <w:r>
        <w:rPr>
          <w:rFonts w:hint="eastAsia" w:ascii="Times New Roman" w:eastAsia="宋体"/>
          <w:color w:val="auto"/>
          <w:szCs w:val="21"/>
          <w:highlight w:val="none"/>
          <w:lang w:val="en-US" w:eastAsia="zh-CN"/>
        </w:rPr>
        <w:t>2.</w:t>
      </w:r>
      <w:r>
        <w:rPr>
          <w:rFonts w:hint="eastAsia"/>
          <w:color w:val="auto"/>
          <w:szCs w:val="21"/>
          <w:highlight w:val="none"/>
        </w:rPr>
        <w:t>二级组件在中国境内生产的，其全部成本计入中国境内生产的组件成本；二级组件不在中国境内生产的，其成本不计入中国境内生产的组件成本。</w:t>
      </w:r>
    </w:p>
    <w:p w14:paraId="4C55D2E6">
      <w:pPr>
        <w:spacing w:before="120" w:line="240" w:lineRule="auto"/>
        <w:ind w:firstLine="420"/>
        <w:rPr>
          <w:rFonts w:hint="eastAsia"/>
          <w:color w:val="auto"/>
          <w:szCs w:val="21"/>
          <w:highlight w:val="none"/>
        </w:rPr>
      </w:pPr>
      <w:r>
        <w:rPr>
          <w:rFonts w:hint="eastAsia" w:ascii="Times New Roman" w:eastAsia="宋体"/>
          <w:color w:val="auto"/>
          <w:szCs w:val="21"/>
          <w:highlight w:val="none"/>
          <w:lang w:val="en-US" w:eastAsia="zh-CN"/>
        </w:rPr>
        <w:t>3.</w:t>
      </w:r>
      <w:r>
        <w:rPr>
          <w:rFonts w:hint="eastAsia"/>
          <w:color w:val="auto"/>
          <w:szCs w:val="21"/>
          <w:highlight w:val="none"/>
        </w:rPr>
        <w:t>产品总成本和组件成本以相关会计核算数据、采购合同、进货记录等为基础进行计算。</w:t>
      </w:r>
    </w:p>
    <w:p w14:paraId="080AD8C0">
      <w:pPr>
        <w:spacing w:before="120" w:line="240" w:lineRule="auto"/>
        <w:ind w:firstLine="420"/>
        <w:rPr>
          <w:rFonts w:hint="eastAsia"/>
          <w:color w:val="auto"/>
          <w:szCs w:val="21"/>
          <w:highlight w:val="none"/>
          <w:lang w:val="en-US" w:eastAsia="zh-CN"/>
        </w:rPr>
      </w:pPr>
      <w:r>
        <w:rPr>
          <w:rFonts w:hint="eastAsia" w:ascii="Times New Roman" w:eastAsia="宋体"/>
          <w:color w:val="auto"/>
          <w:szCs w:val="21"/>
          <w:highlight w:val="none"/>
          <w:lang w:val="en-US" w:eastAsia="zh-CN"/>
        </w:rPr>
        <w:t>4.</w:t>
      </w:r>
      <w:r>
        <w:rPr>
          <w:rFonts w:hint="eastAsia"/>
          <w:color w:val="auto"/>
          <w:szCs w:val="21"/>
          <w:highlight w:val="none"/>
        </w:rPr>
        <w:t>需要对成本核算规则予以进一步明确的其他有关事项，由财政部会同有关部门另行规定。</w:t>
      </w:r>
    </w:p>
    <w:p w14:paraId="4EA39C09">
      <w:p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1.9.4.2证明材料提交与审查：供应商需在投标（响应）文件中对其提供的产品出具《关于符合本国产品标准的声明函》（样式见投标文件格式）或财政部会同有关部门规定的有关证明文件。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92B876A">
      <w:pPr>
        <w:pStyle w:val="20"/>
        <w:ind w:firstLine="420"/>
        <w:rPr>
          <w:rFonts w:hint="eastAsia" w:ascii="Times New Roman" w:hAnsi="Times New Roman" w:eastAsia="宋体"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评标委员会</w:t>
      </w:r>
      <w:r>
        <w:rPr>
          <w:rFonts w:hint="eastAsia" w:ascii="Times New Roman" w:hAnsi="Times New Roman" w:eastAsia="宋体" w:cs="Times New Roman"/>
          <w:color w:val="auto"/>
          <w:sz w:val="21"/>
          <w:szCs w:val="21"/>
          <w:highlight w:val="none"/>
          <w:lang w:val="en-US" w:eastAsia="zh-CN" w:bidi="ar-SA"/>
        </w:rPr>
        <w:t>应对《声明函》的完整性、准确性进行审查，对《声明函》内容含义不明确、同类事项与投标（响应）文件表述不一致或存在明显文字错误的，应</w:t>
      </w:r>
      <w:r>
        <w:rPr>
          <w:rFonts w:hint="eastAsia" w:cs="Times New Roman"/>
          <w:color w:val="auto"/>
          <w:sz w:val="21"/>
          <w:szCs w:val="21"/>
          <w:highlight w:val="none"/>
          <w:lang w:val="en-US" w:eastAsia="zh-CN" w:bidi="ar-SA"/>
        </w:rPr>
        <w:t>当</w:t>
      </w:r>
      <w:r>
        <w:rPr>
          <w:rFonts w:hint="eastAsia" w:ascii="Times New Roman" w:hAnsi="Times New Roman" w:eastAsia="宋体" w:cs="Times New Roman"/>
          <w:color w:val="auto"/>
          <w:sz w:val="21"/>
          <w:szCs w:val="21"/>
          <w:highlight w:val="none"/>
          <w:lang w:val="en-US" w:eastAsia="zh-CN" w:bidi="ar-SA"/>
        </w:rPr>
        <w:t>以书面形式要求供应商澄清、说明或者补正；</w:t>
      </w:r>
      <w:r>
        <w:rPr>
          <w:rFonts w:hint="eastAsia" w:cs="Times New Roman"/>
          <w:color w:val="auto"/>
          <w:sz w:val="21"/>
          <w:szCs w:val="21"/>
          <w:highlight w:val="none"/>
          <w:lang w:val="en-US" w:eastAsia="zh-CN" w:bidi="ar-SA"/>
        </w:rPr>
        <w:t>经</w:t>
      </w:r>
      <w:r>
        <w:rPr>
          <w:rFonts w:hint="eastAsia" w:ascii="Times New Roman" w:hAnsi="Times New Roman" w:eastAsia="宋体" w:cs="Times New Roman"/>
          <w:color w:val="auto"/>
          <w:sz w:val="21"/>
          <w:szCs w:val="21"/>
          <w:highlight w:val="none"/>
          <w:lang w:val="en-US" w:eastAsia="zh-CN" w:bidi="ar-SA"/>
        </w:rPr>
        <w:t>澄清、说明或者补正后仍不符合要求的，不认定为本国产品。</w:t>
      </w:r>
    </w:p>
    <w:p w14:paraId="5E3A40E0">
      <w:pPr>
        <w:pStyle w:val="20"/>
        <w:ind w:firstLine="420"/>
        <w:rPr>
          <w:rFonts w:hint="default"/>
          <w:color w:val="auto"/>
          <w:sz w:val="21"/>
          <w:szCs w:val="21"/>
          <w:highlight w:val="none"/>
          <w:lang w:val="en-US" w:eastAsia="zh-CN"/>
        </w:rPr>
      </w:pPr>
      <w:r>
        <w:rPr>
          <w:rFonts w:hint="eastAsia"/>
          <w:color w:val="auto"/>
          <w:sz w:val="21"/>
          <w:szCs w:val="21"/>
          <w:highlight w:val="none"/>
          <w:lang w:val="en-US" w:eastAsia="zh-CN"/>
        </w:rPr>
        <w:t>澄清补正应当按照“6.3.3澄清、说明或补正”的规定提交。</w:t>
      </w:r>
    </w:p>
    <w:p w14:paraId="69525C39">
      <w:pPr>
        <w:pStyle w:val="20"/>
        <w:ind w:firstLine="42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716F301E">
      <w:pPr>
        <w:spacing w:before="120" w:line="320" w:lineRule="atLeast"/>
        <w:ind w:firstLine="420"/>
        <w:rPr>
          <w:rFonts w:hint="eastAsia"/>
          <w:color w:val="auto"/>
          <w:szCs w:val="21"/>
          <w:highlight w:val="none"/>
          <w:lang w:val="en-US" w:eastAsia="zh-CN"/>
        </w:rPr>
      </w:pPr>
      <w:r>
        <w:rPr>
          <w:rFonts w:hint="default" w:ascii="Times New Roman" w:hAnsi="Times New Roman" w:eastAsia="宋体" w:cs="Times New Roman"/>
          <w:color w:val="auto"/>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sz w:val="21"/>
          <w:szCs w:val="21"/>
          <w:highlight w:val="none"/>
          <w:lang w:val="en-US" w:eastAsia="zh-CN" w:bidi="ar-SA"/>
        </w:rPr>
        <w:t>关于符合</w:t>
      </w:r>
      <w:r>
        <w:rPr>
          <w:rFonts w:hint="default" w:ascii="Times New Roman" w:hAnsi="Times New Roman" w:eastAsia="宋体" w:cs="Times New Roman"/>
          <w:color w:val="auto"/>
          <w:sz w:val="21"/>
          <w:szCs w:val="21"/>
          <w:highlight w:val="none"/>
          <w:lang w:val="en-US" w:eastAsia="zh-CN" w:bidi="ar-SA"/>
        </w:rPr>
        <w:t>本国产品</w:t>
      </w:r>
      <w:r>
        <w:rPr>
          <w:rFonts w:hint="eastAsia" w:cs="Times New Roman"/>
          <w:color w:val="auto"/>
          <w:sz w:val="21"/>
          <w:szCs w:val="21"/>
          <w:highlight w:val="none"/>
          <w:lang w:val="en-US" w:eastAsia="zh-CN" w:bidi="ar-SA"/>
        </w:rPr>
        <w:t>标准的</w:t>
      </w:r>
      <w:r>
        <w:rPr>
          <w:rFonts w:hint="default" w:ascii="Times New Roman" w:hAnsi="Times New Roman" w:eastAsia="宋体" w:cs="Times New Roman"/>
          <w:color w:val="auto"/>
          <w:sz w:val="21"/>
          <w:szCs w:val="21"/>
          <w:highlight w:val="none"/>
          <w:lang w:val="en-US" w:eastAsia="zh-CN" w:bidi="ar-SA"/>
        </w:rPr>
        <w:t>成本占比承诺函》</w:t>
      </w:r>
      <w:r>
        <w:rPr>
          <w:rFonts w:hint="eastAsia" w:cs="Times New Roman"/>
          <w:color w:val="auto"/>
          <w:sz w:val="21"/>
          <w:szCs w:val="21"/>
          <w:highlight w:val="none"/>
          <w:lang w:val="en-US" w:eastAsia="zh-CN" w:bidi="ar-SA"/>
        </w:rPr>
        <w:t>（如适用）</w:t>
      </w:r>
      <w:r>
        <w:rPr>
          <w:rFonts w:hint="default" w:ascii="Times New Roman" w:hAnsi="Times New Roman" w:eastAsia="宋体" w:cs="Times New Roman"/>
          <w:color w:val="auto"/>
          <w:sz w:val="21"/>
          <w:szCs w:val="21"/>
          <w:highlight w:val="none"/>
          <w:lang w:val="en-US" w:eastAsia="zh-CN" w:bidi="ar-SA"/>
        </w:rPr>
        <w:t>（参考模板</w:t>
      </w:r>
      <w:r>
        <w:rPr>
          <w:rFonts w:hint="eastAsia" w:cs="Times New Roman"/>
          <w:color w:val="auto"/>
          <w:sz w:val="21"/>
          <w:szCs w:val="21"/>
          <w:highlight w:val="none"/>
          <w:lang w:val="en-US" w:eastAsia="zh-CN" w:bidi="ar-SA"/>
        </w:rPr>
        <w:t>详见投标文件格式</w:t>
      </w:r>
      <w:r>
        <w:rPr>
          <w:rFonts w:hint="default" w:ascii="Times New Roman" w:hAnsi="Times New Roman" w:eastAsia="宋体" w:cs="Times New Roman"/>
          <w:color w:val="auto"/>
          <w:sz w:val="21"/>
          <w:szCs w:val="21"/>
          <w:highlight w:val="none"/>
          <w:lang w:val="en-US" w:eastAsia="zh-CN" w:bidi="ar-SA"/>
        </w:rPr>
        <w:t>）。相关成本核算的原始凭证应妥善留存，以备核查。采购人可在履约验收环节对相关材料进行抽查。</w:t>
      </w:r>
    </w:p>
    <w:p w14:paraId="09BFF759">
      <w:pPr>
        <w:spacing w:before="120" w:line="320" w:lineRule="atLeast"/>
        <w:ind w:firstLine="420"/>
        <w:rPr>
          <w:rFonts w:hint="default"/>
          <w:color w:val="auto"/>
          <w:szCs w:val="21"/>
          <w:highlight w:val="none"/>
          <w:lang w:val="en-US" w:eastAsia="zh-CN"/>
        </w:rPr>
      </w:pPr>
      <w:r>
        <w:rPr>
          <w:rFonts w:hint="eastAsia"/>
          <w:color w:val="auto"/>
          <w:szCs w:val="21"/>
          <w:highlight w:val="none"/>
          <w:lang w:val="en-US" w:eastAsia="zh-CN"/>
        </w:rPr>
        <w:t>1.9.5 争议处理</w:t>
      </w:r>
    </w:p>
    <w:p w14:paraId="02415FBE">
      <w:p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390DA3B1">
      <w:pPr>
        <w:spacing w:before="120" w:line="320" w:lineRule="atLeast"/>
        <w:ind w:left="2" w:firstLine="422"/>
        <w:outlineLvl w:val="1"/>
        <w:rPr>
          <w:color w:val="auto"/>
          <w:highlight w:val="none"/>
        </w:rPr>
      </w:pPr>
      <w:r>
        <w:rPr>
          <w:b/>
          <w:bCs/>
          <w:color w:val="auto"/>
          <w:szCs w:val="21"/>
          <w:highlight w:val="none"/>
        </w:rPr>
        <w:t>2．招标文件</w:t>
      </w:r>
    </w:p>
    <w:p w14:paraId="5E2F5C8B">
      <w:pPr>
        <w:spacing w:before="120" w:line="320" w:lineRule="atLeast"/>
        <w:ind w:left="2" w:firstLine="422"/>
        <w:outlineLvl w:val="1"/>
        <w:rPr>
          <w:b/>
          <w:bCs/>
          <w:color w:val="auto"/>
          <w:szCs w:val="21"/>
          <w:highlight w:val="none"/>
        </w:rPr>
      </w:pPr>
      <w:bookmarkStart w:id="127" w:name="_Toc254970534"/>
      <w:bookmarkStart w:id="128" w:name="_Toc254970675"/>
      <w:r>
        <w:rPr>
          <w:b/>
          <w:bCs/>
          <w:color w:val="auto"/>
          <w:szCs w:val="21"/>
          <w:highlight w:val="none"/>
        </w:rPr>
        <w:t>2．招标文件</w:t>
      </w:r>
      <w:bookmarkEnd w:id="127"/>
      <w:bookmarkEnd w:id="128"/>
    </w:p>
    <w:p w14:paraId="03156DD0">
      <w:pPr>
        <w:spacing w:before="120" w:line="320" w:lineRule="atLeast"/>
        <w:ind w:firstLine="422"/>
        <w:outlineLvl w:val="2"/>
        <w:rPr>
          <w:b/>
          <w:bCs/>
          <w:color w:val="auto"/>
          <w:szCs w:val="21"/>
          <w:highlight w:val="none"/>
        </w:rPr>
      </w:pPr>
      <w:r>
        <w:rPr>
          <w:b/>
          <w:bCs/>
          <w:color w:val="auto"/>
          <w:szCs w:val="21"/>
          <w:highlight w:val="none"/>
        </w:rPr>
        <w:t>2.1招标文件的构成</w:t>
      </w:r>
    </w:p>
    <w:p w14:paraId="28DFC862">
      <w:pPr>
        <w:spacing w:before="120" w:line="320" w:lineRule="atLeast"/>
        <w:ind w:firstLine="420"/>
        <w:rPr>
          <w:color w:val="auto"/>
          <w:szCs w:val="21"/>
          <w:highlight w:val="none"/>
        </w:rPr>
      </w:pPr>
      <w:r>
        <w:rPr>
          <w:color w:val="auto"/>
          <w:szCs w:val="21"/>
          <w:highlight w:val="none"/>
        </w:rPr>
        <w:t>第一章 招标公告</w:t>
      </w:r>
    </w:p>
    <w:p w14:paraId="6706335D">
      <w:pPr>
        <w:spacing w:before="120" w:line="320" w:lineRule="atLeast"/>
        <w:ind w:firstLine="420"/>
        <w:rPr>
          <w:color w:val="auto"/>
          <w:szCs w:val="21"/>
          <w:highlight w:val="none"/>
        </w:rPr>
      </w:pPr>
      <w:r>
        <w:rPr>
          <w:color w:val="auto"/>
          <w:szCs w:val="21"/>
          <w:highlight w:val="none"/>
        </w:rPr>
        <w:t>第二章 采购需求</w:t>
      </w:r>
    </w:p>
    <w:p w14:paraId="40C42CAB">
      <w:pPr>
        <w:spacing w:before="120" w:line="320" w:lineRule="atLeast"/>
        <w:ind w:firstLine="420"/>
        <w:rPr>
          <w:color w:val="auto"/>
          <w:szCs w:val="21"/>
          <w:highlight w:val="none"/>
        </w:rPr>
      </w:pPr>
      <w:r>
        <w:rPr>
          <w:color w:val="auto"/>
          <w:szCs w:val="21"/>
          <w:highlight w:val="none"/>
        </w:rPr>
        <w:t>第三章 供应商须知</w:t>
      </w:r>
    </w:p>
    <w:p w14:paraId="215CEBB2">
      <w:pPr>
        <w:spacing w:before="120" w:line="320" w:lineRule="atLeast"/>
        <w:ind w:firstLine="420"/>
        <w:rPr>
          <w:color w:val="auto"/>
          <w:szCs w:val="21"/>
          <w:highlight w:val="none"/>
        </w:rPr>
      </w:pPr>
      <w:r>
        <w:rPr>
          <w:color w:val="auto"/>
          <w:szCs w:val="21"/>
          <w:highlight w:val="none"/>
        </w:rPr>
        <w:t>第四章 评审方法及标准</w:t>
      </w:r>
    </w:p>
    <w:p w14:paraId="32178B69">
      <w:pPr>
        <w:spacing w:before="120" w:line="320" w:lineRule="atLeast"/>
        <w:ind w:firstLine="420"/>
        <w:rPr>
          <w:color w:val="auto"/>
          <w:szCs w:val="21"/>
          <w:highlight w:val="none"/>
        </w:rPr>
      </w:pPr>
      <w:r>
        <w:rPr>
          <w:color w:val="auto"/>
          <w:szCs w:val="21"/>
          <w:highlight w:val="none"/>
        </w:rPr>
        <w:t>第五章 合同主要条款格式</w:t>
      </w:r>
    </w:p>
    <w:p w14:paraId="3808F63A">
      <w:pPr>
        <w:spacing w:before="120" w:line="320" w:lineRule="atLeast"/>
        <w:ind w:firstLine="420"/>
        <w:rPr>
          <w:color w:val="auto"/>
          <w:szCs w:val="21"/>
          <w:highlight w:val="none"/>
        </w:rPr>
      </w:pPr>
      <w:r>
        <w:rPr>
          <w:color w:val="auto"/>
          <w:szCs w:val="21"/>
          <w:highlight w:val="none"/>
        </w:rPr>
        <w:t>第六章 投标文件格式</w:t>
      </w:r>
    </w:p>
    <w:p w14:paraId="58DB6470">
      <w:pPr>
        <w:spacing w:before="120" w:line="320" w:lineRule="atLeast"/>
        <w:ind w:firstLine="422"/>
        <w:outlineLvl w:val="2"/>
        <w:rPr>
          <w:b/>
          <w:bCs/>
          <w:color w:val="auto"/>
          <w:szCs w:val="21"/>
          <w:highlight w:val="none"/>
        </w:rPr>
      </w:pPr>
      <w:r>
        <w:rPr>
          <w:b/>
          <w:bCs/>
          <w:color w:val="auto"/>
          <w:szCs w:val="21"/>
          <w:highlight w:val="none"/>
        </w:rPr>
        <w:t>2.2供应商的风险</w:t>
      </w:r>
    </w:p>
    <w:p w14:paraId="701588CE">
      <w:pPr>
        <w:spacing w:before="120" w:line="320" w:lineRule="atLeast"/>
        <w:ind w:firstLine="420"/>
        <w:rPr>
          <w:color w:val="auto"/>
          <w:szCs w:val="21"/>
          <w:highlight w:val="none"/>
        </w:rPr>
      </w:pPr>
      <w:r>
        <w:rPr>
          <w:color w:val="auto"/>
          <w:szCs w:val="21"/>
          <w:highlight w:val="none"/>
        </w:rPr>
        <w:t>供应商没有按照招标文件要求提供全部资料，或者供应商没有对招标文件在各方面作出实质性响应是供应商的风险，并可能导致其</w:t>
      </w:r>
      <w:r>
        <w:rPr>
          <w:rFonts w:hint="eastAsia"/>
          <w:color w:val="auto"/>
          <w:szCs w:val="21"/>
          <w:highlight w:val="none"/>
          <w:lang w:eastAsia="zh-CN"/>
        </w:rPr>
        <w:t>投标无效</w:t>
      </w:r>
      <w:r>
        <w:rPr>
          <w:color w:val="auto"/>
          <w:szCs w:val="21"/>
          <w:highlight w:val="none"/>
        </w:rPr>
        <w:t>。</w:t>
      </w:r>
    </w:p>
    <w:p w14:paraId="010E3F2D">
      <w:pPr>
        <w:spacing w:before="120" w:line="320" w:lineRule="atLeast"/>
        <w:ind w:firstLine="422"/>
        <w:outlineLvl w:val="2"/>
        <w:rPr>
          <w:b/>
          <w:color w:val="auto"/>
          <w:szCs w:val="21"/>
          <w:highlight w:val="none"/>
        </w:rPr>
      </w:pPr>
      <w:r>
        <w:rPr>
          <w:b/>
          <w:bCs/>
          <w:color w:val="auto"/>
          <w:szCs w:val="21"/>
          <w:highlight w:val="none"/>
        </w:rPr>
        <w:t>2.3招标文件的澄清与修改</w:t>
      </w:r>
    </w:p>
    <w:p w14:paraId="47825512">
      <w:pPr>
        <w:spacing w:before="120" w:line="320" w:lineRule="atLeast"/>
        <w:ind w:firstLine="420"/>
        <w:rPr>
          <w:color w:val="auto"/>
          <w:szCs w:val="21"/>
          <w:highlight w:val="none"/>
        </w:rPr>
      </w:pPr>
      <w:r>
        <w:rPr>
          <w:color w:val="auto"/>
          <w:szCs w:val="21"/>
          <w:highlight w:val="none"/>
        </w:rPr>
        <w:t>2.3.1</w:t>
      </w:r>
      <w:r>
        <w:rPr>
          <w:rFonts w:hint="eastAsia"/>
          <w:color w:val="auto"/>
          <w:szCs w:val="21"/>
          <w:highlight w:val="none"/>
        </w:rPr>
        <w:t>任何已获得招标文件的潜在供应商，均可</w:t>
      </w:r>
      <w:r>
        <w:rPr>
          <w:color w:val="auto"/>
          <w:szCs w:val="21"/>
          <w:highlight w:val="none"/>
        </w:rPr>
        <w:t>以书面形式要求采购代理机构作出书面解释、澄清</w:t>
      </w:r>
      <w:r>
        <w:rPr>
          <w:rFonts w:hint="eastAsia"/>
          <w:color w:val="auto"/>
          <w:szCs w:val="21"/>
          <w:highlight w:val="none"/>
        </w:rPr>
        <w:t>。</w:t>
      </w:r>
    </w:p>
    <w:p w14:paraId="1E944886">
      <w:pPr>
        <w:spacing w:before="120" w:line="320" w:lineRule="atLeast"/>
        <w:ind w:firstLine="420"/>
        <w:rPr>
          <w:color w:val="auto"/>
          <w:szCs w:val="21"/>
          <w:highlight w:val="none"/>
        </w:rPr>
      </w:pPr>
      <w:r>
        <w:rPr>
          <w:color w:val="auto"/>
          <w:szCs w:val="21"/>
          <w:highlight w:val="none"/>
        </w:rPr>
        <w:t>2.3.2</w:t>
      </w:r>
      <w:r>
        <w:rPr>
          <w:rFonts w:hint="eastAsia"/>
          <w:color w:val="auto"/>
          <w:szCs w:val="21"/>
          <w:highlight w:val="none"/>
        </w:rPr>
        <w:t>采购人或者采购代理机构可以对已发出的招标文件进行必要的澄清或者修改。澄清或者修改的内容可能影响投标文件编制的，采购人或者采购代理机构应当在投标截止时间至少15日前，</w:t>
      </w:r>
      <w:bookmarkStart w:id="129" w:name="_Hlk132790706"/>
      <w:r>
        <w:rPr>
          <w:rFonts w:hint="eastAsia"/>
          <w:color w:val="auto"/>
          <w:szCs w:val="21"/>
          <w:highlight w:val="none"/>
        </w:rPr>
        <w:t>在供应商须知前附表规定的方式通知所有获取招标文件的潜在</w:t>
      </w:r>
      <w:bookmarkEnd w:id="129"/>
      <w:r>
        <w:rPr>
          <w:rFonts w:hint="eastAsia"/>
          <w:color w:val="auto"/>
          <w:szCs w:val="21"/>
          <w:highlight w:val="none"/>
        </w:rPr>
        <w:t>供应商；不足15日的，采购人或者采购代理机构应当顺延提交投标文件的截止时间。</w:t>
      </w:r>
    </w:p>
    <w:p w14:paraId="2BE9E250">
      <w:pPr>
        <w:spacing w:before="120" w:line="320" w:lineRule="atLeast"/>
        <w:ind w:firstLine="420"/>
        <w:rPr>
          <w:color w:val="auto"/>
          <w:szCs w:val="21"/>
          <w:highlight w:val="none"/>
        </w:rPr>
      </w:pPr>
      <w:r>
        <w:rPr>
          <w:color w:val="auto"/>
          <w:szCs w:val="21"/>
          <w:highlight w:val="none"/>
        </w:rPr>
        <w:t>2.3.3招标文件澄清、答复、修改、补充的内容为招标文件的组成部分。当招标文件与招标文件的答复、澄清、修改、补充通知就同一内容的表述不一致时，以最后发出的公告或书面文件为准。</w:t>
      </w:r>
    </w:p>
    <w:p w14:paraId="08D4F83B">
      <w:pPr>
        <w:spacing w:before="120" w:line="320" w:lineRule="atLeast"/>
        <w:ind w:left="2" w:firstLine="422"/>
        <w:outlineLvl w:val="1"/>
        <w:rPr>
          <w:b/>
          <w:bCs/>
          <w:color w:val="auto"/>
          <w:szCs w:val="21"/>
          <w:highlight w:val="none"/>
        </w:rPr>
      </w:pPr>
      <w:bookmarkStart w:id="130" w:name="_Toc254970676"/>
      <w:bookmarkStart w:id="131" w:name="_Toc254970535"/>
      <w:r>
        <w:rPr>
          <w:b/>
          <w:bCs/>
          <w:color w:val="auto"/>
          <w:szCs w:val="21"/>
          <w:highlight w:val="none"/>
        </w:rPr>
        <w:t>3．投标文件</w:t>
      </w:r>
      <w:bookmarkEnd w:id="130"/>
      <w:bookmarkEnd w:id="131"/>
    </w:p>
    <w:p w14:paraId="0E048BEF">
      <w:pPr>
        <w:spacing w:before="120" w:line="320" w:lineRule="atLeast"/>
        <w:ind w:firstLine="422"/>
        <w:outlineLvl w:val="2"/>
        <w:rPr>
          <w:b/>
          <w:bCs/>
          <w:color w:val="auto"/>
          <w:szCs w:val="21"/>
          <w:highlight w:val="none"/>
        </w:rPr>
      </w:pPr>
      <w:bookmarkStart w:id="132" w:name="_Toc254970677"/>
      <w:bookmarkStart w:id="133" w:name="_Toc254970536"/>
      <w:r>
        <w:rPr>
          <w:b/>
          <w:bCs/>
          <w:color w:val="auto"/>
          <w:szCs w:val="21"/>
          <w:highlight w:val="none"/>
        </w:rPr>
        <w:t>3.1投标文件的组成</w:t>
      </w:r>
      <w:bookmarkEnd w:id="132"/>
      <w:bookmarkEnd w:id="133"/>
    </w:p>
    <w:p w14:paraId="59DF3614">
      <w:pPr>
        <w:spacing w:before="120" w:line="320" w:lineRule="atLeast"/>
        <w:ind w:firstLine="420"/>
        <w:rPr>
          <w:color w:val="auto"/>
          <w:szCs w:val="21"/>
          <w:highlight w:val="none"/>
        </w:rPr>
      </w:pPr>
      <w:r>
        <w:rPr>
          <w:color w:val="auto"/>
          <w:szCs w:val="21"/>
          <w:highlight w:val="none"/>
        </w:rPr>
        <w:t>投标文件由第六章“投标文件格式”规定的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6C744274">
      <w:pPr>
        <w:spacing w:before="120" w:line="320" w:lineRule="atLeast"/>
        <w:ind w:firstLine="422"/>
        <w:outlineLvl w:val="2"/>
        <w:rPr>
          <w:b/>
          <w:bCs/>
          <w:color w:val="auto"/>
          <w:szCs w:val="21"/>
          <w:highlight w:val="none"/>
        </w:rPr>
      </w:pPr>
      <w:bookmarkStart w:id="134" w:name="_Toc254970678"/>
      <w:bookmarkStart w:id="135" w:name="_Toc254970537"/>
      <w:r>
        <w:rPr>
          <w:b/>
          <w:color w:val="auto"/>
          <w:szCs w:val="21"/>
          <w:highlight w:val="none"/>
        </w:rPr>
        <w:t>3.2</w:t>
      </w:r>
      <w:r>
        <w:rPr>
          <w:b/>
          <w:bCs/>
          <w:color w:val="auto"/>
          <w:szCs w:val="21"/>
          <w:highlight w:val="none"/>
        </w:rPr>
        <w:t>投标文件的语言及计量</w:t>
      </w:r>
      <w:bookmarkEnd w:id="134"/>
      <w:bookmarkEnd w:id="135"/>
    </w:p>
    <w:p w14:paraId="10132361">
      <w:pPr>
        <w:spacing w:before="120" w:line="320" w:lineRule="atLeast"/>
        <w:ind w:firstLine="420"/>
        <w:rPr>
          <w:color w:val="auto"/>
          <w:szCs w:val="21"/>
          <w:highlight w:val="none"/>
        </w:rPr>
      </w:pPr>
      <w:r>
        <w:rPr>
          <w:color w:val="auto"/>
          <w:szCs w:val="21"/>
          <w:highlight w:val="none"/>
        </w:rPr>
        <w:t>3.2.1</w:t>
      </w:r>
      <w:r>
        <w:rPr>
          <w:rFonts w:hint="eastAsia"/>
          <w:color w:val="auto"/>
          <w:szCs w:val="21"/>
          <w:highlight w:val="none"/>
        </w:rPr>
        <w:t>投标文件以及供应商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21DEC066">
      <w:pPr>
        <w:spacing w:before="120" w:line="320" w:lineRule="atLeast"/>
        <w:ind w:firstLine="420"/>
        <w:rPr>
          <w:color w:val="auto"/>
          <w:szCs w:val="21"/>
          <w:highlight w:val="none"/>
        </w:rPr>
      </w:pPr>
      <w:r>
        <w:rPr>
          <w:color w:val="auto"/>
          <w:szCs w:val="21"/>
          <w:highlight w:val="none"/>
        </w:rPr>
        <w:t>3.2.2计量单位招标文件已有明确规定的，投标使用招标文件规定的计量单位；招标文件没有规定的，应采用中华人民共和国法定计量单位。</w:t>
      </w:r>
    </w:p>
    <w:p w14:paraId="0337F4AF">
      <w:pPr>
        <w:spacing w:before="120" w:line="320" w:lineRule="atLeast"/>
        <w:ind w:firstLine="422"/>
        <w:outlineLvl w:val="2"/>
        <w:rPr>
          <w:b/>
          <w:bCs/>
          <w:color w:val="auto"/>
          <w:szCs w:val="21"/>
          <w:highlight w:val="none"/>
        </w:rPr>
      </w:pPr>
      <w:bookmarkStart w:id="136" w:name="_Toc254970538"/>
      <w:bookmarkStart w:id="137" w:name="_Toc254970679"/>
      <w:r>
        <w:rPr>
          <w:b/>
          <w:bCs/>
          <w:color w:val="auto"/>
          <w:szCs w:val="21"/>
          <w:highlight w:val="none"/>
        </w:rPr>
        <w:t>3.3投标报价</w:t>
      </w:r>
      <w:bookmarkEnd w:id="136"/>
      <w:bookmarkEnd w:id="137"/>
    </w:p>
    <w:p w14:paraId="1BDF11D1">
      <w:pPr>
        <w:spacing w:before="120" w:line="320" w:lineRule="atLeast"/>
        <w:ind w:firstLine="420"/>
        <w:rPr>
          <w:color w:val="auto"/>
          <w:szCs w:val="21"/>
          <w:highlight w:val="none"/>
        </w:rPr>
      </w:pPr>
      <w:r>
        <w:rPr>
          <w:color w:val="auto"/>
          <w:szCs w:val="21"/>
          <w:highlight w:val="none"/>
        </w:rPr>
        <w:t>3.3.1投标报价应按招标文件中相关附表格式填写。</w:t>
      </w:r>
    </w:p>
    <w:p w14:paraId="5BB03A8C">
      <w:pPr>
        <w:spacing w:before="120" w:line="320" w:lineRule="atLeast"/>
        <w:ind w:firstLine="420"/>
        <w:rPr>
          <w:color w:val="auto"/>
          <w:szCs w:val="21"/>
          <w:highlight w:val="none"/>
        </w:rPr>
      </w:pPr>
      <w:r>
        <w:rPr>
          <w:color w:val="auto"/>
          <w:szCs w:val="21"/>
          <w:highlight w:val="none"/>
        </w:rPr>
        <w:t>3.3.2投标文件只允许有一个报价，有选择的或有条件的报价将不予接受。</w:t>
      </w:r>
    </w:p>
    <w:p w14:paraId="299BC82F">
      <w:pPr>
        <w:spacing w:before="120" w:line="320" w:lineRule="atLeast"/>
        <w:ind w:firstLine="420"/>
        <w:rPr>
          <w:color w:val="auto"/>
          <w:szCs w:val="21"/>
          <w:highlight w:val="none"/>
        </w:rPr>
      </w:pPr>
      <w:r>
        <w:rPr>
          <w:color w:val="auto"/>
          <w:szCs w:val="21"/>
          <w:highlight w:val="none"/>
        </w:rPr>
        <w:t>3.3.3对于本文件中未列明，而供应商认为必需的费用也需列入</w:t>
      </w:r>
      <w:r>
        <w:rPr>
          <w:rFonts w:hint="eastAsia"/>
          <w:color w:val="auto"/>
          <w:szCs w:val="21"/>
          <w:highlight w:val="none"/>
        </w:rPr>
        <w:t>投标报价</w:t>
      </w:r>
      <w:r>
        <w:rPr>
          <w:color w:val="auto"/>
          <w:szCs w:val="21"/>
          <w:highlight w:val="none"/>
        </w:rPr>
        <w:t>。在合同实施时，采购人将不予支付</w:t>
      </w:r>
      <w:r>
        <w:rPr>
          <w:rFonts w:hint="eastAsia"/>
          <w:color w:val="auto"/>
          <w:szCs w:val="21"/>
          <w:highlight w:val="none"/>
        </w:rPr>
        <w:t>中标供应商</w:t>
      </w:r>
      <w:r>
        <w:rPr>
          <w:color w:val="auto"/>
          <w:szCs w:val="21"/>
          <w:highlight w:val="none"/>
        </w:rPr>
        <w:t>没有列入的项目费用，并认为此项目的费用已包括在</w:t>
      </w:r>
      <w:r>
        <w:rPr>
          <w:rFonts w:hint="eastAsia"/>
          <w:color w:val="auto"/>
          <w:szCs w:val="21"/>
          <w:highlight w:val="none"/>
        </w:rPr>
        <w:t>投标报价</w:t>
      </w:r>
      <w:r>
        <w:rPr>
          <w:color w:val="auto"/>
          <w:szCs w:val="21"/>
          <w:highlight w:val="none"/>
        </w:rPr>
        <w:t>中。</w:t>
      </w:r>
    </w:p>
    <w:p w14:paraId="17352B90">
      <w:pPr>
        <w:spacing w:before="120" w:line="320" w:lineRule="atLeast"/>
        <w:ind w:firstLine="420"/>
        <w:rPr>
          <w:b/>
          <w:bCs/>
          <w:color w:val="auto"/>
          <w:szCs w:val="21"/>
          <w:highlight w:val="none"/>
        </w:rPr>
      </w:pPr>
      <w:r>
        <w:rPr>
          <w:rFonts w:hint="eastAsia"/>
          <w:color w:val="auto"/>
          <w:szCs w:val="21"/>
          <w:highlight w:val="none"/>
        </w:rPr>
        <w:t>3</w:t>
      </w:r>
      <w:r>
        <w:rPr>
          <w:color w:val="auto"/>
          <w:szCs w:val="21"/>
          <w:highlight w:val="none"/>
        </w:rPr>
        <w:t>.3.4</w:t>
      </w:r>
      <w:r>
        <w:rPr>
          <w:rFonts w:hint="eastAsia"/>
          <w:color w:val="auto"/>
          <w:szCs w:val="21"/>
          <w:highlight w:val="none"/>
        </w:rPr>
        <w:t>采购人不接受供应商给予的赠品、回扣或者与采购无关的其他商品、服务。</w:t>
      </w:r>
    </w:p>
    <w:p w14:paraId="161FC7C5">
      <w:pPr>
        <w:spacing w:before="120" w:line="320" w:lineRule="atLeast"/>
        <w:ind w:firstLine="422"/>
        <w:outlineLvl w:val="2"/>
        <w:rPr>
          <w:b/>
          <w:bCs/>
          <w:color w:val="auto"/>
          <w:szCs w:val="21"/>
          <w:highlight w:val="none"/>
        </w:rPr>
      </w:pPr>
      <w:r>
        <w:rPr>
          <w:b/>
          <w:bCs/>
          <w:color w:val="auto"/>
          <w:szCs w:val="21"/>
          <w:highlight w:val="none"/>
        </w:rPr>
        <w:t>3.4投标有效期</w:t>
      </w:r>
    </w:p>
    <w:p w14:paraId="17C17198">
      <w:pPr>
        <w:spacing w:before="120" w:line="320" w:lineRule="atLeast"/>
        <w:ind w:firstLine="420"/>
        <w:rPr>
          <w:color w:val="auto"/>
          <w:szCs w:val="21"/>
          <w:highlight w:val="none"/>
        </w:rPr>
      </w:pPr>
      <w:r>
        <w:rPr>
          <w:color w:val="auto"/>
          <w:szCs w:val="21"/>
          <w:highlight w:val="none"/>
        </w:rPr>
        <w:t>3.4.1如招标文件其他地方无特别规定</w:t>
      </w:r>
      <w:r>
        <w:rPr>
          <w:rFonts w:hint="eastAsia"/>
          <w:color w:val="auto"/>
          <w:szCs w:val="21"/>
          <w:highlight w:val="none"/>
        </w:rPr>
        <w:t>，</w:t>
      </w:r>
      <w:r>
        <w:rPr>
          <w:color w:val="auto"/>
          <w:szCs w:val="21"/>
          <w:highlight w:val="none"/>
        </w:rPr>
        <w:t>投标有效期则为投标截止之日起</w:t>
      </w:r>
      <w:r>
        <w:rPr>
          <w:rFonts w:hint="eastAsia"/>
          <w:color w:val="auto"/>
          <w:szCs w:val="21"/>
          <w:highlight w:val="none"/>
          <w:lang w:val="en-US" w:eastAsia="zh-CN"/>
        </w:rPr>
        <w:t>90</w:t>
      </w:r>
      <w:r>
        <w:rPr>
          <w:color w:val="auto"/>
          <w:szCs w:val="21"/>
          <w:highlight w:val="none"/>
        </w:rPr>
        <w:t>天</w:t>
      </w:r>
      <w:r>
        <w:rPr>
          <w:rFonts w:hint="eastAsia"/>
          <w:color w:val="auto"/>
          <w:szCs w:val="21"/>
          <w:highlight w:val="none"/>
        </w:rPr>
        <w:t>。</w:t>
      </w:r>
      <w:r>
        <w:rPr>
          <w:color w:val="auto"/>
          <w:szCs w:val="21"/>
          <w:highlight w:val="none"/>
        </w:rPr>
        <w:t>在投标有效期内投标文件应保持有效。</w:t>
      </w:r>
      <w:r>
        <w:rPr>
          <w:b/>
          <w:bCs/>
          <w:color w:val="auto"/>
          <w:szCs w:val="21"/>
          <w:highlight w:val="none"/>
        </w:rPr>
        <w:t>有效期不足的投标文件将被否决</w:t>
      </w:r>
      <w:r>
        <w:rPr>
          <w:color w:val="auto"/>
          <w:szCs w:val="21"/>
          <w:highlight w:val="none"/>
        </w:rPr>
        <w:t>。</w:t>
      </w:r>
    </w:p>
    <w:p w14:paraId="06CD43BE">
      <w:pPr>
        <w:spacing w:before="120" w:line="320" w:lineRule="atLeast"/>
        <w:ind w:firstLine="420"/>
        <w:rPr>
          <w:color w:val="auto"/>
          <w:szCs w:val="21"/>
          <w:highlight w:val="none"/>
        </w:rPr>
      </w:pPr>
      <w:r>
        <w:rPr>
          <w:color w:val="auto"/>
          <w:szCs w:val="21"/>
          <w:highlight w:val="none"/>
        </w:rPr>
        <w:t>3.4.2在特殊情况下，采购人可与供应商协商延长投标文件的有效期，这种要求和答复均以书面形式进行。</w:t>
      </w:r>
    </w:p>
    <w:p w14:paraId="70D70CA9">
      <w:pPr>
        <w:spacing w:before="120" w:line="320" w:lineRule="atLeast"/>
        <w:ind w:firstLine="420"/>
        <w:rPr>
          <w:color w:val="auto"/>
          <w:szCs w:val="21"/>
          <w:highlight w:val="none"/>
        </w:rPr>
      </w:pPr>
      <w:r>
        <w:rPr>
          <w:color w:val="auto"/>
          <w:szCs w:val="21"/>
          <w:highlight w:val="none"/>
        </w:rPr>
        <w:t>3.4.3</w:t>
      </w:r>
      <w:r>
        <w:rPr>
          <w:rFonts w:hint="eastAsia"/>
          <w:color w:val="auto"/>
          <w:szCs w:val="21"/>
          <w:highlight w:val="none"/>
        </w:rPr>
        <w:t>供应商同意延长的投标有效期的，如本项目要求提交保证金则应相应延长其投标保证金的有效期，但不得要求或被允许修改或撤销其投标文件；供应商拒绝延长的，其投标无效，但供应商有权收回其投标保证金。</w:t>
      </w:r>
    </w:p>
    <w:p w14:paraId="172B284E">
      <w:pPr>
        <w:spacing w:before="120" w:line="320" w:lineRule="atLeast"/>
        <w:ind w:firstLine="422"/>
        <w:outlineLvl w:val="2"/>
        <w:rPr>
          <w:b/>
          <w:bCs/>
          <w:color w:val="auto"/>
          <w:szCs w:val="21"/>
          <w:highlight w:val="none"/>
        </w:rPr>
      </w:pPr>
      <w:bookmarkStart w:id="138" w:name="_Toc254970682"/>
      <w:bookmarkStart w:id="139" w:name="_Toc254970541"/>
      <w:r>
        <w:rPr>
          <w:b/>
          <w:bCs/>
          <w:color w:val="auto"/>
          <w:szCs w:val="21"/>
          <w:highlight w:val="none"/>
        </w:rPr>
        <w:t>3.5投标保证金</w:t>
      </w:r>
      <w:bookmarkEnd w:id="138"/>
      <w:bookmarkEnd w:id="139"/>
    </w:p>
    <w:p w14:paraId="7A70C99F">
      <w:pPr>
        <w:spacing w:before="120" w:line="320" w:lineRule="atLeast"/>
        <w:ind w:firstLine="420"/>
        <w:rPr>
          <w:color w:val="auto"/>
          <w:szCs w:val="21"/>
          <w:highlight w:val="none"/>
        </w:rPr>
      </w:pPr>
      <w:r>
        <w:rPr>
          <w:color w:val="auto"/>
          <w:szCs w:val="21"/>
          <w:highlight w:val="none"/>
        </w:rPr>
        <w:t>3.5.1供应商须按须知前附表规定提交投标保证金，否则其投标将被否决。除招标文件规定不予退还保证金的情形外，代理机构在规定时间内退回供应商的投标保证金（供应商自行承担因未按供应商须知前附表要求交纳导致投标保证金无法及时退还的责任）。</w:t>
      </w:r>
    </w:p>
    <w:p w14:paraId="022CAD22">
      <w:pPr>
        <w:spacing w:before="120" w:line="320" w:lineRule="atLeast"/>
        <w:ind w:firstLine="420"/>
        <w:rPr>
          <w:color w:val="auto"/>
          <w:szCs w:val="21"/>
          <w:highlight w:val="none"/>
        </w:rPr>
      </w:pPr>
      <w:r>
        <w:rPr>
          <w:color w:val="auto"/>
          <w:szCs w:val="21"/>
          <w:highlight w:val="none"/>
        </w:rPr>
        <w:t>3.5.2投标保证金币种应与投标报价币种相同。</w:t>
      </w:r>
    </w:p>
    <w:p w14:paraId="4AA850DC">
      <w:pPr>
        <w:spacing w:before="120" w:line="320" w:lineRule="atLeast"/>
        <w:ind w:firstLine="420"/>
        <w:rPr>
          <w:color w:val="auto"/>
          <w:szCs w:val="21"/>
          <w:highlight w:val="none"/>
        </w:rPr>
      </w:pPr>
      <w:r>
        <w:rPr>
          <w:color w:val="auto"/>
          <w:szCs w:val="21"/>
          <w:highlight w:val="none"/>
        </w:rPr>
        <w:t>3.5.3未</w:t>
      </w:r>
      <w:r>
        <w:rPr>
          <w:rFonts w:hint="eastAsia"/>
          <w:color w:val="auto"/>
          <w:szCs w:val="21"/>
          <w:highlight w:val="none"/>
        </w:rPr>
        <w:t>中标供应商</w:t>
      </w:r>
      <w:r>
        <w:rPr>
          <w:color w:val="auto"/>
          <w:szCs w:val="21"/>
          <w:highlight w:val="none"/>
        </w:rPr>
        <w:t>的投标保证金在中标通知书发出后5个工作日内退还。</w:t>
      </w:r>
      <w:r>
        <w:rPr>
          <w:rFonts w:hint="eastAsia"/>
          <w:color w:val="auto"/>
          <w:szCs w:val="21"/>
          <w:highlight w:val="none"/>
        </w:rPr>
        <w:t>中标供应商</w:t>
      </w:r>
      <w:r>
        <w:rPr>
          <w:color w:val="auto"/>
          <w:szCs w:val="21"/>
          <w:highlight w:val="none"/>
        </w:rPr>
        <w:t>的投标保证金在合同签订后5个工作日内退还（办理退还手续时需要向采购代理机构提供两份合同复印件）。</w:t>
      </w:r>
    </w:p>
    <w:p w14:paraId="29E622AA">
      <w:pPr>
        <w:spacing w:before="120" w:line="320" w:lineRule="atLeast"/>
        <w:ind w:firstLine="420"/>
        <w:rPr>
          <w:color w:val="auto"/>
          <w:szCs w:val="21"/>
          <w:highlight w:val="none"/>
        </w:rPr>
      </w:pPr>
      <w:r>
        <w:rPr>
          <w:color w:val="auto"/>
          <w:szCs w:val="21"/>
          <w:highlight w:val="none"/>
        </w:rPr>
        <w:t>3.5.4供应商有下列情形之一的，投标保证金将不予退还：</w:t>
      </w:r>
    </w:p>
    <w:p w14:paraId="5B3A9A3C">
      <w:pPr>
        <w:numPr>
          <w:ilvl w:val="0"/>
          <w:numId w:val="21"/>
        </w:numPr>
        <w:spacing w:before="120" w:line="320" w:lineRule="atLeast"/>
        <w:rPr>
          <w:color w:val="auto"/>
          <w:szCs w:val="21"/>
          <w:highlight w:val="none"/>
        </w:rPr>
      </w:pPr>
      <w:r>
        <w:rPr>
          <w:color w:val="auto"/>
          <w:szCs w:val="21"/>
          <w:highlight w:val="none"/>
        </w:rPr>
        <w:t>供应商在投标有效期内撤销投标文件的；</w:t>
      </w:r>
    </w:p>
    <w:p w14:paraId="477F55E5">
      <w:pPr>
        <w:numPr>
          <w:ilvl w:val="0"/>
          <w:numId w:val="21"/>
        </w:numPr>
        <w:spacing w:before="120" w:line="320" w:lineRule="atLeast"/>
        <w:rPr>
          <w:color w:val="auto"/>
          <w:szCs w:val="21"/>
          <w:highlight w:val="none"/>
        </w:rPr>
      </w:pPr>
      <w:r>
        <w:rPr>
          <w:color w:val="auto"/>
          <w:szCs w:val="21"/>
          <w:highlight w:val="none"/>
        </w:rPr>
        <w:t>供应商在投标过程中弄虚作假，提供虚假材料的；</w:t>
      </w:r>
    </w:p>
    <w:p w14:paraId="3E89616E">
      <w:pPr>
        <w:numPr>
          <w:ilvl w:val="0"/>
          <w:numId w:val="21"/>
        </w:numPr>
        <w:spacing w:before="120" w:line="320" w:lineRule="atLeast"/>
        <w:rPr>
          <w:color w:val="auto"/>
          <w:szCs w:val="21"/>
          <w:highlight w:val="none"/>
        </w:rPr>
      </w:pPr>
      <w:r>
        <w:rPr>
          <w:rFonts w:hint="eastAsia"/>
          <w:color w:val="auto"/>
          <w:szCs w:val="21"/>
          <w:highlight w:val="none"/>
        </w:rPr>
        <w:t>中标供应商</w:t>
      </w:r>
      <w:r>
        <w:rPr>
          <w:color w:val="auto"/>
          <w:szCs w:val="21"/>
          <w:highlight w:val="none"/>
        </w:rPr>
        <w:t>无正当理由不与采购人签订合同的；</w:t>
      </w:r>
    </w:p>
    <w:p w14:paraId="37023176">
      <w:pPr>
        <w:numPr>
          <w:ilvl w:val="0"/>
          <w:numId w:val="21"/>
        </w:numPr>
        <w:spacing w:before="120" w:line="320" w:lineRule="atLeast"/>
        <w:rPr>
          <w:color w:val="auto"/>
          <w:szCs w:val="21"/>
          <w:highlight w:val="none"/>
        </w:rPr>
      </w:pPr>
      <w:r>
        <w:rPr>
          <w:color w:val="auto"/>
          <w:szCs w:val="21"/>
          <w:highlight w:val="none"/>
        </w:rPr>
        <w:t>将中标项目转让给他人或者在投标文件中未说明且未经采购人同意，将中标项目分包给他人的；</w:t>
      </w:r>
    </w:p>
    <w:p w14:paraId="45E6A538">
      <w:pPr>
        <w:numPr>
          <w:ilvl w:val="0"/>
          <w:numId w:val="21"/>
        </w:numPr>
        <w:spacing w:before="120" w:line="320" w:lineRule="atLeast"/>
        <w:rPr>
          <w:color w:val="auto"/>
          <w:szCs w:val="21"/>
          <w:highlight w:val="none"/>
        </w:rPr>
      </w:pPr>
      <w:r>
        <w:rPr>
          <w:color w:val="auto"/>
          <w:szCs w:val="21"/>
          <w:highlight w:val="none"/>
        </w:rPr>
        <w:t>拒绝履行合同义务的；</w:t>
      </w:r>
    </w:p>
    <w:p w14:paraId="0607FB6B">
      <w:pPr>
        <w:numPr>
          <w:ilvl w:val="0"/>
          <w:numId w:val="21"/>
        </w:numPr>
        <w:spacing w:before="120" w:line="320" w:lineRule="atLeast"/>
        <w:rPr>
          <w:color w:val="auto"/>
          <w:szCs w:val="21"/>
          <w:highlight w:val="none"/>
        </w:rPr>
      </w:pPr>
      <w:r>
        <w:rPr>
          <w:color w:val="auto"/>
          <w:szCs w:val="21"/>
          <w:highlight w:val="none"/>
        </w:rPr>
        <w:t>其他严重扰乱招投标程序的</w:t>
      </w:r>
      <w:r>
        <w:rPr>
          <w:rFonts w:hint="eastAsia"/>
          <w:color w:val="auto"/>
          <w:szCs w:val="21"/>
          <w:highlight w:val="none"/>
        </w:rPr>
        <w:t>。</w:t>
      </w:r>
    </w:p>
    <w:p w14:paraId="7EA0D957">
      <w:pPr>
        <w:spacing w:before="120" w:line="320" w:lineRule="atLeast"/>
        <w:ind w:firstLine="422"/>
        <w:outlineLvl w:val="2"/>
        <w:rPr>
          <w:b/>
          <w:bCs/>
          <w:color w:val="auto"/>
          <w:szCs w:val="21"/>
          <w:highlight w:val="none"/>
        </w:rPr>
      </w:pPr>
      <w:bookmarkStart w:id="140" w:name="_Toc254970542"/>
      <w:bookmarkStart w:id="141" w:name="_Toc254970683"/>
      <w:r>
        <w:rPr>
          <w:b/>
          <w:bCs/>
          <w:color w:val="auto"/>
          <w:szCs w:val="21"/>
          <w:highlight w:val="none"/>
        </w:rPr>
        <w:t>3.6投标文件的</w:t>
      </w:r>
      <w:bookmarkEnd w:id="140"/>
      <w:bookmarkEnd w:id="141"/>
      <w:r>
        <w:rPr>
          <w:b/>
          <w:bCs/>
          <w:color w:val="auto"/>
          <w:szCs w:val="21"/>
          <w:highlight w:val="none"/>
        </w:rPr>
        <w:t>编制要求</w:t>
      </w:r>
    </w:p>
    <w:p w14:paraId="27E566A5">
      <w:pPr>
        <w:spacing w:before="120" w:line="320" w:lineRule="atLeast"/>
        <w:ind w:firstLine="420"/>
        <w:rPr>
          <w:b/>
          <w:bCs/>
          <w:color w:val="auto"/>
          <w:szCs w:val="21"/>
          <w:highlight w:val="none"/>
        </w:rPr>
      </w:pPr>
      <w:r>
        <w:rPr>
          <w:rFonts w:hint="eastAsia"/>
          <w:color w:val="auto"/>
          <w:szCs w:val="21"/>
          <w:highlight w:val="none"/>
        </w:rPr>
        <w:t>3</w:t>
      </w:r>
      <w:r>
        <w:rPr>
          <w:color w:val="auto"/>
          <w:szCs w:val="21"/>
          <w:highlight w:val="none"/>
        </w:rPr>
        <w:t>.6.1</w:t>
      </w:r>
      <w:r>
        <w:rPr>
          <w:rFonts w:hint="eastAsia"/>
          <w:color w:val="auto"/>
          <w:szCs w:val="21"/>
          <w:highlight w:val="none"/>
        </w:rPr>
        <w:t>供应商应先安装</w:t>
      </w:r>
      <w:bookmarkStart w:id="142" w:name="_Hlk160184301"/>
      <w:r>
        <w:rPr>
          <w:rFonts w:hint="eastAsia"/>
          <w:color w:val="auto"/>
          <w:szCs w:val="21"/>
          <w:highlight w:val="none"/>
        </w:rPr>
        <w:t>广西政府采购云平台新版客户端</w:t>
      </w:r>
      <w:bookmarkEnd w:id="142"/>
      <w:r>
        <w:rPr>
          <w:rFonts w:hint="eastAsia"/>
          <w:color w:val="auto"/>
          <w:szCs w:val="21"/>
          <w:highlight w:val="none"/>
        </w:rPr>
        <w:t>，通过账号密码或C</w:t>
      </w:r>
      <w:r>
        <w:rPr>
          <w:color w:val="auto"/>
          <w:szCs w:val="21"/>
          <w:highlight w:val="none"/>
        </w:rPr>
        <w:t>A</w:t>
      </w:r>
      <w:r>
        <w:rPr>
          <w:rFonts w:hint="eastAsia"/>
          <w:color w:val="auto"/>
          <w:szCs w:val="21"/>
          <w:highlight w:val="none"/>
        </w:rPr>
        <w:t>登录客户端制作投标文件。</w:t>
      </w:r>
    </w:p>
    <w:p w14:paraId="273F73F2">
      <w:pPr>
        <w:spacing w:before="120" w:line="320" w:lineRule="atLeast"/>
        <w:ind w:firstLine="420"/>
        <w:rPr>
          <w:color w:val="auto"/>
          <w:szCs w:val="21"/>
          <w:highlight w:val="none"/>
        </w:rPr>
      </w:pPr>
      <w:bookmarkStart w:id="143" w:name="_Hlk132791136"/>
      <w:r>
        <w:rPr>
          <w:color w:val="auto"/>
          <w:szCs w:val="21"/>
          <w:highlight w:val="none"/>
        </w:rPr>
        <w:t>3.6.2供应商应按本招标文件规定的格式和顺序编制投标文件</w:t>
      </w:r>
      <w:r>
        <w:rPr>
          <w:rFonts w:hint="eastAsia"/>
          <w:color w:val="auto"/>
          <w:szCs w:val="21"/>
          <w:highlight w:val="none"/>
        </w:rPr>
        <w:t>并进行关联定位</w:t>
      </w:r>
      <w:r>
        <w:rPr>
          <w:color w:val="auto"/>
          <w:szCs w:val="21"/>
          <w:highlight w:val="none"/>
        </w:rPr>
        <w:t>，</w:t>
      </w:r>
      <w:r>
        <w:rPr>
          <w:rFonts w:hint="eastAsia"/>
          <w:color w:val="auto"/>
          <w:szCs w:val="21"/>
          <w:highlight w:val="none"/>
        </w:rPr>
        <w:t>以便</w:t>
      </w:r>
      <w:r>
        <w:rPr>
          <w:rFonts w:hint="eastAsia"/>
          <w:color w:val="auto"/>
          <w:szCs w:val="21"/>
          <w:highlight w:val="none"/>
          <w:lang w:eastAsia="zh-CN"/>
        </w:rPr>
        <w:t>评标委员会</w:t>
      </w:r>
      <w:r>
        <w:rPr>
          <w:rFonts w:hint="eastAsia"/>
          <w:color w:val="auto"/>
          <w:szCs w:val="21"/>
          <w:highlight w:val="none"/>
        </w:rPr>
        <w:t>在评审时，点击评分项可直接定位到该评分项内容。如对招标文件的某项要求，供应商的投标文件未能关联定位提供相应的内容与其对应，则</w:t>
      </w:r>
      <w:r>
        <w:rPr>
          <w:rFonts w:hint="eastAsia"/>
          <w:color w:val="auto"/>
          <w:szCs w:val="21"/>
          <w:highlight w:val="none"/>
          <w:lang w:eastAsia="zh-CN"/>
        </w:rPr>
        <w:t>评标委员会</w:t>
      </w:r>
      <w:r>
        <w:rPr>
          <w:rFonts w:hint="eastAsia"/>
          <w:color w:val="auto"/>
          <w:szCs w:val="21"/>
          <w:highlight w:val="none"/>
        </w:rPr>
        <w:t>在评审时如做出对供应商不利的评审由供应商自行承担。投标文件如内容不完整、编排混乱导致投标文件被误读、漏读，或者在按招标文件规定的部位查找不到相关内容的，由供应商自行承担。</w:t>
      </w:r>
    </w:p>
    <w:p w14:paraId="2FFF4220">
      <w:pPr>
        <w:spacing w:before="120" w:line="320" w:lineRule="atLeast"/>
        <w:ind w:firstLine="420"/>
        <w:rPr>
          <w:color w:val="auto"/>
          <w:szCs w:val="21"/>
          <w:highlight w:val="none"/>
        </w:rPr>
      </w:pPr>
      <w:bookmarkStart w:id="144" w:name="_Hlk93046800"/>
      <w:r>
        <w:rPr>
          <w:color w:val="auto"/>
          <w:szCs w:val="21"/>
          <w:highlight w:val="none"/>
        </w:rPr>
        <w:t xml:space="preserve">3.6.3 </w:t>
      </w:r>
      <w:r>
        <w:rPr>
          <w:rFonts w:hint="eastAsia"/>
          <w:color w:val="auto"/>
          <w:szCs w:val="21"/>
          <w:highlight w:val="none"/>
        </w:rPr>
        <w:t>供应商的投标文件未按照招标文件要求签署、盖章的，</w:t>
      </w:r>
      <w:r>
        <w:rPr>
          <w:rFonts w:hint="eastAsia"/>
          <w:b/>
          <w:bCs/>
          <w:color w:val="auto"/>
          <w:szCs w:val="21"/>
          <w:highlight w:val="none"/>
        </w:rPr>
        <w:t>其投标无效</w:t>
      </w:r>
      <w:r>
        <w:rPr>
          <w:rFonts w:hint="eastAsia"/>
          <w:color w:val="auto"/>
          <w:szCs w:val="21"/>
          <w:highlight w:val="none"/>
        </w:rPr>
        <w:t>。</w:t>
      </w:r>
      <w:bookmarkEnd w:id="143"/>
      <w:bookmarkEnd w:id="144"/>
    </w:p>
    <w:p w14:paraId="35D5F64D">
      <w:pPr>
        <w:spacing w:before="120" w:line="320" w:lineRule="atLeast"/>
        <w:ind w:firstLine="42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为确保网上操作合法、有效和安全，供应商应当在投标截止时间前完成在广西政府采购云平台的身份认证，确保在电子投标过程中能够对相关数据电文进行加密和使用电子签名。</w:t>
      </w:r>
    </w:p>
    <w:p w14:paraId="46D786A3">
      <w:pPr>
        <w:spacing w:before="120" w:line="320" w:lineRule="atLeast"/>
        <w:ind w:firstLine="420"/>
        <w:rPr>
          <w:b/>
          <w:bCs/>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投标文件中标注的供应商名称应与主体资格证明（如营业执照、事业单位法人证书、执业许可证、个体工商户营业执照、自然人身份证等）和公章/电子签章一致，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否则作无效投标处理。</w:t>
      </w:r>
    </w:p>
    <w:p w14:paraId="06DC14C8">
      <w:pPr>
        <w:spacing w:before="120" w:line="320" w:lineRule="atLeast"/>
        <w:ind w:firstLine="422"/>
        <w:outlineLvl w:val="2"/>
        <w:rPr>
          <w:b/>
          <w:bCs/>
          <w:color w:val="auto"/>
          <w:szCs w:val="21"/>
          <w:highlight w:val="none"/>
        </w:rPr>
      </w:pPr>
      <w:r>
        <w:rPr>
          <w:b/>
          <w:bCs/>
          <w:color w:val="auto"/>
          <w:szCs w:val="21"/>
          <w:highlight w:val="none"/>
        </w:rPr>
        <w:t>3.7投标文件的递交、修改和撤回</w:t>
      </w:r>
    </w:p>
    <w:p w14:paraId="0CA15660">
      <w:pPr>
        <w:spacing w:before="120" w:line="320" w:lineRule="atLeast"/>
        <w:ind w:firstLine="420"/>
        <w:rPr>
          <w:color w:val="auto"/>
          <w:szCs w:val="21"/>
          <w:highlight w:val="none"/>
        </w:rPr>
      </w:pPr>
      <w:r>
        <w:rPr>
          <w:color w:val="auto"/>
          <w:szCs w:val="21"/>
          <w:highlight w:val="none"/>
        </w:rPr>
        <w:t>3.7.1</w:t>
      </w:r>
      <w:r>
        <w:rPr>
          <w:rFonts w:hint="eastAsia"/>
          <w:color w:val="auto"/>
          <w:szCs w:val="21"/>
          <w:highlight w:val="none"/>
        </w:rPr>
        <w:t>供应商必须在供应商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120F2B91">
      <w:pPr>
        <w:spacing w:before="120" w:line="320" w:lineRule="atLeast"/>
        <w:ind w:firstLine="42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未在规定时间内提交或者未按照招标文件要求签章、加密的电子投标文件，广西政府采购云平台将拒收。 </w:t>
      </w:r>
    </w:p>
    <w:p w14:paraId="726B38E5">
      <w:pPr>
        <w:spacing w:before="120" w:line="320" w:lineRule="atLeast"/>
        <w:ind w:left="2" w:firstLine="420"/>
        <w:rPr>
          <w:color w:val="auto"/>
          <w:szCs w:val="21"/>
          <w:highlight w:val="none"/>
        </w:rPr>
      </w:pPr>
      <w:bookmarkStart w:id="145" w:name="_Toc254970685"/>
      <w:bookmarkStart w:id="146" w:name="_Toc254970544"/>
      <w:r>
        <w:rPr>
          <w:rFonts w:hint="eastAsia"/>
          <w:color w:val="auto"/>
          <w:szCs w:val="21"/>
          <w:highlight w:val="none"/>
        </w:rPr>
        <w:t>3</w:t>
      </w:r>
      <w:r>
        <w:rPr>
          <w:color w:val="auto"/>
          <w:szCs w:val="21"/>
          <w:highlight w:val="none"/>
        </w:rPr>
        <w:t>.7.3</w:t>
      </w:r>
      <w:r>
        <w:rPr>
          <w:rFonts w:hint="eastAsia"/>
          <w:color w:val="auto"/>
          <w:szCs w:val="21"/>
          <w:highlight w:val="none"/>
        </w:rPr>
        <w:t>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2E612B4A">
      <w:pPr>
        <w:spacing w:before="120" w:line="320" w:lineRule="atLeast"/>
        <w:ind w:left="2" w:firstLine="420"/>
        <w:rPr>
          <w:color w:val="auto"/>
          <w:szCs w:val="21"/>
          <w:highlight w:val="none"/>
        </w:rPr>
      </w:pPr>
      <w:r>
        <w:rPr>
          <w:color w:val="auto"/>
          <w:szCs w:val="21"/>
          <w:highlight w:val="none"/>
        </w:rPr>
        <w:t>3.7.4</w:t>
      </w:r>
      <w:r>
        <w:rPr>
          <w:rFonts w:hint="eastAsia"/>
          <w:color w:val="auto"/>
          <w:szCs w:val="21"/>
          <w:highlight w:val="none"/>
        </w:rPr>
        <w:t>在投标截止时间前，除供应商补充、修改或者撤回投标文件外，任何单位和个人不得解密或提取投标文件。</w:t>
      </w:r>
    </w:p>
    <w:p w14:paraId="533DED1D">
      <w:pPr>
        <w:spacing w:before="120" w:line="320" w:lineRule="atLeast"/>
        <w:ind w:left="2" w:firstLine="420"/>
        <w:rPr>
          <w:color w:val="auto"/>
          <w:szCs w:val="21"/>
          <w:highlight w:val="none"/>
        </w:rPr>
      </w:pPr>
      <w:r>
        <w:rPr>
          <w:color w:val="auto"/>
          <w:szCs w:val="21"/>
          <w:highlight w:val="none"/>
        </w:rPr>
        <w:t>3.7.5</w:t>
      </w:r>
      <w:r>
        <w:rPr>
          <w:rFonts w:hint="eastAsia"/>
          <w:color w:val="auto"/>
          <w:szCs w:val="21"/>
          <w:highlight w:val="none"/>
        </w:rPr>
        <w:t>在投标截止时间止提交电子版投标文件的供应商不足3家时，电子版投标文件由代理机构在广西政府采购云平台操作退回，除此之外采购人和采购代理机构对已提交的投标文件概不退回。</w:t>
      </w:r>
    </w:p>
    <w:p w14:paraId="7791645D">
      <w:pPr>
        <w:spacing w:before="120" w:line="320" w:lineRule="atLeast"/>
        <w:ind w:left="2" w:firstLine="420"/>
        <w:rPr>
          <w:color w:val="auto"/>
          <w:szCs w:val="21"/>
          <w:highlight w:val="none"/>
        </w:rPr>
      </w:pPr>
      <w:bookmarkStart w:id="147" w:name="_Hlk93046827"/>
      <w:r>
        <w:rPr>
          <w:rFonts w:hint="eastAsia"/>
          <w:color w:val="auto"/>
          <w:szCs w:val="21"/>
          <w:highlight w:val="none"/>
        </w:rPr>
        <w:t>3</w:t>
      </w:r>
      <w:r>
        <w:rPr>
          <w:color w:val="auto"/>
          <w:szCs w:val="21"/>
          <w:highlight w:val="none"/>
        </w:rPr>
        <w:t>.7.6</w:t>
      </w:r>
      <w:r>
        <w:rPr>
          <w:rFonts w:hint="eastAsia"/>
          <w:color w:val="auto"/>
          <w:szCs w:val="21"/>
          <w:highlight w:val="none"/>
        </w:rPr>
        <w:t>招标文件未允许同一供应商提交两个或以上不同的响应文件，但存在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r>
        <w:rPr>
          <w:rFonts w:hint="eastAsia"/>
          <w:b/>
          <w:bCs/>
          <w:color w:val="auto"/>
          <w:szCs w:val="21"/>
          <w:highlight w:val="none"/>
        </w:rPr>
        <w:t>其投标无效。</w:t>
      </w:r>
      <w:r>
        <w:rPr>
          <w:rFonts w:hint="eastAsia"/>
          <w:color w:val="auto"/>
          <w:szCs w:val="21"/>
          <w:highlight w:val="none"/>
        </w:rPr>
        <w:t>供应商在同一投标文件中对某项技术、商务要求提供有选择性的响应参数或方案等同于提交两个或以上不同的投标文件。</w:t>
      </w:r>
      <w:bookmarkEnd w:id="147"/>
    </w:p>
    <w:p w14:paraId="769DAC51">
      <w:pPr>
        <w:spacing w:before="120" w:line="320" w:lineRule="atLeast"/>
        <w:ind w:left="2" w:firstLine="422"/>
        <w:outlineLvl w:val="1"/>
        <w:rPr>
          <w:b/>
          <w:bCs/>
          <w:color w:val="auto"/>
          <w:szCs w:val="21"/>
          <w:highlight w:val="none"/>
        </w:rPr>
      </w:pPr>
      <w:r>
        <w:rPr>
          <w:b/>
          <w:bCs/>
          <w:color w:val="auto"/>
          <w:szCs w:val="21"/>
          <w:highlight w:val="none"/>
        </w:rPr>
        <w:t>4．开标</w:t>
      </w:r>
      <w:bookmarkEnd w:id="145"/>
      <w:bookmarkEnd w:id="146"/>
    </w:p>
    <w:p w14:paraId="4AC8927D">
      <w:pPr>
        <w:spacing w:before="120" w:line="320" w:lineRule="atLeast"/>
        <w:ind w:firstLine="422"/>
        <w:outlineLvl w:val="2"/>
        <w:rPr>
          <w:b/>
          <w:bCs/>
          <w:color w:val="auto"/>
          <w:szCs w:val="21"/>
          <w:highlight w:val="none"/>
        </w:rPr>
      </w:pPr>
      <w:r>
        <w:rPr>
          <w:b/>
          <w:bCs/>
          <w:color w:val="auto"/>
          <w:szCs w:val="21"/>
          <w:highlight w:val="none"/>
        </w:rPr>
        <w:t>4.1开标准备</w:t>
      </w:r>
    </w:p>
    <w:p w14:paraId="0D008896">
      <w:pPr>
        <w:spacing w:before="120" w:line="276" w:lineRule="auto"/>
        <w:ind w:firstLine="420"/>
        <w:rPr>
          <w:color w:val="auto"/>
          <w:szCs w:val="21"/>
          <w:highlight w:val="none"/>
        </w:rPr>
      </w:pPr>
      <w:r>
        <w:rPr>
          <w:color w:val="auto"/>
          <w:szCs w:val="21"/>
          <w:highlight w:val="none"/>
        </w:rPr>
        <w:t>本项目投标截止时间及地点见“供应商须知前附表”规定。</w:t>
      </w:r>
    </w:p>
    <w:p w14:paraId="4E95C4B5">
      <w:pPr>
        <w:spacing w:line="276" w:lineRule="auto"/>
        <w:ind w:firstLine="420"/>
        <w:rPr>
          <w:color w:val="auto"/>
          <w:szCs w:val="21"/>
          <w:highlight w:val="none"/>
        </w:rPr>
      </w:pPr>
      <w:r>
        <w:rPr>
          <w:rFonts w:hint="eastAsia"/>
          <w:color w:val="auto"/>
          <w:szCs w:val="21"/>
          <w:highlight w:val="none"/>
        </w:rPr>
        <w:t>全流程电子化项目没有现场递交投标文件及现场开标环节。采购代理机构将按照招标文件规定的时间通过广西政府采购云平台组织线上开标活动、开启投标文件，所有供应商均应当准时在线参加。供应商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开标大会的，</w:t>
      </w:r>
      <w:r>
        <w:rPr>
          <w:rFonts w:hint="eastAsia"/>
          <w:color w:val="auto"/>
          <w:szCs w:val="21"/>
          <w:highlight w:val="none"/>
        </w:rPr>
        <w:t>视同认可开标结果，</w:t>
      </w:r>
      <w:r>
        <w:rPr>
          <w:color w:val="auto"/>
          <w:szCs w:val="21"/>
          <w:highlight w:val="none"/>
        </w:rPr>
        <w:t>事后不得对采购相关人员、开标过程和开标结果提出异议</w:t>
      </w:r>
      <w:r>
        <w:rPr>
          <w:rFonts w:hint="eastAsia"/>
          <w:color w:val="auto"/>
          <w:szCs w:val="21"/>
          <w:highlight w:val="none"/>
        </w:rPr>
        <w:t>，同时供应商因未在线参加开标而导致投标文件无法按时解密等一切后果由供应商自己承担。</w:t>
      </w:r>
    </w:p>
    <w:p w14:paraId="671A4D68">
      <w:pPr>
        <w:spacing w:before="120" w:line="276" w:lineRule="auto"/>
        <w:ind w:firstLine="420"/>
        <w:rPr>
          <w:color w:val="auto"/>
          <w:szCs w:val="21"/>
          <w:highlight w:val="none"/>
        </w:rPr>
      </w:pPr>
      <w:r>
        <w:rPr>
          <w:rFonts w:hint="eastAsia"/>
          <w:color w:val="auto"/>
          <w:szCs w:val="21"/>
          <w:highlight w:val="none"/>
        </w:rPr>
        <w:t xml:space="preserve">如供应商成功解密投标文件，但未在广西政府采购云平台电子开标大厅参加开标的，视同认可开标过程和结果，由此产生的后果由供应商自行负责。 </w:t>
      </w:r>
    </w:p>
    <w:p w14:paraId="214012A2">
      <w:pPr>
        <w:spacing w:before="120" w:line="320" w:lineRule="atLeast"/>
        <w:ind w:firstLine="422"/>
        <w:outlineLvl w:val="2"/>
        <w:rPr>
          <w:b/>
          <w:bCs/>
          <w:color w:val="auto"/>
          <w:szCs w:val="21"/>
          <w:highlight w:val="none"/>
        </w:rPr>
      </w:pPr>
      <w:r>
        <w:rPr>
          <w:b/>
          <w:bCs/>
          <w:color w:val="auto"/>
          <w:szCs w:val="21"/>
          <w:highlight w:val="none"/>
        </w:rPr>
        <w:t>4.2开标程序</w:t>
      </w:r>
    </w:p>
    <w:p w14:paraId="62C39438">
      <w:pPr>
        <w:spacing w:before="120" w:line="320" w:lineRule="atLeast"/>
        <w:ind w:firstLine="42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627B3FEB">
      <w:pPr>
        <w:spacing w:before="120" w:line="320" w:lineRule="atLeast"/>
        <w:ind w:firstLine="42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投标文件。广西政府采购云平台按开标时间自动提取所有投标文件。采购代理机构在广西政府采购云平台向各供应商发出电子加密投标文件开始解密通知，由供应商平台设置时间内自行进行投标文件解密。供应商须使用加密时所用的CA锁准时登录到广西政府采购云平台电子开标大厅签到并对电子投标文件解密。开标后供应商未及时进行解密的，代理机构可通知供应商。</w:t>
      </w:r>
      <w:r>
        <w:rPr>
          <w:rFonts w:hint="eastAsia"/>
          <w:color w:val="auto"/>
          <w:highlight w:val="none"/>
        </w:rPr>
        <w:t>通知后供应商仍未在上述规定时间内解密响应文件</w:t>
      </w:r>
      <w:r>
        <w:rPr>
          <w:rFonts w:hint="eastAsia"/>
          <w:color w:val="auto"/>
          <w:szCs w:val="21"/>
          <w:highlight w:val="none"/>
        </w:rPr>
        <w:t>，或者供应商没预留联系方式或预留联系方式无效导致代理机构无法联系到供应商进行解密的，均视为无效投标。</w:t>
      </w:r>
    </w:p>
    <w:p w14:paraId="1A9A7C43">
      <w:pPr>
        <w:spacing w:before="120" w:line="320" w:lineRule="atLeast"/>
        <w:ind w:firstLine="420"/>
        <w:rPr>
          <w:color w:val="auto"/>
          <w:szCs w:val="21"/>
          <w:highlight w:val="none"/>
        </w:rPr>
      </w:pPr>
      <w:r>
        <w:rPr>
          <w:rFonts w:hint="eastAsia"/>
          <w:color w:val="auto"/>
          <w:szCs w:val="21"/>
          <w:highlight w:val="none"/>
        </w:rPr>
        <w:t>4</w:t>
      </w:r>
      <w:r>
        <w:rPr>
          <w:color w:val="auto"/>
          <w:szCs w:val="21"/>
          <w:highlight w:val="none"/>
        </w:rPr>
        <w:t>.2.3</w:t>
      </w:r>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p w14:paraId="5DDFB913">
      <w:pPr>
        <w:spacing w:before="120" w:line="320" w:lineRule="atLeast"/>
        <w:ind w:firstLine="42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42B5DD97">
      <w:pPr>
        <w:spacing w:before="120" w:line="320" w:lineRule="atLeast"/>
        <w:ind w:firstLine="420"/>
        <w:rPr>
          <w:color w:val="auto"/>
          <w:szCs w:val="21"/>
          <w:highlight w:val="none"/>
        </w:rPr>
      </w:pPr>
      <w:r>
        <w:rPr>
          <w:rFonts w:hint="eastAsia"/>
          <w:color w:val="auto"/>
          <w:szCs w:val="21"/>
          <w:highlight w:val="none"/>
        </w:rPr>
        <w:t>4</w:t>
      </w:r>
      <w:r>
        <w:rPr>
          <w:color w:val="auto"/>
          <w:szCs w:val="21"/>
          <w:highlight w:val="none"/>
        </w:rPr>
        <w:t>.2.5</w:t>
      </w:r>
      <w:r>
        <w:rPr>
          <w:rFonts w:hint="eastAsia"/>
          <w:color w:val="auto"/>
          <w:szCs w:val="21"/>
          <w:highlight w:val="none"/>
        </w:rPr>
        <w:t>供应商对报价进行确认。</w:t>
      </w:r>
    </w:p>
    <w:p w14:paraId="40090007">
      <w:pPr>
        <w:spacing w:before="120" w:line="320" w:lineRule="atLeast"/>
        <w:ind w:firstLine="420"/>
        <w:rPr>
          <w:color w:val="auto"/>
          <w:szCs w:val="21"/>
          <w:highlight w:val="none"/>
        </w:rPr>
      </w:pPr>
      <w:r>
        <w:rPr>
          <w:color w:val="auto"/>
          <w:szCs w:val="21"/>
          <w:highlight w:val="none"/>
        </w:rPr>
        <w:t>4.2.6开标结束。</w:t>
      </w:r>
    </w:p>
    <w:p w14:paraId="185E006B">
      <w:pPr>
        <w:pStyle w:val="27"/>
        <w:spacing w:line="440" w:lineRule="exact"/>
        <w:ind w:firstLine="422"/>
        <w:rPr>
          <w:rFonts w:hAnsi="宋体"/>
          <w:color w:val="auto"/>
          <w:highlight w:val="none"/>
        </w:rPr>
      </w:pPr>
      <w:r>
        <w:rPr>
          <w:rFonts w:hint="eastAsia" w:hAnsi="宋体"/>
          <w:b/>
          <w:bCs/>
          <w:color w:val="auto"/>
          <w:highlight w:val="none"/>
        </w:rPr>
        <w:t>特别说明：</w:t>
      </w:r>
      <w:r>
        <w:rPr>
          <w:rFonts w:hint="eastAsia" w:hAnsi="宋体"/>
          <w:color w:val="auto"/>
          <w:highlight w:val="none"/>
        </w:rPr>
        <w:t>如遇</w:t>
      </w:r>
      <w:r>
        <w:rPr>
          <w:rFonts w:hint="eastAsia"/>
          <w:color w:val="auto"/>
          <w:highlight w:val="none"/>
        </w:rPr>
        <w:t>广西政府采购云平台</w:t>
      </w:r>
      <w:r>
        <w:rPr>
          <w:rFonts w:hint="eastAsia" w:hAnsi="宋体"/>
          <w:color w:val="auto"/>
          <w:highlight w:val="none"/>
        </w:rPr>
        <w:t>电子化开标或评审程序调整的，按调整后的程序执行。</w:t>
      </w:r>
    </w:p>
    <w:p w14:paraId="3BC8928F">
      <w:pPr>
        <w:spacing w:before="120" w:line="320" w:lineRule="atLeast"/>
        <w:ind w:firstLine="422"/>
        <w:outlineLvl w:val="2"/>
        <w:rPr>
          <w:b/>
          <w:bCs/>
          <w:color w:val="auto"/>
          <w:szCs w:val="21"/>
          <w:highlight w:val="none"/>
        </w:rPr>
      </w:pPr>
      <w:r>
        <w:rPr>
          <w:b/>
          <w:bCs/>
          <w:color w:val="auto"/>
          <w:szCs w:val="21"/>
          <w:highlight w:val="none"/>
        </w:rPr>
        <w:t>4.3演示</w:t>
      </w:r>
    </w:p>
    <w:p w14:paraId="10A80ED6">
      <w:pPr>
        <w:spacing w:before="120" w:line="320" w:lineRule="atLeast"/>
        <w:ind w:firstLine="420"/>
        <w:rPr>
          <w:color w:val="auto"/>
          <w:szCs w:val="21"/>
          <w:highlight w:val="none"/>
        </w:rPr>
      </w:pPr>
      <w:r>
        <w:rPr>
          <w:color w:val="auto"/>
          <w:szCs w:val="21"/>
          <w:highlight w:val="none"/>
        </w:rPr>
        <w:t>4.3.1“供应商须知前附表”规定在开标会议结束后进行演示的，供应商应按规定进行演示。</w:t>
      </w:r>
    </w:p>
    <w:p w14:paraId="2AAC3665">
      <w:pPr>
        <w:spacing w:before="120" w:line="320" w:lineRule="atLeast"/>
        <w:ind w:firstLine="420"/>
        <w:rPr>
          <w:color w:val="auto"/>
          <w:szCs w:val="21"/>
          <w:highlight w:val="none"/>
        </w:rPr>
      </w:pPr>
      <w:r>
        <w:rPr>
          <w:color w:val="auto"/>
          <w:szCs w:val="21"/>
          <w:highlight w:val="none"/>
        </w:rPr>
        <w:t>4.3.2未按规定时间进行演示可能引起的演示分数被计为0分或投标无效等后果由供应商自行承担。</w:t>
      </w:r>
    </w:p>
    <w:p w14:paraId="55FC9663">
      <w:pPr>
        <w:spacing w:before="120" w:line="320" w:lineRule="atLeast"/>
        <w:ind w:firstLine="422"/>
        <w:outlineLvl w:val="2"/>
        <w:rPr>
          <w:color w:val="auto"/>
          <w:szCs w:val="21"/>
          <w:highlight w:val="none"/>
        </w:rPr>
      </w:pPr>
      <w:r>
        <w:rPr>
          <w:b/>
          <w:bCs/>
          <w:color w:val="auto"/>
          <w:szCs w:val="21"/>
          <w:highlight w:val="none"/>
        </w:rPr>
        <w:t>4.4样品</w:t>
      </w:r>
    </w:p>
    <w:p w14:paraId="70CE61AD">
      <w:pPr>
        <w:spacing w:before="120" w:line="320" w:lineRule="atLeast"/>
        <w:ind w:firstLine="42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530294EF">
      <w:pPr>
        <w:spacing w:before="120" w:line="320" w:lineRule="atLeast"/>
        <w:ind w:firstLine="420"/>
        <w:rPr>
          <w:color w:val="auto"/>
          <w:szCs w:val="21"/>
          <w:highlight w:val="none"/>
        </w:rPr>
      </w:pPr>
      <w:r>
        <w:rPr>
          <w:color w:val="auto"/>
          <w:szCs w:val="21"/>
          <w:highlight w:val="none"/>
        </w:rPr>
        <w:t>4.4.2未按规定时间递交样品可能引起的样品分数被计为0分或投标无效等后果由供应商自行承担。</w:t>
      </w:r>
    </w:p>
    <w:p w14:paraId="6D3EEE94">
      <w:pPr>
        <w:spacing w:before="120" w:line="320" w:lineRule="atLeast"/>
        <w:ind w:firstLine="420"/>
        <w:rPr>
          <w:color w:val="auto"/>
          <w:szCs w:val="21"/>
          <w:highlight w:val="none"/>
        </w:rPr>
      </w:pPr>
      <w:bookmarkStart w:id="148" w:name="_Toc254970545"/>
      <w:bookmarkStart w:id="149" w:name="_Toc254970686"/>
      <w:r>
        <w:rPr>
          <w:color w:val="auto"/>
          <w:szCs w:val="21"/>
          <w:highlight w:val="none"/>
        </w:rPr>
        <w:t>4.4.3样品封存或退还的说明请见第六章投标文件格式所附样品递交表。</w:t>
      </w:r>
    </w:p>
    <w:p w14:paraId="2181B147">
      <w:pPr>
        <w:spacing w:before="120" w:line="320" w:lineRule="atLeast"/>
        <w:ind w:left="2" w:firstLine="422"/>
        <w:outlineLvl w:val="1"/>
        <w:rPr>
          <w:b/>
          <w:bCs/>
          <w:color w:val="auto"/>
          <w:szCs w:val="21"/>
          <w:highlight w:val="none"/>
        </w:rPr>
      </w:pPr>
      <w:bookmarkStart w:id="150" w:name="_Hlk93420947"/>
      <w:r>
        <w:rPr>
          <w:b/>
          <w:bCs/>
          <w:color w:val="auto"/>
          <w:szCs w:val="21"/>
          <w:highlight w:val="none"/>
        </w:rPr>
        <w:t>5．</w:t>
      </w:r>
      <w:r>
        <w:rPr>
          <w:rFonts w:hint="eastAsia"/>
          <w:b/>
          <w:bCs/>
          <w:color w:val="auto"/>
          <w:szCs w:val="21"/>
          <w:highlight w:val="none"/>
        </w:rPr>
        <w:t>资格审查</w:t>
      </w:r>
    </w:p>
    <w:p w14:paraId="324B81E9">
      <w:pPr>
        <w:spacing w:before="120" w:line="320" w:lineRule="atLeast"/>
        <w:ind w:left="2" w:firstLine="420"/>
        <w:outlineLvl w:val="1"/>
        <w:rPr>
          <w:bCs/>
          <w:color w:val="auto"/>
          <w:szCs w:val="21"/>
          <w:highlight w:val="none"/>
        </w:rPr>
      </w:pPr>
      <w:r>
        <w:rPr>
          <w:rFonts w:hint="eastAsia"/>
          <w:bCs/>
          <w:color w:val="auto"/>
          <w:szCs w:val="21"/>
          <w:highlight w:val="none"/>
        </w:rPr>
        <w:t>5</w:t>
      </w:r>
      <w:r>
        <w:rPr>
          <w:bCs/>
          <w:color w:val="auto"/>
          <w:szCs w:val="21"/>
          <w:highlight w:val="none"/>
        </w:rPr>
        <w:t>.1</w:t>
      </w:r>
      <w:r>
        <w:rPr>
          <w:rFonts w:ascii="宋体" w:hAnsi="宋体"/>
          <w:bCs/>
          <w:color w:val="auto"/>
          <w:szCs w:val="21"/>
          <w:highlight w:val="none"/>
        </w:rPr>
        <w:t>开标结束后，</w:t>
      </w:r>
      <w:r>
        <w:rPr>
          <w:rFonts w:hint="eastAsia" w:ascii="宋体" w:hAnsi="宋体"/>
          <w:bCs/>
          <w:color w:val="auto"/>
          <w:szCs w:val="21"/>
          <w:highlight w:val="none"/>
        </w:rPr>
        <w:t>采购人或者采购代理机构通过电子交易平台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szCs w:val="21"/>
          <w:highlight w:val="none"/>
        </w:rPr>
        <w:t>是根据法律法规和招标文件的规定，对供应商的基本资格条件、特定资格条件进行审查。</w:t>
      </w:r>
    </w:p>
    <w:p w14:paraId="766CC5FC">
      <w:pPr>
        <w:spacing w:before="120" w:line="320" w:lineRule="atLeast"/>
        <w:ind w:left="2" w:firstLine="420"/>
        <w:outlineLvl w:val="1"/>
        <w:rPr>
          <w:bCs/>
          <w:color w:val="auto"/>
          <w:szCs w:val="21"/>
          <w:highlight w:val="none"/>
        </w:rPr>
      </w:pPr>
      <w:r>
        <w:rPr>
          <w:rFonts w:hint="eastAsia"/>
          <w:bCs/>
          <w:color w:val="auto"/>
          <w:szCs w:val="21"/>
          <w:highlight w:val="none"/>
        </w:rPr>
        <w:t>5.</w:t>
      </w:r>
      <w:r>
        <w:rPr>
          <w:bCs/>
          <w:color w:val="auto"/>
          <w:szCs w:val="21"/>
          <w:highlight w:val="none"/>
        </w:rPr>
        <w:t>2</w:t>
      </w:r>
      <w:r>
        <w:rPr>
          <w:rFonts w:hint="eastAsia"/>
          <w:bCs/>
          <w:color w:val="auto"/>
          <w:szCs w:val="21"/>
          <w:highlight w:val="none"/>
        </w:rPr>
        <w:t>资格审查标准在第四章评审方法及标准中规定，符合资格审查标准要求的供应商即为资格审查合格。</w:t>
      </w:r>
    </w:p>
    <w:p w14:paraId="4558F509">
      <w:pPr>
        <w:spacing w:before="120" w:line="276" w:lineRule="auto"/>
        <w:ind w:left="2" w:firstLine="420"/>
        <w:outlineLvl w:val="1"/>
        <w:rPr>
          <w:bCs/>
          <w:color w:val="auto"/>
          <w:szCs w:val="21"/>
          <w:highlight w:val="none"/>
        </w:rPr>
      </w:pPr>
      <w:r>
        <w:rPr>
          <w:bCs/>
          <w:color w:val="auto"/>
          <w:szCs w:val="21"/>
          <w:highlight w:val="none"/>
        </w:rPr>
        <w:t>5.3</w:t>
      </w:r>
      <w:r>
        <w:rPr>
          <w:rFonts w:hint="eastAsia"/>
          <w:bCs/>
          <w:color w:val="auto"/>
          <w:szCs w:val="21"/>
          <w:highlight w:val="none"/>
        </w:rPr>
        <w:t>供应商有下列情形之一的，资格审查不合格，作无效投标处理：</w:t>
      </w:r>
    </w:p>
    <w:p w14:paraId="1D69CD5C">
      <w:pPr>
        <w:spacing w:line="276" w:lineRule="auto"/>
        <w:ind w:firstLine="420"/>
        <w:rPr>
          <w:rFonts w:hAnsi="宋体"/>
          <w:color w:val="auto"/>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不具备招标文件中规定的资格要求或资格条件的； （注：其中信用查询规则见“投标人须知前附表”，广西政府采购云平台已与“信用中国”平台做接口，可直接在线查询）</w:t>
      </w:r>
    </w:p>
    <w:p w14:paraId="3769FE7E">
      <w:pPr>
        <w:spacing w:before="120" w:line="276" w:lineRule="auto"/>
        <w:ind w:firstLine="420"/>
        <w:rPr>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投标文件缺少任何一项资格证明文件或不符合第四章评审方法及标准中资格审查标准规定的评审内容的；</w:t>
      </w:r>
    </w:p>
    <w:p w14:paraId="3FAC0E92">
      <w:pPr>
        <w:spacing w:before="120" w:line="276" w:lineRule="auto"/>
        <w:ind w:left="2" w:firstLine="420"/>
        <w:outlineLvl w:val="1"/>
        <w:rPr>
          <w:bCs/>
          <w:color w:val="auto"/>
          <w:szCs w:val="21"/>
          <w:highlight w:val="none"/>
        </w:rPr>
      </w:pPr>
      <w:r>
        <w:rPr>
          <w:bCs/>
          <w:color w:val="auto"/>
          <w:szCs w:val="21"/>
          <w:highlight w:val="none"/>
        </w:rPr>
        <w:t>5.4</w:t>
      </w:r>
      <w:r>
        <w:rPr>
          <w:rFonts w:hint="eastAsia"/>
          <w:bCs/>
          <w:color w:val="auto"/>
          <w:szCs w:val="21"/>
          <w:highlight w:val="none"/>
        </w:rPr>
        <w:t>资格审查合格的供应商不足3家的，不得评审。</w:t>
      </w:r>
      <w:bookmarkEnd w:id="150"/>
    </w:p>
    <w:p w14:paraId="6C44D2D2">
      <w:pPr>
        <w:spacing w:before="120" w:line="320" w:lineRule="atLeast"/>
        <w:ind w:left="2" w:firstLine="422"/>
        <w:outlineLvl w:val="1"/>
        <w:rPr>
          <w:b/>
          <w:bCs/>
          <w:color w:val="auto"/>
          <w:szCs w:val="21"/>
          <w:highlight w:val="none"/>
        </w:rPr>
      </w:pPr>
      <w:bookmarkStart w:id="151" w:name="_Hlk93420990"/>
      <w:r>
        <w:rPr>
          <w:b/>
          <w:bCs/>
          <w:color w:val="auto"/>
          <w:szCs w:val="21"/>
          <w:highlight w:val="none"/>
        </w:rPr>
        <w:t>6．评审</w:t>
      </w:r>
      <w:bookmarkEnd w:id="148"/>
      <w:bookmarkEnd w:id="149"/>
    </w:p>
    <w:p w14:paraId="0E74381B">
      <w:pPr>
        <w:spacing w:before="120" w:line="320" w:lineRule="atLeast"/>
        <w:ind w:firstLine="422"/>
        <w:outlineLvl w:val="2"/>
        <w:rPr>
          <w:b/>
          <w:bCs/>
          <w:color w:val="auto"/>
          <w:szCs w:val="21"/>
          <w:highlight w:val="none"/>
        </w:rPr>
      </w:pPr>
      <w:r>
        <w:rPr>
          <w:b/>
          <w:bCs/>
          <w:color w:val="auto"/>
          <w:szCs w:val="21"/>
          <w:highlight w:val="none"/>
        </w:rPr>
        <w:t>6.1</w:t>
      </w:r>
      <w:r>
        <w:rPr>
          <w:rFonts w:hint="eastAsia"/>
          <w:b/>
          <w:bCs/>
          <w:color w:val="auto"/>
          <w:szCs w:val="21"/>
          <w:highlight w:val="none"/>
          <w:lang w:eastAsia="zh-CN"/>
        </w:rPr>
        <w:t>评标委员会</w:t>
      </w:r>
      <w:r>
        <w:rPr>
          <w:rFonts w:hint="eastAsia"/>
          <w:b/>
          <w:bCs/>
          <w:color w:val="auto"/>
          <w:szCs w:val="21"/>
          <w:highlight w:val="none"/>
        </w:rPr>
        <w:t>及评审原则</w:t>
      </w:r>
    </w:p>
    <w:p w14:paraId="2DB4D9FF">
      <w:pPr>
        <w:spacing w:before="120" w:line="320" w:lineRule="atLeast"/>
        <w:ind w:firstLine="420"/>
        <w:rPr>
          <w:color w:val="auto"/>
          <w:szCs w:val="21"/>
          <w:highlight w:val="none"/>
        </w:rPr>
      </w:pPr>
      <w:bookmarkStart w:id="152" w:name="_Hlk91249317"/>
      <w:r>
        <w:rPr>
          <w:rFonts w:hint="eastAsia"/>
          <w:color w:val="auto"/>
          <w:szCs w:val="21"/>
          <w:highlight w:val="none"/>
        </w:rPr>
        <w:t>6.1.1</w:t>
      </w:r>
      <w:r>
        <w:rPr>
          <w:color w:val="auto"/>
          <w:szCs w:val="21"/>
          <w:highlight w:val="none"/>
        </w:rPr>
        <w:t>本项目</w:t>
      </w:r>
      <w:r>
        <w:rPr>
          <w:rFonts w:hint="eastAsia"/>
          <w:color w:val="auto"/>
          <w:szCs w:val="21"/>
          <w:highlight w:val="none"/>
        </w:rPr>
        <w:t>评审工作由</w:t>
      </w:r>
      <w:r>
        <w:rPr>
          <w:rFonts w:hint="eastAsia"/>
          <w:color w:val="auto"/>
          <w:szCs w:val="21"/>
          <w:highlight w:val="none"/>
          <w:lang w:eastAsia="zh-CN"/>
        </w:rPr>
        <w:t>评标委员会</w:t>
      </w:r>
      <w:r>
        <w:rPr>
          <w:rFonts w:hint="eastAsia"/>
          <w:color w:val="auto"/>
          <w:szCs w:val="21"/>
          <w:highlight w:val="none"/>
        </w:rPr>
        <w:t>负责，</w:t>
      </w:r>
      <w:r>
        <w:rPr>
          <w:rFonts w:hint="eastAsia"/>
          <w:color w:val="auto"/>
          <w:szCs w:val="21"/>
          <w:highlight w:val="none"/>
          <w:lang w:eastAsia="zh-CN"/>
        </w:rPr>
        <w:t>评标委员会</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lang w:eastAsia="zh-CN"/>
        </w:rPr>
        <w:t>评标委员会</w:t>
      </w:r>
      <w:r>
        <w:rPr>
          <w:rFonts w:hint="eastAsia"/>
          <w:color w:val="auto"/>
          <w:szCs w:val="21"/>
          <w:highlight w:val="none"/>
        </w:rPr>
        <w:t>评审时必须公平、公正、客观，不带任何倾向性和启发性；不得向外界透露任何与评审有关的内容；任何单位和个人不得干扰、影响评标的正常进行；</w:t>
      </w:r>
      <w:r>
        <w:rPr>
          <w:rFonts w:hint="eastAsia"/>
          <w:color w:val="auto"/>
          <w:szCs w:val="21"/>
          <w:highlight w:val="none"/>
          <w:lang w:eastAsia="zh-CN"/>
        </w:rPr>
        <w:t>评标委员会</w:t>
      </w:r>
      <w:r>
        <w:rPr>
          <w:rFonts w:hint="eastAsia"/>
          <w:color w:val="auto"/>
          <w:szCs w:val="21"/>
          <w:highlight w:val="none"/>
        </w:rPr>
        <w:t>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497EE324">
      <w:pPr>
        <w:spacing w:before="120" w:line="320" w:lineRule="atLeast"/>
        <w:ind w:firstLine="420"/>
        <w:rPr>
          <w:color w:val="auto"/>
          <w:szCs w:val="21"/>
          <w:highlight w:val="none"/>
        </w:rPr>
      </w:pPr>
      <w:r>
        <w:rPr>
          <w:rFonts w:hint="eastAsia"/>
          <w:color w:val="auto"/>
          <w:szCs w:val="21"/>
          <w:highlight w:val="none"/>
        </w:rPr>
        <w:t>6.1.2</w:t>
      </w:r>
      <w:r>
        <w:rPr>
          <w:rFonts w:hint="eastAsia"/>
          <w:color w:val="auto"/>
          <w:szCs w:val="21"/>
          <w:highlight w:val="none"/>
          <w:lang w:eastAsia="zh-CN"/>
        </w:rPr>
        <w:t>评标委员会</w:t>
      </w:r>
      <w:r>
        <w:rPr>
          <w:rFonts w:hint="eastAsia"/>
          <w:color w:val="auto"/>
          <w:szCs w:val="21"/>
          <w:highlight w:val="none"/>
        </w:rPr>
        <w:t>成员应当通过电子交易平台进行独立评审，</w:t>
      </w:r>
      <w:r>
        <w:rPr>
          <w:rFonts w:hint="eastAsia"/>
          <w:color w:val="auto"/>
          <w:szCs w:val="21"/>
          <w:highlight w:val="none"/>
          <w:lang w:eastAsia="zh-CN"/>
        </w:rPr>
        <w:t>评标委员会</w:t>
      </w:r>
      <w:r>
        <w:rPr>
          <w:rFonts w:hint="eastAsia"/>
          <w:color w:val="auto"/>
          <w:szCs w:val="21"/>
          <w:highlight w:val="none"/>
        </w:rPr>
        <w:t>成员对需要共同认定的事项存在争议的，应当按照少数服从多数的原则作出结论。持不同意见的</w:t>
      </w:r>
      <w:r>
        <w:rPr>
          <w:rFonts w:hint="eastAsia"/>
          <w:color w:val="auto"/>
          <w:szCs w:val="21"/>
          <w:highlight w:val="none"/>
          <w:lang w:eastAsia="zh-CN"/>
        </w:rPr>
        <w:t>评标委员会</w:t>
      </w:r>
      <w:r>
        <w:rPr>
          <w:rFonts w:hint="eastAsia"/>
          <w:color w:val="auto"/>
          <w:szCs w:val="21"/>
          <w:highlight w:val="none"/>
        </w:rPr>
        <w:t>成员应当在评审报告上签署不同意见及理由，否则视为同意评审报告。如果在评审过程中出现法律法规和招标文件均没有明确规定的情形时，由</w:t>
      </w:r>
      <w:r>
        <w:rPr>
          <w:rFonts w:hint="eastAsia"/>
          <w:color w:val="auto"/>
          <w:szCs w:val="21"/>
          <w:highlight w:val="none"/>
          <w:lang w:eastAsia="zh-CN"/>
        </w:rPr>
        <w:t>评标委员会</w:t>
      </w:r>
      <w:r>
        <w:rPr>
          <w:rFonts w:hint="eastAsia"/>
          <w:color w:val="auto"/>
          <w:szCs w:val="21"/>
          <w:highlight w:val="none"/>
        </w:rPr>
        <w:t>现场协商确定，协商不一致的，由全体</w:t>
      </w:r>
      <w:r>
        <w:rPr>
          <w:rFonts w:hint="eastAsia"/>
          <w:color w:val="auto"/>
          <w:szCs w:val="21"/>
          <w:highlight w:val="none"/>
          <w:lang w:eastAsia="zh-CN"/>
        </w:rPr>
        <w:t>评标委员会</w:t>
      </w:r>
      <w:r>
        <w:rPr>
          <w:rFonts w:hint="eastAsia"/>
          <w:color w:val="auto"/>
          <w:szCs w:val="21"/>
          <w:highlight w:val="none"/>
        </w:rPr>
        <w:t>成员投票表决，应当按照少数服从多数的原则作出结论并记录在评审报告中。</w:t>
      </w:r>
    </w:p>
    <w:p w14:paraId="6956BCCE">
      <w:pPr>
        <w:spacing w:before="120" w:line="320" w:lineRule="atLeast"/>
        <w:ind w:firstLine="42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513543CC">
      <w:pPr>
        <w:spacing w:before="120" w:line="320" w:lineRule="atLeast"/>
        <w:ind w:firstLine="42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6.1.4本项目评审过程实行全程网上留痕及录音、录像监控，供应商在评审过程中所进行的试图影响评审结果的不公正活动，可能导致其投标按无效处理。</w:t>
      </w:r>
      <w:bookmarkEnd w:id="152"/>
    </w:p>
    <w:p w14:paraId="224D6F44">
      <w:pPr>
        <w:spacing w:before="120" w:line="320" w:lineRule="atLeast"/>
        <w:ind w:firstLine="422"/>
        <w:outlineLvl w:val="2"/>
        <w:rPr>
          <w:b/>
          <w:bCs/>
          <w:color w:val="auto"/>
          <w:szCs w:val="21"/>
          <w:highlight w:val="none"/>
        </w:rPr>
      </w:pPr>
      <w:bookmarkStart w:id="153" w:name="_Hlk91324148"/>
      <w:r>
        <w:rPr>
          <w:b/>
          <w:bCs/>
          <w:color w:val="auto"/>
          <w:szCs w:val="21"/>
          <w:highlight w:val="none"/>
        </w:rPr>
        <w:t>6.2</w:t>
      </w:r>
      <w:r>
        <w:rPr>
          <w:rFonts w:hint="eastAsia"/>
          <w:b/>
          <w:bCs/>
          <w:color w:val="auto"/>
          <w:szCs w:val="21"/>
          <w:highlight w:val="none"/>
        </w:rPr>
        <w:t>评审方法及依据</w:t>
      </w:r>
    </w:p>
    <w:p w14:paraId="3B8E78BB">
      <w:pPr>
        <w:spacing w:before="120" w:line="320" w:lineRule="atLeast"/>
        <w:ind w:firstLine="420"/>
        <w:rPr>
          <w:bCs/>
          <w:color w:val="auto"/>
          <w:szCs w:val="21"/>
          <w:highlight w:val="none"/>
        </w:rPr>
      </w:pPr>
      <w:r>
        <w:rPr>
          <w:bCs/>
          <w:color w:val="auto"/>
          <w:szCs w:val="21"/>
          <w:highlight w:val="none"/>
        </w:rPr>
        <w:t>6.2.1</w:t>
      </w:r>
      <w:r>
        <w:rPr>
          <w:rFonts w:hint="eastAsia"/>
          <w:bCs/>
          <w:color w:val="auto"/>
          <w:szCs w:val="21"/>
          <w:highlight w:val="none"/>
        </w:rPr>
        <w:t>本项目采用第四章评审方法及标准规定的方法进行评审。</w:t>
      </w:r>
    </w:p>
    <w:p w14:paraId="1CA89619">
      <w:pPr>
        <w:spacing w:before="120" w:line="320" w:lineRule="atLeast"/>
        <w:ind w:firstLine="420"/>
        <w:rPr>
          <w:bCs/>
          <w:color w:val="auto"/>
          <w:szCs w:val="21"/>
          <w:highlight w:val="none"/>
        </w:rPr>
      </w:pPr>
      <w:r>
        <w:rPr>
          <w:bCs/>
          <w:color w:val="auto"/>
          <w:szCs w:val="21"/>
          <w:highlight w:val="none"/>
        </w:rPr>
        <w:t>6.2.2</w:t>
      </w:r>
      <w:r>
        <w:rPr>
          <w:rFonts w:hint="eastAsia"/>
          <w:color w:val="auto"/>
          <w:highlight w:val="none"/>
          <w:lang w:eastAsia="zh-CN"/>
        </w:rPr>
        <w:t>评标委员会</w:t>
      </w:r>
      <w:r>
        <w:rPr>
          <w:color w:val="auto"/>
          <w:highlight w:val="none"/>
        </w:rPr>
        <w:t>以</w:t>
      </w:r>
      <w:r>
        <w:rPr>
          <w:rFonts w:hint="eastAsia"/>
          <w:color w:val="auto"/>
          <w:highlight w:val="none"/>
        </w:rPr>
        <w:t>招标</w:t>
      </w:r>
      <w:r>
        <w:rPr>
          <w:color w:val="auto"/>
          <w:highlight w:val="none"/>
        </w:rPr>
        <w:t>文件、补充文件、</w:t>
      </w:r>
      <w:r>
        <w:rPr>
          <w:rFonts w:hint="eastAsia"/>
          <w:color w:val="auto"/>
          <w:highlight w:val="none"/>
        </w:rPr>
        <w:t>投标</w:t>
      </w:r>
      <w:r>
        <w:rPr>
          <w:color w:val="auto"/>
          <w:highlight w:val="none"/>
        </w:rPr>
        <w:t>文件、澄清及答复为评审依据</w:t>
      </w:r>
      <w:r>
        <w:rPr>
          <w:rFonts w:hint="eastAsia"/>
          <w:color w:val="auto"/>
          <w:highlight w:val="none"/>
        </w:rPr>
        <w:t>，</w:t>
      </w:r>
      <w:r>
        <w:rPr>
          <w:rFonts w:hint="eastAsia"/>
          <w:bCs/>
          <w:color w:val="auto"/>
          <w:szCs w:val="21"/>
          <w:highlight w:val="none"/>
        </w:rPr>
        <w:t>第四章评审方法及标准没有规定的评审方法、标准及因素，不得作为评审依据。</w:t>
      </w:r>
      <w:bookmarkEnd w:id="153"/>
    </w:p>
    <w:p w14:paraId="4F88E9BB">
      <w:pPr>
        <w:spacing w:before="120" w:line="320" w:lineRule="atLeast"/>
        <w:ind w:firstLine="422"/>
        <w:outlineLvl w:val="2"/>
        <w:rPr>
          <w:b/>
          <w:bCs/>
          <w:color w:val="auto"/>
          <w:szCs w:val="21"/>
          <w:highlight w:val="none"/>
        </w:rPr>
      </w:pPr>
      <w:bookmarkStart w:id="154" w:name="_Hlk91324322"/>
      <w:r>
        <w:rPr>
          <w:b/>
          <w:bCs/>
          <w:color w:val="auto"/>
          <w:szCs w:val="21"/>
          <w:highlight w:val="none"/>
        </w:rPr>
        <w:t>6.3评审</w:t>
      </w:r>
      <w:r>
        <w:rPr>
          <w:rFonts w:hint="eastAsia"/>
          <w:b/>
          <w:bCs/>
          <w:color w:val="auto"/>
          <w:szCs w:val="21"/>
          <w:highlight w:val="none"/>
        </w:rPr>
        <w:t>程序</w:t>
      </w:r>
    </w:p>
    <w:p w14:paraId="240079EB">
      <w:pPr>
        <w:spacing w:before="120" w:line="320" w:lineRule="atLeast"/>
        <w:ind w:firstLine="420"/>
        <w:rPr>
          <w:color w:val="auto"/>
          <w:highlight w:val="none"/>
        </w:rPr>
      </w:pPr>
      <w:r>
        <w:rPr>
          <w:color w:val="auto"/>
          <w:highlight w:val="none"/>
        </w:rPr>
        <w:t>6.</w:t>
      </w:r>
      <w:bookmarkStart w:id="155" w:name="_Hlk19175507"/>
      <w:bookmarkStart w:id="156" w:name="_Hlk80956880"/>
      <w:r>
        <w:rPr>
          <w:color w:val="auto"/>
          <w:highlight w:val="none"/>
        </w:rPr>
        <w:t>3.1</w:t>
      </w:r>
      <w:r>
        <w:rPr>
          <w:rFonts w:hint="eastAsia"/>
          <w:color w:val="auto"/>
          <w:highlight w:val="none"/>
        </w:rPr>
        <w:t>符合性审查</w:t>
      </w:r>
    </w:p>
    <w:p w14:paraId="6928DA3A">
      <w:pPr>
        <w:spacing w:before="120" w:line="320" w:lineRule="atLeast"/>
        <w:ind w:firstLine="420"/>
        <w:rPr>
          <w:color w:val="auto"/>
          <w:szCs w:val="21"/>
          <w:highlight w:val="none"/>
        </w:rPr>
      </w:pPr>
      <w:r>
        <w:rPr>
          <w:bCs/>
          <w:color w:val="auto"/>
          <w:szCs w:val="21"/>
          <w:highlight w:val="none"/>
        </w:rPr>
        <w:t>资格审查结束后，</w:t>
      </w:r>
      <w:r>
        <w:rPr>
          <w:rFonts w:hint="eastAsia" w:hAnsi="宋体"/>
          <w:color w:val="auto"/>
          <w:highlight w:val="none"/>
          <w:lang w:eastAsia="zh-CN"/>
        </w:rPr>
        <w:t>评标委员会</w:t>
      </w:r>
      <w:r>
        <w:rPr>
          <w:rFonts w:hint="eastAsia" w:hAnsi="宋体"/>
          <w:color w:val="auto"/>
          <w:highlight w:val="none"/>
        </w:rPr>
        <w:t>对</w:t>
      </w:r>
      <w:r>
        <w:rPr>
          <w:color w:val="auto"/>
          <w:highlight w:val="none"/>
        </w:rPr>
        <w:t>通过资格审查的供应商</w:t>
      </w:r>
      <w:r>
        <w:rPr>
          <w:rFonts w:hint="eastAsia" w:hAnsi="宋体"/>
          <w:color w:val="auto"/>
          <w:highlight w:val="none"/>
        </w:rPr>
        <w:t>的投标文件报价、商务资信、技术等方面实质性内容进行符合性审查，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bookmarkEnd w:id="155"/>
      <w:bookmarkEnd w:id="156"/>
    </w:p>
    <w:p w14:paraId="7DD40F43">
      <w:pPr>
        <w:spacing w:before="120" w:line="320" w:lineRule="atLeast"/>
        <w:ind w:firstLine="42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55BEAC3F">
      <w:pPr>
        <w:spacing w:before="120" w:line="320" w:lineRule="atLeast"/>
        <w:ind w:firstLine="422"/>
        <w:rPr>
          <w:color w:val="auto"/>
          <w:szCs w:val="21"/>
          <w:highlight w:val="none"/>
        </w:rPr>
      </w:pPr>
      <w:bookmarkStart w:id="157" w:name="_Hlk47714684"/>
      <w:r>
        <w:rPr>
          <w:rFonts w:hint="eastAsia"/>
          <w:color w:val="auto"/>
          <w:szCs w:val="21"/>
          <w:highlight w:val="none"/>
        </w:rPr>
        <w:t>（1）</w:t>
      </w:r>
      <w:bookmarkEnd w:id="157"/>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投标货物必须使用政府强制采购的节能产品，否则投标文件作无效处理；属于品目清单内非标注“★”的产品时，应优先采购。</w:t>
      </w:r>
    </w:p>
    <w:p w14:paraId="5DC47A3E">
      <w:pPr>
        <w:spacing w:before="120" w:line="320" w:lineRule="atLeast"/>
        <w:ind w:firstLine="422"/>
        <w:rPr>
          <w:rFonts w:hint="eastAsia"/>
          <w:color w:val="auto"/>
          <w:szCs w:val="21"/>
          <w:highlight w:val="none"/>
        </w:rPr>
      </w:pPr>
      <w:bookmarkStart w:id="158" w:name="_Hlk138843020"/>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的产品时，应优先采购。</w:t>
      </w:r>
      <w:bookmarkEnd w:id="158"/>
    </w:p>
    <w:p w14:paraId="0578C5AE">
      <w:pPr>
        <w:spacing w:before="120" w:line="276" w:lineRule="auto"/>
        <w:ind w:firstLine="420"/>
        <w:rPr>
          <w:color w:val="auto"/>
          <w:szCs w:val="21"/>
          <w:highlight w:val="none"/>
        </w:rPr>
      </w:pPr>
      <w:bookmarkStart w:id="159" w:name="_Hlk19176155"/>
      <w:r>
        <w:rPr>
          <w:rFonts w:hint="eastAsia"/>
          <w:color w:val="auto"/>
          <w:szCs w:val="21"/>
          <w:highlight w:val="none"/>
        </w:rPr>
        <w:t>（2）根据《关于调整网络安全专用产品安全管理有关事项的公告》（2023年</w:t>
      </w:r>
      <w:r>
        <w:rPr>
          <w:rFonts w:hint="eastAsia"/>
          <w:color w:val="auto"/>
          <w:szCs w:val="21"/>
          <w:highlight w:val="none"/>
          <w:lang w:val="en-US" w:eastAsia="zh-CN"/>
        </w:rPr>
        <w:t>第</w:t>
      </w:r>
      <w:r>
        <w:rPr>
          <w:rFonts w:hint="eastAsia"/>
          <w:color w:val="auto"/>
          <w:szCs w:val="21"/>
          <w:highlight w:val="none"/>
        </w:rPr>
        <w:t>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592585B2">
      <w:pPr>
        <w:spacing w:before="120" w:line="276" w:lineRule="auto"/>
        <w:ind w:firstLine="420"/>
        <w:rPr>
          <w:rFonts w:hint="eastAsia"/>
          <w:color w:val="auto"/>
          <w:szCs w:val="21"/>
          <w:highlight w:val="none"/>
        </w:rPr>
      </w:pPr>
      <w:r>
        <w:rPr>
          <w:rFonts w:hint="eastAsia"/>
          <w:color w:val="auto"/>
          <w:szCs w:val="21"/>
          <w:highlight w:val="none"/>
        </w:rPr>
        <w:t>注：网络安全专用产品在中共中央网络安全和信息化委员会办公室网站上发布的《网络关键设备和网络安全专用产品目录》中查询。</w:t>
      </w:r>
      <w:r>
        <w:rPr>
          <w:color w:val="auto"/>
          <w:szCs w:val="21"/>
          <w:highlight w:val="none"/>
        </w:rPr>
        <w:t xml:space="preserve"> </w:t>
      </w:r>
      <w:r>
        <w:rPr>
          <w:rFonts w:hint="eastAsia"/>
          <w:color w:val="auto"/>
          <w:szCs w:val="21"/>
          <w:highlight w:val="none"/>
          <w:lang w:eastAsia="zh-CN"/>
        </w:rPr>
        <w:t>“</w:t>
      </w:r>
      <w:r>
        <w:rPr>
          <w:rFonts w:hint="eastAsia"/>
          <w:color w:val="auto"/>
          <w:szCs w:val="21"/>
          <w:highlight w:val="none"/>
          <w:lang w:val="en-US" w:eastAsia="zh-CN"/>
        </w:rPr>
        <w:t>网络安全专用产品”内“产品类别”</w:t>
      </w:r>
      <w:r>
        <w:rPr>
          <w:rFonts w:hint="eastAsia"/>
          <w:color w:val="auto"/>
          <w:szCs w:val="21"/>
          <w:highlight w:val="none"/>
        </w:rPr>
        <w:t>共</w:t>
      </w:r>
      <w:r>
        <w:rPr>
          <w:rFonts w:hint="eastAsia"/>
          <w:color w:val="auto"/>
          <w:szCs w:val="21"/>
          <w:highlight w:val="none"/>
          <w:lang w:val="en-US" w:eastAsia="zh-CN"/>
        </w:rPr>
        <w:t>34</w:t>
      </w:r>
      <w:r>
        <w:rPr>
          <w:rFonts w:hint="eastAsia"/>
          <w:color w:val="auto"/>
          <w:szCs w:val="21"/>
          <w:highlight w:val="none"/>
        </w:rPr>
        <w:t>类：数据备份与恢复产品、防火墙、入侵检测系统（I</w:t>
      </w:r>
      <w:r>
        <w:rPr>
          <w:color w:val="auto"/>
          <w:szCs w:val="21"/>
          <w:highlight w:val="none"/>
        </w:rPr>
        <w:t>DS</w:t>
      </w:r>
      <w:r>
        <w:rPr>
          <w:rFonts w:hint="eastAsia"/>
          <w:color w:val="auto"/>
          <w:szCs w:val="21"/>
          <w:highlight w:val="none"/>
        </w:rPr>
        <w:t>）、入侵防御系统（</w:t>
      </w:r>
      <w:r>
        <w:rPr>
          <w:color w:val="auto"/>
          <w:szCs w:val="21"/>
          <w:highlight w:val="none"/>
        </w:rPr>
        <w:t>IPS</w:t>
      </w:r>
      <w:r>
        <w:rPr>
          <w:rFonts w:hint="eastAsia"/>
          <w:color w:val="auto"/>
          <w:szCs w:val="21"/>
          <w:highlight w:val="none"/>
        </w:rPr>
        <w:t>）、</w:t>
      </w:r>
      <w:r>
        <w:rPr>
          <w:rFonts w:hint="eastAsia"/>
          <w:color w:val="auto"/>
          <w:szCs w:val="21"/>
          <w:highlight w:val="none"/>
          <w:lang w:val="en-US" w:eastAsia="zh-CN"/>
        </w:rPr>
        <w:t>网络和终端隔离产品</w:t>
      </w:r>
      <w:r>
        <w:rPr>
          <w:rFonts w:hint="eastAsia"/>
          <w:color w:val="auto"/>
          <w:szCs w:val="21"/>
          <w:highlight w:val="none"/>
        </w:rPr>
        <w:t>、反垃圾邮件产品、网络综合审计</w:t>
      </w:r>
      <w:r>
        <w:rPr>
          <w:rFonts w:hint="eastAsia"/>
          <w:color w:val="auto"/>
          <w:szCs w:val="21"/>
          <w:highlight w:val="none"/>
          <w:lang w:val="en-US" w:eastAsia="zh-CN"/>
        </w:rPr>
        <w:t>产品</w:t>
      </w:r>
      <w:r>
        <w:rPr>
          <w:rFonts w:hint="eastAsia"/>
          <w:color w:val="auto"/>
          <w:szCs w:val="21"/>
          <w:highlight w:val="none"/>
        </w:rPr>
        <w:t>、网络脆弱性扫描产品、安全数据库系统、网站恢复产品</w:t>
      </w:r>
      <w:r>
        <w:rPr>
          <w:rFonts w:hint="eastAsia"/>
          <w:color w:val="auto"/>
          <w:szCs w:val="21"/>
          <w:highlight w:val="none"/>
          <w:lang w:eastAsia="zh-CN"/>
        </w:rPr>
        <w:t>、</w:t>
      </w:r>
      <w:r>
        <w:rPr>
          <w:rFonts w:hint="eastAsia"/>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430F9B2A">
      <w:pPr>
        <w:spacing w:before="120" w:line="320" w:lineRule="atLeast"/>
        <w:ind w:firstLine="420"/>
        <w:rPr>
          <w:color w:val="auto"/>
          <w:highlight w:val="none"/>
        </w:rPr>
      </w:pPr>
      <w:r>
        <w:rPr>
          <w:color w:val="auto"/>
          <w:highlight w:val="none"/>
        </w:rPr>
        <w:t>6.3.3澄清、说明或补正</w:t>
      </w:r>
    </w:p>
    <w:p w14:paraId="01A44893">
      <w:pPr>
        <w:spacing w:before="120" w:line="320" w:lineRule="atLeast"/>
        <w:ind w:firstLine="420"/>
        <w:rPr>
          <w:color w:val="auto"/>
          <w:highlight w:val="none"/>
        </w:rPr>
      </w:pPr>
      <w:r>
        <w:rPr>
          <w:rFonts w:hint="eastAsia"/>
          <w:color w:val="auto"/>
          <w:highlight w:val="none"/>
        </w:rPr>
        <w:t>（1）对投标文件中含义不明确、同类问题表述不一致或者有明显文字和计算错误的内容，</w:t>
      </w:r>
      <w:r>
        <w:rPr>
          <w:rFonts w:hint="eastAsia"/>
          <w:color w:val="auto"/>
          <w:highlight w:val="none"/>
          <w:lang w:eastAsia="zh-CN"/>
        </w:rPr>
        <w:t>评标委员会</w:t>
      </w:r>
      <w:r>
        <w:rPr>
          <w:rFonts w:hint="eastAsia"/>
          <w:color w:val="auto"/>
          <w:highlight w:val="none"/>
        </w:rPr>
        <w:t>应在</w:t>
      </w:r>
      <w:r>
        <w:rPr>
          <w:rFonts w:hint="eastAsia"/>
          <w:color w:val="auto"/>
          <w:szCs w:val="21"/>
          <w:highlight w:val="none"/>
        </w:rPr>
        <w:t>广西政府采购云平台</w:t>
      </w:r>
      <w:r>
        <w:rPr>
          <w:rFonts w:hint="eastAsia"/>
          <w:color w:val="auto"/>
          <w:highlight w:val="none"/>
        </w:rPr>
        <w:t>发布电子澄清函，要求投标人在平台设置的时间内作出必要的澄清、说明或者补正。投标人在</w:t>
      </w:r>
      <w:r>
        <w:rPr>
          <w:rFonts w:hint="eastAsia"/>
          <w:color w:val="auto"/>
          <w:szCs w:val="21"/>
          <w:highlight w:val="none"/>
        </w:rPr>
        <w:t>广西政府采购云平台</w:t>
      </w:r>
      <w:r>
        <w:rPr>
          <w:rFonts w:hint="eastAsia"/>
          <w:color w:val="auto"/>
          <w:highlight w:val="none"/>
        </w:rPr>
        <w:t>接收到电子澄清函后根据澄清函内容直接在线编辑或上传PDF格式回函，电子澄清答复函使用CA证书加盖单位电子签章后提交至</w:t>
      </w:r>
      <w:r>
        <w:rPr>
          <w:rFonts w:hint="eastAsia"/>
          <w:color w:val="auto"/>
          <w:highlight w:val="none"/>
          <w:lang w:eastAsia="zh-CN"/>
        </w:rPr>
        <w:t>评标委员会</w:t>
      </w:r>
      <w:r>
        <w:rPr>
          <w:rFonts w:hint="eastAsia"/>
          <w:color w:val="auto"/>
          <w:highlight w:val="none"/>
        </w:rPr>
        <w:t>。投标人的澄清、说明或者补正不得超出投标文件的范围或者改变投标文件的实质性内容。投标人未在规定时间内进行澄清、说明或者补正的，按无效投标处理。</w:t>
      </w:r>
    </w:p>
    <w:p w14:paraId="764AF0D8">
      <w:pPr>
        <w:spacing w:before="120" w:line="320" w:lineRule="atLeast"/>
        <w:ind w:firstLine="420"/>
        <w:rPr>
          <w:color w:val="auto"/>
          <w:highlight w:val="none"/>
        </w:rPr>
      </w:pPr>
      <w:r>
        <w:rPr>
          <w:rFonts w:hint="eastAsia"/>
          <w:color w:val="auto"/>
          <w:highlight w:val="none"/>
        </w:rPr>
        <w:t>（2）异常情况处理：如遇无法正常使用线上发送澄清函的情况，将以书面形式执行。</w:t>
      </w:r>
      <w:r>
        <w:rPr>
          <w:rFonts w:hint="eastAsia"/>
          <w:color w:val="auto"/>
          <w:highlight w:val="none"/>
          <w:lang w:eastAsia="zh-CN"/>
        </w:rPr>
        <w:t>评标委员会</w:t>
      </w:r>
      <w:r>
        <w:rPr>
          <w:rFonts w:hint="eastAsia"/>
          <w:color w:val="auto"/>
          <w:highlight w:val="none"/>
        </w:rPr>
        <w:t>以书面形式要求投标人在规定时间内作出必要的澄清、说明或者补正。投标人的澄清、说明或者补正必须采用书面形式，并加盖公章或者由法定代表人或者其授权的代表签字。</w:t>
      </w:r>
    </w:p>
    <w:p w14:paraId="7A18C2AD">
      <w:pPr>
        <w:spacing w:before="120" w:line="320" w:lineRule="atLeast"/>
        <w:ind w:firstLine="420"/>
        <w:rPr>
          <w:color w:val="auto"/>
          <w:highlight w:val="none"/>
        </w:rPr>
      </w:pPr>
      <w:r>
        <w:rPr>
          <w:color w:val="auto"/>
          <w:highlight w:val="none"/>
        </w:rPr>
        <w:t>6.3.4</w:t>
      </w:r>
      <w:r>
        <w:rPr>
          <w:rFonts w:hint="eastAsia"/>
          <w:color w:val="auto"/>
          <w:highlight w:val="none"/>
        </w:rPr>
        <w:t>报价</w:t>
      </w:r>
      <w:r>
        <w:rPr>
          <w:color w:val="auto"/>
          <w:highlight w:val="none"/>
        </w:rPr>
        <w:t>修正</w:t>
      </w:r>
    </w:p>
    <w:p w14:paraId="0F1A59E6">
      <w:pPr>
        <w:spacing w:before="120" w:line="320" w:lineRule="atLeast"/>
        <w:ind w:firstLine="420"/>
        <w:rPr>
          <w:color w:val="auto"/>
          <w:highlight w:val="none"/>
        </w:rPr>
      </w:pPr>
      <w:r>
        <w:rPr>
          <w:rFonts w:hint="eastAsia"/>
          <w:color w:val="auto"/>
          <w:highlight w:val="none"/>
        </w:rPr>
        <w:t>（1）报价出现前后不一致的，按照下列规定修正：</w:t>
      </w:r>
    </w:p>
    <w:p w14:paraId="06AAA195">
      <w:pPr>
        <w:spacing w:before="120" w:line="320" w:lineRule="atLeast"/>
        <w:ind w:firstLine="420"/>
        <w:rPr>
          <w:color w:val="auto"/>
          <w:szCs w:val="21"/>
          <w:highlight w:val="none"/>
        </w:rPr>
      </w:pPr>
      <w:r>
        <w:rPr>
          <w:rFonts w:hint="eastAsia" w:ascii="宋体" w:hAnsi="宋体"/>
          <w:color w:val="auto"/>
          <w:szCs w:val="21"/>
          <w:highlight w:val="none"/>
        </w:rPr>
        <w:t>①</w:t>
      </w:r>
      <w:r>
        <w:rPr>
          <w:color w:val="auto"/>
          <w:szCs w:val="21"/>
          <w:highlight w:val="none"/>
        </w:rPr>
        <w:t>投标文件中开标一览表（报价表）内容与投标文件中相应内容不一致的，以开标一览表（报价表）为准；</w:t>
      </w:r>
    </w:p>
    <w:p w14:paraId="42BA1DB4">
      <w:pPr>
        <w:spacing w:before="120" w:line="320" w:lineRule="atLeast"/>
        <w:ind w:firstLine="42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4E16EEBA">
      <w:pPr>
        <w:spacing w:before="120" w:line="320" w:lineRule="atLeast"/>
        <w:ind w:firstLine="42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03790F1D">
      <w:pPr>
        <w:spacing w:before="120" w:line="320" w:lineRule="atLeast"/>
        <w:ind w:firstLine="42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0F5DD20E">
      <w:pPr>
        <w:spacing w:before="120" w:line="320" w:lineRule="atLeast"/>
        <w:ind w:firstLine="42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澄清、说明或补正”的规定经投标人确认后产生约束力，投标人不确认的，其投标无效。</w:t>
      </w:r>
    </w:p>
    <w:p w14:paraId="5F206EA7">
      <w:pPr>
        <w:spacing w:before="120" w:line="320" w:lineRule="atLeast"/>
        <w:ind w:firstLine="420"/>
        <w:rPr>
          <w:color w:val="auto"/>
          <w:szCs w:val="21"/>
          <w:highlight w:val="none"/>
        </w:rPr>
      </w:pPr>
      <w:r>
        <w:rPr>
          <w:rFonts w:hint="eastAsia"/>
          <w:color w:val="auto"/>
          <w:szCs w:val="21"/>
          <w:highlight w:val="none"/>
        </w:rPr>
        <w:t>处理。</w:t>
      </w:r>
    </w:p>
    <w:p w14:paraId="25EE4144">
      <w:pPr>
        <w:spacing w:before="120" w:line="320" w:lineRule="atLeast"/>
        <w:ind w:firstLine="420"/>
        <w:rPr>
          <w:color w:val="auto"/>
          <w:szCs w:val="21"/>
          <w:highlight w:val="none"/>
        </w:rPr>
      </w:pPr>
      <w:r>
        <w:rPr>
          <w:rFonts w:hint="eastAsia"/>
          <w:color w:val="auto"/>
          <w:szCs w:val="21"/>
          <w:highlight w:val="none"/>
        </w:rPr>
        <w:t>（</w:t>
      </w:r>
      <w:r>
        <w:rPr>
          <w:rFonts w:hint="eastAsia"/>
          <w:color w:val="auto"/>
          <w:szCs w:val="21"/>
          <w:highlight w:val="none"/>
          <w:lang w:val="en-US" w:eastAsia="zh-CN"/>
        </w:rPr>
        <w:t>2</w:t>
      </w:r>
      <w:r>
        <w:rPr>
          <w:rFonts w:hint="eastAsia"/>
          <w:color w:val="auto"/>
          <w:szCs w:val="21"/>
          <w:highlight w:val="none"/>
        </w:rPr>
        <w:t>）经投标人确认修正后的报价若超过采购预算金额或者最高限价，其投标文件作无效投标处理。</w:t>
      </w:r>
    </w:p>
    <w:p w14:paraId="1B7E9A6E">
      <w:pPr>
        <w:spacing w:before="120" w:line="320" w:lineRule="atLeast"/>
        <w:ind w:firstLine="420"/>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3</w:t>
      </w:r>
      <w:r>
        <w:rPr>
          <w:rFonts w:hint="eastAsia"/>
          <w:color w:val="auto"/>
          <w:szCs w:val="21"/>
          <w:highlight w:val="none"/>
        </w:rPr>
        <w:t>）经投标人确认修正后的报价作为签订合同的依据，并以此报价计算价格分。</w:t>
      </w:r>
    </w:p>
    <w:p w14:paraId="6FDD5EAD">
      <w:p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6.3.5异常低价审查</w:t>
      </w:r>
    </w:p>
    <w:p w14:paraId="25AB2248">
      <w:pPr>
        <w:spacing w:before="120" w:line="320" w:lineRule="atLeast"/>
        <w:ind w:firstLine="420"/>
        <w:rPr>
          <w:color w:val="auto"/>
          <w:szCs w:val="21"/>
          <w:highlight w:val="none"/>
        </w:rPr>
      </w:pPr>
      <w:r>
        <w:rPr>
          <w:color w:val="auto"/>
          <w:szCs w:val="21"/>
          <w:highlight w:val="none"/>
        </w:rPr>
        <w:t>本项目</w:t>
      </w:r>
      <w:r>
        <w:rPr>
          <w:rFonts w:hint="eastAsia"/>
          <w:color w:val="auto"/>
          <w:szCs w:val="21"/>
          <w:highlight w:val="none"/>
          <w:lang w:val="en-US" w:eastAsia="zh-CN"/>
        </w:rPr>
        <w:t>异常低价审查情形见</w:t>
      </w:r>
      <w:r>
        <w:rPr>
          <w:color w:val="auto"/>
          <w:szCs w:val="21"/>
          <w:highlight w:val="none"/>
        </w:rPr>
        <w:t>“</w:t>
      </w:r>
      <w:r>
        <w:rPr>
          <w:rFonts w:hint="eastAsia"/>
          <w:color w:val="auto"/>
          <w:szCs w:val="21"/>
          <w:highlight w:val="none"/>
          <w:lang w:eastAsia="zh-CN"/>
        </w:rPr>
        <w:t>投标人须知</w:t>
      </w:r>
      <w:r>
        <w:rPr>
          <w:color w:val="auto"/>
          <w:szCs w:val="21"/>
          <w:highlight w:val="none"/>
        </w:rPr>
        <w:t>前附表”规定。</w:t>
      </w:r>
    </w:p>
    <w:p w14:paraId="662F2628">
      <w:pPr>
        <w:numPr>
          <w:ilvl w:val="0"/>
          <w:numId w:val="0"/>
        </w:num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2126AEF">
      <w:pPr>
        <w:numPr>
          <w:ilvl w:val="0"/>
          <w:numId w:val="0"/>
        </w:numPr>
        <w:spacing w:before="120" w:line="320" w:lineRule="atLeast"/>
        <w:ind w:firstLine="420"/>
        <w:rPr>
          <w:rFonts w:hint="eastAsia"/>
          <w:strike/>
          <w:color w:val="auto"/>
          <w:szCs w:val="21"/>
          <w:highlight w:val="none"/>
          <w:lang w:val="en-US" w:eastAsia="zh-CN"/>
        </w:rPr>
      </w:pPr>
      <w:r>
        <w:rPr>
          <w:rFonts w:hint="eastAsia"/>
          <w:color w:val="auto"/>
          <w:szCs w:val="21"/>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w:t>
      </w:r>
      <w:r>
        <w:rPr>
          <w:rFonts w:hint="eastAsia"/>
          <w:strike w:val="0"/>
          <w:color w:val="auto"/>
          <w:szCs w:val="21"/>
          <w:highlight w:val="none"/>
          <w:lang w:val="en-US" w:eastAsia="zh-CN"/>
        </w:rPr>
        <w:t>投标（响应）供应商不能提供书面说明、证明材料，或者提供的书面说明、证明材料不能证明其报价合理性的，评标委员会应当将其作为无效投标处理。</w:t>
      </w:r>
    </w:p>
    <w:p w14:paraId="5049F9E7">
      <w:pPr>
        <w:numPr>
          <w:ilvl w:val="0"/>
          <w:numId w:val="0"/>
        </w:num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8013073">
      <w:pPr>
        <w:numPr>
          <w:ilvl w:val="0"/>
          <w:numId w:val="0"/>
        </w:num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异常低价投标审查的启动原因、审查意见和审查结果应当在评审报告中记录，并随供应商提供的相关书面说明及证明材料，以及评标委员会有关互联网浏览、查询历史一并归档。</w:t>
      </w:r>
    </w:p>
    <w:p w14:paraId="3D17ECC4">
      <w:pPr>
        <w:numPr>
          <w:ilvl w:val="0"/>
          <w:numId w:val="0"/>
        </w:numPr>
        <w:spacing w:before="120" w:line="320" w:lineRule="atLeast"/>
        <w:ind w:firstLine="420"/>
        <w:rPr>
          <w:rFonts w:hint="eastAsia"/>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r>
        <w:rPr>
          <w:rFonts w:hint="eastAsia"/>
          <w:color w:val="auto"/>
          <w:szCs w:val="21"/>
          <w:highlight w:val="none"/>
          <w:lang w:val="en-US" w:eastAsia="zh-CN"/>
        </w:rPr>
        <w:t>。</w:t>
      </w:r>
    </w:p>
    <w:p w14:paraId="3D2BF20A">
      <w:pPr>
        <w:spacing w:before="120" w:line="320" w:lineRule="atLeast"/>
        <w:ind w:firstLine="42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lang w:val="en-US" w:eastAsia="zh-CN"/>
        </w:rPr>
        <w:t>6</w:t>
      </w:r>
      <w:r>
        <w:rPr>
          <w:rFonts w:hint="eastAsia"/>
          <w:color w:val="auto"/>
          <w:szCs w:val="21"/>
          <w:highlight w:val="none"/>
        </w:rPr>
        <w:t>相同品牌认定（仅适用于货物采购项目）</w:t>
      </w:r>
    </w:p>
    <w:p w14:paraId="3500AD97">
      <w:pPr>
        <w:spacing w:before="120" w:line="320" w:lineRule="atLeast"/>
        <w:ind w:firstLine="42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szCs w:val="21"/>
          <w:highlight w:val="none"/>
        </w:rPr>
        <w:t>相同品牌的投标有效性</w:t>
      </w:r>
      <w:r>
        <w:rPr>
          <w:color w:val="auto"/>
          <w:highlight w:val="none"/>
        </w:rPr>
        <w:t>。</w:t>
      </w:r>
      <w:bookmarkEnd w:id="159"/>
    </w:p>
    <w:p w14:paraId="162E9443">
      <w:pPr>
        <w:spacing w:before="120" w:line="320" w:lineRule="atLeast"/>
        <w:ind w:firstLine="420"/>
        <w:rPr>
          <w:color w:val="auto"/>
          <w:szCs w:val="21"/>
          <w:highlight w:val="none"/>
        </w:rPr>
      </w:pPr>
      <w:r>
        <w:rPr>
          <w:rFonts w:hint="eastAsia" w:ascii="宋体" w:hAnsi="宋体"/>
          <w:color w:val="auto"/>
          <w:szCs w:val="21"/>
          <w:highlight w:val="none"/>
        </w:rPr>
        <w:t>①采</w:t>
      </w:r>
      <w:r>
        <w:rPr>
          <w:rFonts w:hint="eastAsia"/>
          <w:color w:val="auto"/>
          <w:szCs w:val="21"/>
          <w:highlight w:val="none"/>
        </w:rPr>
        <w:t>用综合评分法的采购项目，提供相同品牌产品且通过资格审查、符合性审查的不同供应商参加同一合同项下投标的，按一家供应商计算，评审后得分最高的同品牌供应商获得中标供应商推荐资格；评审得分相同的，由采购人或者采购人委托</w:t>
      </w:r>
      <w:r>
        <w:rPr>
          <w:rFonts w:hint="eastAsia"/>
          <w:color w:val="auto"/>
          <w:szCs w:val="21"/>
          <w:highlight w:val="none"/>
          <w:lang w:eastAsia="zh-CN"/>
        </w:rPr>
        <w:t>评标委员会</w:t>
      </w:r>
      <w:r>
        <w:rPr>
          <w:rFonts w:hint="eastAsia"/>
          <w:color w:val="auto"/>
          <w:szCs w:val="21"/>
          <w:highlight w:val="none"/>
        </w:rPr>
        <w:t>按照招标文件规定的方式确定一个供应商获得中标供应商推荐资格，招标文件未规定的采取随机抽取方式确定，其他同品牌供应商不作为中标候选人。</w:t>
      </w:r>
    </w:p>
    <w:p w14:paraId="2E35319C">
      <w:pPr>
        <w:spacing w:before="120" w:line="320" w:lineRule="atLeast"/>
        <w:ind w:firstLine="420"/>
        <w:rPr>
          <w:color w:val="auto"/>
          <w:szCs w:val="21"/>
          <w:highlight w:val="none"/>
        </w:rPr>
      </w:pPr>
      <w:r>
        <w:rPr>
          <w:rFonts w:ascii="宋体" w:hAnsi="宋体"/>
          <w:color w:val="auto"/>
          <w:szCs w:val="21"/>
          <w:highlight w:val="none"/>
        </w:rPr>
        <w:t>②</w:t>
      </w:r>
      <w:r>
        <w:rPr>
          <w:rFonts w:hint="eastAsia"/>
          <w:color w:val="auto"/>
          <w:szCs w:val="21"/>
          <w:highlight w:val="none"/>
        </w:rPr>
        <w:t>采用最低评标价法的采购项目，提供相同品牌产品的不同供应商参加同一合同项下投标的，以其中通过资格审查、符合性审查且报价最低的参加评标；报价相同的，由采购人或者采购人委托</w:t>
      </w:r>
      <w:r>
        <w:rPr>
          <w:rFonts w:hint="eastAsia"/>
          <w:color w:val="auto"/>
          <w:szCs w:val="21"/>
          <w:highlight w:val="none"/>
          <w:lang w:eastAsia="zh-CN"/>
        </w:rPr>
        <w:t>评标委员会</w:t>
      </w:r>
      <w:r>
        <w:rPr>
          <w:rFonts w:hint="eastAsia"/>
          <w:color w:val="auto"/>
          <w:szCs w:val="21"/>
          <w:highlight w:val="none"/>
        </w:rPr>
        <w:t>按照招标文件规定的方式确定一个参加评标的供应商，招标文件未规定的采取随机抽取方式确定，其他投标无效。</w:t>
      </w:r>
    </w:p>
    <w:p w14:paraId="7AC821A2">
      <w:pPr>
        <w:spacing w:before="120" w:line="320" w:lineRule="atLeast"/>
        <w:ind w:firstLine="420"/>
        <w:rPr>
          <w:color w:val="auto"/>
          <w:highlight w:val="none"/>
        </w:rPr>
      </w:pPr>
      <w:r>
        <w:rPr>
          <w:rFonts w:hint="eastAsia"/>
          <w:color w:val="auto"/>
          <w:szCs w:val="21"/>
          <w:highlight w:val="none"/>
        </w:rPr>
        <w:t>（2）非单一产品采购项目，</w:t>
      </w:r>
      <w:r>
        <w:rPr>
          <w:color w:val="auto"/>
          <w:szCs w:val="21"/>
          <w:highlight w:val="none"/>
        </w:rPr>
        <w:t>采购人应当确定核心产品，并在招标文件中载明。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6BF38CD3">
      <w:pPr>
        <w:spacing w:before="120" w:line="320" w:lineRule="atLeast"/>
        <w:ind w:firstLine="420"/>
        <w:rPr>
          <w:color w:val="auto"/>
          <w:szCs w:val="21"/>
          <w:highlight w:val="none"/>
        </w:rPr>
      </w:pPr>
      <w:r>
        <w:rPr>
          <w:color w:val="auto"/>
          <w:szCs w:val="21"/>
          <w:highlight w:val="none"/>
        </w:rPr>
        <w:t>6.3.</w:t>
      </w:r>
      <w:r>
        <w:rPr>
          <w:rFonts w:hint="eastAsia"/>
          <w:color w:val="auto"/>
          <w:szCs w:val="21"/>
          <w:highlight w:val="none"/>
          <w:lang w:val="en-US" w:eastAsia="zh-CN"/>
        </w:rPr>
        <w:t>7</w:t>
      </w:r>
      <w:r>
        <w:rPr>
          <w:color w:val="auto"/>
          <w:szCs w:val="21"/>
          <w:highlight w:val="none"/>
        </w:rPr>
        <w:t>串通投标认定</w:t>
      </w:r>
    </w:p>
    <w:p w14:paraId="4F46F66C">
      <w:pPr>
        <w:spacing w:before="120" w:line="320" w:lineRule="atLeast"/>
        <w:ind w:firstLine="420"/>
        <w:rPr>
          <w:color w:val="auto"/>
          <w:highlight w:val="none"/>
        </w:rPr>
      </w:pPr>
      <w:r>
        <w:rPr>
          <w:rFonts w:hint="eastAsia"/>
          <w:color w:val="auto"/>
          <w:szCs w:val="21"/>
          <w:highlight w:val="none"/>
          <w:lang w:eastAsia="zh-CN"/>
        </w:rPr>
        <w:t>评标委员会</w:t>
      </w:r>
      <w:r>
        <w:rPr>
          <w:color w:val="auto"/>
          <w:szCs w:val="21"/>
          <w:highlight w:val="none"/>
        </w:rPr>
        <w:t>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szCs w:val="21"/>
          <w:highlight w:val="none"/>
        </w:rPr>
        <w:t>串通投标的行为</w:t>
      </w:r>
      <w:r>
        <w:rPr>
          <w:color w:val="auto"/>
          <w:highlight w:val="none"/>
        </w:rPr>
        <w:t>。</w:t>
      </w:r>
    </w:p>
    <w:p w14:paraId="1154FB63">
      <w:pPr>
        <w:spacing w:before="120" w:line="320" w:lineRule="atLeast"/>
        <w:ind w:firstLine="420"/>
        <w:rPr>
          <w:color w:val="auto"/>
          <w:szCs w:val="21"/>
          <w:highlight w:val="none"/>
        </w:rPr>
      </w:pPr>
      <w:bookmarkStart w:id="160" w:name="_Hlk19122026"/>
      <w:r>
        <w:rPr>
          <w:rFonts w:hint="eastAsia"/>
          <w:color w:val="auto"/>
          <w:szCs w:val="21"/>
          <w:highlight w:val="none"/>
        </w:rPr>
        <w:t>（1）</w:t>
      </w:r>
      <w:bookmarkEnd w:id="160"/>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规定，出现下述情况的，相关供应商的投标作无效投标处理。</w:t>
      </w:r>
    </w:p>
    <w:p w14:paraId="045F39D1">
      <w:pPr>
        <w:spacing w:before="120" w:line="320" w:lineRule="atLeast"/>
        <w:ind w:firstLine="420"/>
        <w:rPr>
          <w:color w:val="auto"/>
          <w:szCs w:val="21"/>
          <w:highlight w:val="none"/>
        </w:rPr>
      </w:pPr>
      <w:bookmarkStart w:id="161"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4566C6D5">
      <w:pPr>
        <w:spacing w:before="120" w:line="320" w:lineRule="atLeast"/>
        <w:ind w:firstLine="42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05CE2B5F">
      <w:pPr>
        <w:spacing w:before="120" w:line="320" w:lineRule="atLeast"/>
        <w:ind w:firstLine="42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bookmarkEnd w:id="161"/>
    </w:p>
    <w:p w14:paraId="6A55763E">
      <w:pPr>
        <w:spacing w:before="120" w:line="320" w:lineRule="atLeast"/>
        <w:ind w:firstLine="420"/>
        <w:rPr>
          <w:color w:val="auto"/>
          <w:szCs w:val="21"/>
          <w:highlight w:val="none"/>
        </w:rPr>
      </w:pPr>
      <w:bookmarkStart w:id="162" w:name="_Hlk19122058"/>
      <w:r>
        <w:rPr>
          <w:rFonts w:hint="eastAsia"/>
          <w:color w:val="auto"/>
          <w:szCs w:val="21"/>
          <w:highlight w:val="none"/>
        </w:rPr>
        <w:t>（2）</w:t>
      </w:r>
      <w:bookmarkEnd w:id="162"/>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规定，有下列情形之一的视为供应商相互串通投标，投标文件将被视为无效。</w:t>
      </w:r>
    </w:p>
    <w:p w14:paraId="20D5B1CC">
      <w:pPr>
        <w:spacing w:before="120" w:line="320" w:lineRule="atLeast"/>
        <w:ind w:firstLine="420"/>
        <w:rPr>
          <w:color w:val="auto"/>
          <w:szCs w:val="21"/>
          <w:highlight w:val="none"/>
        </w:rPr>
      </w:pPr>
      <w:bookmarkStart w:id="163" w:name="_Hlk19122048"/>
      <w:r>
        <w:rPr>
          <w:rFonts w:hint="eastAsia" w:ascii="宋体" w:hAnsi="宋体" w:cs="宋体"/>
          <w:color w:val="auto"/>
          <w:szCs w:val="21"/>
          <w:highlight w:val="none"/>
        </w:rPr>
        <w:t>①</w:t>
      </w:r>
      <w:r>
        <w:rPr>
          <w:color w:val="auto"/>
          <w:szCs w:val="21"/>
          <w:highlight w:val="none"/>
        </w:rPr>
        <w:t>不同供应商的投标文件由同一单位或者个人编制；或不同供应商报名的IP地址一致的；</w:t>
      </w:r>
    </w:p>
    <w:p w14:paraId="692A4E50">
      <w:pPr>
        <w:spacing w:before="120" w:line="320" w:lineRule="atLeast"/>
        <w:ind w:firstLine="42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6D8A4610">
      <w:pPr>
        <w:spacing w:before="120" w:line="320" w:lineRule="atLeast"/>
        <w:ind w:firstLine="420"/>
        <w:rPr>
          <w:color w:val="auto"/>
          <w:szCs w:val="21"/>
          <w:highlight w:val="none"/>
        </w:rPr>
      </w:pPr>
      <w:r>
        <w:rPr>
          <w:rFonts w:hint="eastAsia"/>
          <w:color w:val="auto"/>
          <w:szCs w:val="21"/>
          <w:highlight w:val="none"/>
        </w:rPr>
        <w:t>③</w:t>
      </w:r>
      <w:r>
        <w:rPr>
          <w:color w:val="auto"/>
          <w:szCs w:val="21"/>
          <w:highlight w:val="none"/>
        </w:rPr>
        <w:t>不同的供应商的投标文件载明的项目管理员为同一个人；</w:t>
      </w:r>
    </w:p>
    <w:p w14:paraId="51BB85B6">
      <w:pPr>
        <w:spacing w:before="120" w:line="320" w:lineRule="atLeast"/>
        <w:ind w:firstLine="420"/>
        <w:rPr>
          <w:color w:val="auto"/>
          <w:szCs w:val="21"/>
          <w:highlight w:val="none"/>
        </w:rPr>
      </w:pPr>
      <w:r>
        <w:rPr>
          <w:rFonts w:hint="eastAsia"/>
          <w:color w:val="auto"/>
          <w:szCs w:val="21"/>
          <w:highlight w:val="none"/>
        </w:rPr>
        <w:t>④</w:t>
      </w:r>
      <w:r>
        <w:rPr>
          <w:color w:val="auto"/>
          <w:szCs w:val="21"/>
          <w:highlight w:val="none"/>
        </w:rPr>
        <w:t>不同供应商的投标文件异常一致或投标报价呈规律性差异；</w:t>
      </w:r>
    </w:p>
    <w:p w14:paraId="21B1418C">
      <w:pPr>
        <w:spacing w:before="120" w:line="320" w:lineRule="atLeast"/>
        <w:ind w:firstLine="420"/>
        <w:rPr>
          <w:color w:val="auto"/>
          <w:szCs w:val="21"/>
          <w:highlight w:val="none"/>
        </w:rPr>
      </w:pPr>
      <w:r>
        <w:rPr>
          <w:rFonts w:hint="eastAsia"/>
          <w:color w:val="auto"/>
          <w:szCs w:val="21"/>
          <w:highlight w:val="none"/>
        </w:rPr>
        <w:t>⑤</w:t>
      </w:r>
      <w:r>
        <w:rPr>
          <w:color w:val="auto"/>
          <w:szCs w:val="21"/>
          <w:highlight w:val="none"/>
        </w:rPr>
        <w:t>不同供应商的投标文件相互混装；</w:t>
      </w:r>
    </w:p>
    <w:p w14:paraId="328C292C">
      <w:pPr>
        <w:spacing w:before="120" w:line="320" w:lineRule="atLeast"/>
        <w:ind w:firstLine="42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bookmarkEnd w:id="163"/>
    </w:p>
    <w:p w14:paraId="28FE6AC0">
      <w:pPr>
        <w:spacing w:before="120" w:line="320" w:lineRule="atLeast"/>
        <w:ind w:firstLine="420"/>
        <w:rPr>
          <w:color w:val="auto"/>
          <w:szCs w:val="21"/>
          <w:highlight w:val="none"/>
        </w:rPr>
      </w:pPr>
      <w:bookmarkStart w:id="164" w:name="_Hlk19122102"/>
      <w:r>
        <w:rPr>
          <w:rFonts w:hint="eastAsia"/>
          <w:color w:val="auto"/>
          <w:szCs w:val="21"/>
          <w:highlight w:val="none"/>
        </w:rPr>
        <w:t>（3）</w:t>
      </w:r>
      <w:bookmarkEnd w:id="164"/>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规定，供应商有下列情形之一的，属于恶意串通行为，投标文件将被视为无效。</w:t>
      </w:r>
    </w:p>
    <w:p w14:paraId="7AABA5BC">
      <w:pPr>
        <w:spacing w:before="120" w:line="320" w:lineRule="atLeast"/>
        <w:ind w:firstLine="420"/>
        <w:rPr>
          <w:color w:val="auto"/>
          <w:szCs w:val="21"/>
          <w:highlight w:val="none"/>
        </w:rPr>
      </w:pPr>
      <w:bookmarkStart w:id="165"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供应商直接或者间接从采购人或者采购代理机构处获得其他供应商的相关信息并修改其投标文件或者响应文件；</w:t>
      </w:r>
    </w:p>
    <w:p w14:paraId="2662D073">
      <w:pPr>
        <w:spacing w:before="120" w:line="320" w:lineRule="atLeast"/>
        <w:ind w:firstLine="42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供应商按照采购人或者采购代理机构的授意撤换、修改投标文件或者响应文件</w:t>
      </w:r>
      <w:r>
        <w:rPr>
          <w:rFonts w:hint="eastAsia"/>
          <w:color w:val="auto"/>
          <w:szCs w:val="21"/>
          <w:highlight w:val="none"/>
          <w:lang w:eastAsia="zh-CN"/>
        </w:rPr>
        <w:t>；</w:t>
      </w:r>
    </w:p>
    <w:p w14:paraId="4A5E7F30">
      <w:pPr>
        <w:spacing w:before="120" w:line="320" w:lineRule="atLeast"/>
        <w:ind w:firstLine="420"/>
        <w:rPr>
          <w:color w:val="auto"/>
          <w:szCs w:val="21"/>
          <w:highlight w:val="none"/>
        </w:rPr>
      </w:pPr>
      <w:r>
        <w:rPr>
          <w:rFonts w:hint="eastAsia"/>
          <w:color w:val="auto"/>
          <w:szCs w:val="21"/>
          <w:highlight w:val="none"/>
        </w:rPr>
        <w:t>③</w:t>
      </w:r>
      <w:r>
        <w:rPr>
          <w:color w:val="auto"/>
          <w:szCs w:val="21"/>
          <w:highlight w:val="none"/>
        </w:rPr>
        <w:t>供应商之间协商报价、技术方案等投标文件或者响应文件的实质性内容；</w:t>
      </w:r>
    </w:p>
    <w:p w14:paraId="1F75CA69">
      <w:pPr>
        <w:spacing w:before="120" w:line="320" w:lineRule="atLeast"/>
        <w:ind w:firstLine="42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0783BA22">
      <w:pPr>
        <w:spacing w:before="120" w:line="320" w:lineRule="atLeast"/>
        <w:ind w:firstLine="42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2730FDF5">
      <w:pPr>
        <w:spacing w:before="120" w:line="320" w:lineRule="atLeast"/>
        <w:ind w:firstLine="42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283A61C6">
      <w:pPr>
        <w:spacing w:before="120" w:line="320" w:lineRule="atLeast"/>
        <w:ind w:firstLine="42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bookmarkEnd w:id="165"/>
    </w:p>
    <w:p w14:paraId="793D237C">
      <w:pPr>
        <w:spacing w:before="120" w:line="320" w:lineRule="atLeast"/>
        <w:ind w:firstLine="420"/>
        <w:rPr>
          <w:color w:val="auto"/>
          <w:szCs w:val="21"/>
          <w:highlight w:val="none"/>
        </w:rPr>
      </w:pPr>
      <w:r>
        <w:rPr>
          <w:color w:val="auto"/>
          <w:szCs w:val="21"/>
          <w:highlight w:val="none"/>
        </w:rPr>
        <w:t>6.3.</w:t>
      </w:r>
      <w:r>
        <w:rPr>
          <w:rFonts w:hint="eastAsia"/>
          <w:color w:val="auto"/>
          <w:szCs w:val="21"/>
          <w:highlight w:val="none"/>
          <w:lang w:val="en-US" w:eastAsia="zh-CN"/>
        </w:rPr>
        <w:t>8</w:t>
      </w:r>
      <w:r>
        <w:rPr>
          <w:color w:val="auto"/>
          <w:szCs w:val="21"/>
          <w:highlight w:val="none"/>
        </w:rPr>
        <w:t>投标</w:t>
      </w:r>
      <w:r>
        <w:rPr>
          <w:rFonts w:hint="eastAsia"/>
          <w:color w:val="auto"/>
          <w:szCs w:val="21"/>
          <w:highlight w:val="none"/>
        </w:rPr>
        <w:t>无效</w:t>
      </w:r>
      <w:r>
        <w:rPr>
          <w:color w:val="auto"/>
          <w:szCs w:val="21"/>
          <w:highlight w:val="none"/>
        </w:rPr>
        <w:t>认定</w:t>
      </w:r>
    </w:p>
    <w:p w14:paraId="10F25557">
      <w:pPr>
        <w:spacing w:before="120" w:line="320" w:lineRule="atLeast"/>
        <w:ind w:firstLine="420"/>
        <w:rPr>
          <w:color w:val="auto"/>
          <w:szCs w:val="21"/>
          <w:highlight w:val="none"/>
        </w:rPr>
      </w:pPr>
      <w:bookmarkStart w:id="166" w:name="_Hlk19113301"/>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如发现下列情形之一的，投标文件将被视为无效：</w:t>
      </w:r>
    </w:p>
    <w:p w14:paraId="25A64DB1">
      <w:pPr>
        <w:spacing w:before="120" w:line="320" w:lineRule="atLeast"/>
        <w:ind w:firstLine="420"/>
        <w:rPr>
          <w:color w:val="auto"/>
          <w:highlight w:val="none"/>
        </w:rPr>
      </w:pPr>
      <w:r>
        <w:rPr>
          <w:rFonts w:hint="eastAsia"/>
          <w:color w:val="auto"/>
          <w:szCs w:val="21"/>
          <w:highlight w:val="none"/>
        </w:rPr>
        <w:t>①</w:t>
      </w:r>
      <w:r>
        <w:rPr>
          <w:color w:val="auto"/>
          <w:szCs w:val="21"/>
          <w:highlight w:val="none"/>
        </w:rPr>
        <w:t>投标文件</w:t>
      </w:r>
      <w:r>
        <w:rPr>
          <w:rFonts w:hint="eastAsia"/>
          <w:color w:val="auto"/>
          <w:szCs w:val="21"/>
          <w:highlight w:val="none"/>
        </w:rPr>
        <w:t>存在法律、法规及监督部门有关文件规定的无效情形</w:t>
      </w:r>
      <w:r>
        <w:rPr>
          <w:color w:val="auto"/>
          <w:szCs w:val="21"/>
          <w:highlight w:val="none"/>
        </w:rPr>
        <w:t>。</w:t>
      </w:r>
    </w:p>
    <w:p w14:paraId="7B990F09">
      <w:pPr>
        <w:spacing w:before="120" w:line="320" w:lineRule="atLeast"/>
        <w:ind w:firstLine="420"/>
        <w:rPr>
          <w:color w:val="auto"/>
          <w:szCs w:val="21"/>
          <w:highlight w:val="none"/>
        </w:rPr>
      </w:pPr>
      <w:r>
        <w:rPr>
          <w:rFonts w:hint="eastAsia"/>
          <w:color w:val="auto"/>
          <w:szCs w:val="21"/>
          <w:highlight w:val="none"/>
        </w:rPr>
        <w:t>②</w:t>
      </w:r>
      <w:r>
        <w:rPr>
          <w:color w:val="auto"/>
          <w:szCs w:val="21"/>
          <w:highlight w:val="none"/>
        </w:rPr>
        <w:t>投标文件</w:t>
      </w:r>
      <w:r>
        <w:rPr>
          <w:rFonts w:hint="eastAsia"/>
          <w:color w:val="auto"/>
          <w:szCs w:val="21"/>
          <w:highlight w:val="none"/>
        </w:rPr>
        <w:t>存在招标文件规定的无效情形。</w:t>
      </w:r>
      <w:bookmarkEnd w:id="166"/>
    </w:p>
    <w:p w14:paraId="7645500C">
      <w:pPr>
        <w:spacing w:before="120" w:line="320" w:lineRule="atLeast"/>
        <w:ind w:firstLine="420"/>
        <w:rPr>
          <w:color w:val="auto"/>
          <w:szCs w:val="21"/>
          <w:highlight w:val="none"/>
        </w:rPr>
      </w:pPr>
      <w:bookmarkStart w:id="167"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w:t>
      </w:r>
      <w:r>
        <w:rPr>
          <w:rFonts w:hint="eastAsia"/>
          <w:color w:val="auto"/>
          <w:szCs w:val="21"/>
          <w:highlight w:val="none"/>
          <w:lang w:eastAsia="zh-CN"/>
        </w:rPr>
        <w:t>评标委员会</w:t>
      </w:r>
      <w:r>
        <w:rPr>
          <w:rFonts w:hint="eastAsia"/>
          <w:color w:val="auto"/>
          <w:szCs w:val="21"/>
          <w:highlight w:val="none"/>
        </w:rPr>
        <w:t>不得因装订、纸张、文件排序等非实质性的格式、形式问题认定投标无效或否决投标，从而限制和影响供应商投标（响应）。</w:t>
      </w:r>
      <w:bookmarkEnd w:id="167"/>
    </w:p>
    <w:p w14:paraId="591709D6">
      <w:pPr>
        <w:spacing w:before="120" w:line="320" w:lineRule="atLeast"/>
        <w:ind w:firstLine="420"/>
        <w:rPr>
          <w:color w:val="auto"/>
          <w:szCs w:val="21"/>
          <w:highlight w:val="none"/>
        </w:rPr>
      </w:pPr>
      <w:bookmarkStart w:id="168" w:name="_Hlk19113363"/>
      <w:r>
        <w:rPr>
          <w:color w:val="auto"/>
          <w:szCs w:val="21"/>
          <w:highlight w:val="none"/>
        </w:rPr>
        <w:t>6.3.</w:t>
      </w:r>
      <w:r>
        <w:rPr>
          <w:rFonts w:hint="eastAsia"/>
          <w:color w:val="auto"/>
          <w:szCs w:val="21"/>
          <w:highlight w:val="none"/>
          <w:lang w:val="en-US" w:eastAsia="zh-CN"/>
        </w:rPr>
        <w:t>9</w:t>
      </w:r>
      <w:r>
        <w:rPr>
          <w:color w:val="auto"/>
          <w:szCs w:val="21"/>
          <w:highlight w:val="none"/>
        </w:rPr>
        <w:t>比较与评价</w:t>
      </w:r>
    </w:p>
    <w:p w14:paraId="1BAD10BD">
      <w:pPr>
        <w:spacing w:before="120" w:line="320" w:lineRule="atLeast"/>
        <w:ind w:firstLine="420"/>
        <w:rPr>
          <w:color w:val="auto"/>
          <w:szCs w:val="21"/>
          <w:highlight w:val="none"/>
        </w:rPr>
      </w:pPr>
      <w:r>
        <w:rPr>
          <w:rFonts w:hint="eastAsia"/>
          <w:color w:val="auto"/>
          <w:szCs w:val="21"/>
          <w:highlight w:val="none"/>
        </w:rPr>
        <w:t>（1）</w:t>
      </w:r>
      <w:r>
        <w:rPr>
          <w:rFonts w:hint="eastAsia"/>
          <w:color w:val="auto"/>
          <w:szCs w:val="21"/>
          <w:highlight w:val="none"/>
          <w:lang w:eastAsia="zh-CN"/>
        </w:rPr>
        <w:t>评标委员会</w:t>
      </w:r>
      <w:r>
        <w:rPr>
          <w:color w:val="auto"/>
          <w:szCs w:val="21"/>
          <w:highlight w:val="none"/>
        </w:rPr>
        <w:t>按招标文件中规定的评审方法和标准，对符合性审查合格的投标文件进行综合比较与评价。</w:t>
      </w:r>
    </w:p>
    <w:p w14:paraId="63F2BDBC">
      <w:pPr>
        <w:spacing w:before="120" w:line="320" w:lineRule="atLeast"/>
        <w:ind w:firstLine="420"/>
        <w:rPr>
          <w:color w:val="auto"/>
          <w:szCs w:val="21"/>
          <w:highlight w:val="none"/>
        </w:rPr>
      </w:pPr>
      <w:r>
        <w:rPr>
          <w:rFonts w:hint="eastAsia"/>
          <w:color w:val="auto"/>
          <w:szCs w:val="21"/>
          <w:highlight w:val="none"/>
        </w:rPr>
        <w:t>（2）</w:t>
      </w:r>
      <w:r>
        <w:rPr>
          <w:rFonts w:hint="eastAsia"/>
          <w:color w:val="auto"/>
          <w:szCs w:val="21"/>
          <w:highlight w:val="none"/>
          <w:lang w:eastAsia="zh-CN"/>
        </w:rPr>
        <w:t>评标委员会</w:t>
      </w:r>
      <w:r>
        <w:rPr>
          <w:color w:val="auto"/>
          <w:szCs w:val="21"/>
          <w:highlight w:val="none"/>
        </w:rPr>
        <w:t>各成员独立对每个有效供应商的投标文件进行评价</w:t>
      </w:r>
      <w:r>
        <w:rPr>
          <w:rFonts w:hint="eastAsia"/>
          <w:color w:val="auto"/>
          <w:szCs w:val="21"/>
          <w:highlight w:val="none"/>
        </w:rPr>
        <w:t>。评价</w:t>
      </w:r>
      <w:r>
        <w:rPr>
          <w:color w:val="auto"/>
          <w:szCs w:val="21"/>
          <w:highlight w:val="none"/>
        </w:rPr>
        <w:t>有误的应及时进行修正。评</w:t>
      </w:r>
      <w:r>
        <w:rPr>
          <w:rFonts w:hint="eastAsia"/>
          <w:color w:val="auto"/>
          <w:szCs w:val="21"/>
          <w:highlight w:val="none"/>
        </w:rPr>
        <w:t>分</w:t>
      </w:r>
      <w:r>
        <w:rPr>
          <w:color w:val="auto"/>
          <w:szCs w:val="21"/>
          <w:highlight w:val="none"/>
        </w:rPr>
        <w:t>标准如有客观分定义，</w:t>
      </w:r>
      <w:r>
        <w:rPr>
          <w:rFonts w:hint="eastAsia"/>
          <w:color w:val="auto"/>
          <w:szCs w:val="21"/>
          <w:highlight w:val="none"/>
          <w:lang w:eastAsia="zh-CN"/>
        </w:rPr>
        <w:t>评标委员会</w:t>
      </w:r>
      <w:r>
        <w:rPr>
          <w:color w:val="auto"/>
          <w:szCs w:val="21"/>
          <w:highlight w:val="none"/>
        </w:rPr>
        <w:t>所有成员的客观分</w:t>
      </w:r>
      <w:r>
        <w:rPr>
          <w:rFonts w:hint="eastAsia"/>
          <w:color w:val="auto"/>
          <w:szCs w:val="21"/>
          <w:highlight w:val="none"/>
        </w:rPr>
        <w:t>评分分值</w:t>
      </w:r>
      <w:r>
        <w:rPr>
          <w:color w:val="auto"/>
          <w:szCs w:val="21"/>
          <w:highlight w:val="none"/>
        </w:rPr>
        <w:t>应当一致。</w:t>
      </w:r>
    </w:p>
    <w:p w14:paraId="7130572B">
      <w:pPr>
        <w:spacing w:before="120" w:line="320" w:lineRule="atLeast"/>
        <w:ind w:firstLine="420"/>
        <w:rPr>
          <w:color w:val="auto"/>
          <w:szCs w:val="21"/>
          <w:highlight w:val="none"/>
        </w:rPr>
      </w:pPr>
      <w:r>
        <w:rPr>
          <w:rFonts w:hint="eastAsia"/>
          <w:color w:val="auto"/>
          <w:szCs w:val="21"/>
          <w:highlight w:val="none"/>
        </w:rPr>
        <w:t>（3）</w:t>
      </w:r>
      <w:r>
        <w:rPr>
          <w:rFonts w:hint="eastAsia"/>
          <w:color w:val="auto"/>
          <w:szCs w:val="21"/>
          <w:highlight w:val="none"/>
          <w:lang w:eastAsia="zh-CN"/>
        </w:rPr>
        <w:t>评标委员会</w:t>
      </w:r>
      <w:r>
        <w:rPr>
          <w:color w:val="auto"/>
          <w:szCs w:val="21"/>
          <w:highlight w:val="none"/>
        </w:rPr>
        <w:t>按</w:t>
      </w:r>
      <w:r>
        <w:rPr>
          <w:rFonts w:hint="eastAsia"/>
          <w:color w:val="auto"/>
          <w:szCs w:val="21"/>
          <w:highlight w:val="none"/>
        </w:rPr>
        <w:t>综合评</w:t>
      </w:r>
      <w:r>
        <w:rPr>
          <w:color w:val="auto"/>
          <w:szCs w:val="21"/>
          <w:highlight w:val="none"/>
        </w:rPr>
        <w:t>分由高到低的排列顺序推荐中标候选人</w:t>
      </w:r>
      <w:r>
        <w:rPr>
          <w:rFonts w:hint="eastAsia"/>
          <w:color w:val="auto"/>
          <w:szCs w:val="21"/>
          <w:highlight w:val="none"/>
        </w:rPr>
        <w:t>，中标候选人最多不超过3名。</w:t>
      </w:r>
      <w:r>
        <w:rPr>
          <w:color w:val="auto"/>
          <w:szCs w:val="21"/>
          <w:highlight w:val="none"/>
        </w:rPr>
        <w:t>若中标候选人综合</w:t>
      </w:r>
      <w:r>
        <w:rPr>
          <w:rFonts w:hint="eastAsia"/>
          <w:color w:val="auto"/>
          <w:szCs w:val="21"/>
          <w:highlight w:val="none"/>
        </w:rPr>
        <w:t>评</w:t>
      </w:r>
      <w:r>
        <w:rPr>
          <w:color w:val="auto"/>
          <w:szCs w:val="21"/>
          <w:highlight w:val="none"/>
        </w:rPr>
        <w:t>分相同的，按投标报价由低到高顺序排列；综合</w:t>
      </w:r>
      <w:r>
        <w:rPr>
          <w:rFonts w:hint="eastAsia"/>
          <w:color w:val="auto"/>
          <w:szCs w:val="21"/>
          <w:highlight w:val="none"/>
        </w:rPr>
        <w:t>评</w:t>
      </w:r>
      <w:r>
        <w:rPr>
          <w:color w:val="auto"/>
          <w:szCs w:val="21"/>
          <w:highlight w:val="none"/>
        </w:rPr>
        <w:t>分且投标报价相同的</w:t>
      </w:r>
      <w:r>
        <w:rPr>
          <w:color w:val="auto"/>
          <w:highlight w:val="none"/>
        </w:rPr>
        <w:t>并列</w:t>
      </w:r>
      <w:r>
        <w:rPr>
          <w:color w:val="auto"/>
          <w:szCs w:val="21"/>
          <w:highlight w:val="none"/>
        </w:rPr>
        <w:t>；中标候选人并列的，按技术部分得分由高到低顺序排列，若综合评分、投标报价、技术部分均相同的，按商务部分得分由高到低顺序排列</w:t>
      </w:r>
      <w:r>
        <w:rPr>
          <w:rFonts w:hint="eastAsia"/>
          <w:color w:val="auto"/>
          <w:szCs w:val="21"/>
          <w:highlight w:val="none"/>
        </w:rPr>
        <w:t>。</w:t>
      </w:r>
    </w:p>
    <w:p w14:paraId="7F80DB4E">
      <w:pPr>
        <w:spacing w:before="120" w:line="320" w:lineRule="atLeast"/>
        <w:ind w:firstLine="420"/>
        <w:rPr>
          <w:color w:val="auto"/>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w:t>
      </w:r>
      <w:r>
        <w:rPr>
          <w:rFonts w:hint="eastAsia"/>
          <w:color w:val="auto"/>
          <w:szCs w:val="21"/>
          <w:highlight w:val="none"/>
          <w:lang w:eastAsia="zh-CN"/>
        </w:rPr>
        <w:t>评标委员会</w:t>
      </w:r>
      <w:r>
        <w:rPr>
          <w:rFonts w:hint="eastAsia"/>
          <w:color w:val="auto"/>
          <w:szCs w:val="21"/>
          <w:highlight w:val="none"/>
        </w:rPr>
        <w:t>根据评审记录及评审结果编写评审报告，</w:t>
      </w:r>
      <w:r>
        <w:rPr>
          <w:rFonts w:hint="eastAsia"/>
          <w:color w:val="auto"/>
          <w:szCs w:val="21"/>
          <w:highlight w:val="none"/>
          <w:lang w:eastAsia="zh-CN"/>
        </w:rPr>
        <w:t>评标委员会</w:t>
      </w:r>
      <w:r>
        <w:rPr>
          <w:rFonts w:hint="eastAsia"/>
          <w:color w:val="auto"/>
          <w:szCs w:val="21"/>
          <w:highlight w:val="none"/>
        </w:rPr>
        <w:t>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w:t>
      </w:r>
      <w:r>
        <w:rPr>
          <w:rFonts w:hint="eastAsia"/>
          <w:color w:val="auto"/>
          <w:highlight w:val="none"/>
          <w:lang w:eastAsia="zh-CN"/>
        </w:rPr>
        <w:t>评标委员会</w:t>
      </w:r>
      <w:r>
        <w:rPr>
          <w:color w:val="auto"/>
          <w:highlight w:val="none"/>
        </w:rPr>
        <w:t>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w:t>
      </w:r>
      <w:r>
        <w:rPr>
          <w:rFonts w:hint="eastAsia"/>
          <w:color w:val="auto"/>
          <w:highlight w:val="none"/>
          <w:lang w:eastAsia="zh-CN"/>
        </w:rPr>
        <w:t>评标委员会</w:t>
      </w:r>
      <w:r>
        <w:rPr>
          <w:color w:val="auto"/>
          <w:highlight w:val="none"/>
        </w:rPr>
        <w:t>进行重新评审。</w:t>
      </w:r>
    </w:p>
    <w:p w14:paraId="25AD8F0C">
      <w:pPr>
        <w:spacing w:before="120" w:line="320" w:lineRule="atLeast"/>
        <w:ind w:firstLine="420"/>
        <w:rPr>
          <w:color w:val="auto"/>
          <w:highlight w:val="none"/>
        </w:rPr>
      </w:pPr>
      <w:r>
        <w:rPr>
          <w:color w:val="auto"/>
          <w:highlight w:val="none"/>
        </w:rPr>
        <w:t>分值汇总计算错误的；分项评分超出评分标准范围的；</w:t>
      </w:r>
      <w:r>
        <w:rPr>
          <w:rFonts w:hint="eastAsia"/>
          <w:color w:val="auto"/>
          <w:highlight w:val="none"/>
          <w:lang w:eastAsia="zh-CN"/>
        </w:rPr>
        <w:t>评标委员会</w:t>
      </w:r>
      <w:r>
        <w:rPr>
          <w:color w:val="auto"/>
          <w:highlight w:val="none"/>
        </w:rPr>
        <w:t>成员对客观评审因素评分不一致的；经</w:t>
      </w:r>
      <w:r>
        <w:rPr>
          <w:rFonts w:hint="eastAsia"/>
          <w:color w:val="auto"/>
          <w:highlight w:val="none"/>
          <w:lang w:eastAsia="zh-CN"/>
        </w:rPr>
        <w:t>评标委员会</w:t>
      </w:r>
      <w:r>
        <w:rPr>
          <w:color w:val="auto"/>
          <w:highlight w:val="none"/>
        </w:rPr>
        <w:t>认定评分畸高、畸低的。</w:t>
      </w:r>
      <w:bookmarkEnd w:id="168"/>
    </w:p>
    <w:p w14:paraId="6B19BBA4">
      <w:pPr>
        <w:spacing w:before="120" w:line="320" w:lineRule="atLeast"/>
        <w:ind w:firstLine="422"/>
        <w:outlineLvl w:val="2"/>
        <w:rPr>
          <w:b/>
          <w:bCs/>
          <w:color w:val="auto"/>
          <w:szCs w:val="21"/>
          <w:highlight w:val="none"/>
        </w:rPr>
      </w:pPr>
      <w:r>
        <w:rPr>
          <w:b/>
          <w:bCs/>
          <w:color w:val="auto"/>
          <w:szCs w:val="21"/>
          <w:highlight w:val="none"/>
        </w:rPr>
        <w:t>6.4确定</w:t>
      </w:r>
      <w:r>
        <w:rPr>
          <w:rFonts w:hint="eastAsia"/>
          <w:b/>
          <w:bCs/>
          <w:color w:val="auto"/>
          <w:szCs w:val="21"/>
          <w:highlight w:val="none"/>
        </w:rPr>
        <w:t>中标供应商</w:t>
      </w:r>
    </w:p>
    <w:p w14:paraId="23F2BA1B">
      <w:pPr>
        <w:spacing w:before="120" w:line="276" w:lineRule="auto"/>
        <w:ind w:firstLine="420"/>
        <w:rPr>
          <w:color w:val="auto"/>
          <w:szCs w:val="21"/>
          <w:highlight w:val="none"/>
        </w:rPr>
      </w:pPr>
      <w:r>
        <w:rPr>
          <w:rFonts w:hint="eastAsia"/>
          <w:color w:val="auto"/>
          <w:szCs w:val="21"/>
          <w:highlight w:val="none"/>
        </w:rPr>
        <w:t>6.4</w:t>
      </w:r>
      <w:r>
        <w:rPr>
          <w:color w:val="auto"/>
          <w:szCs w:val="21"/>
          <w:highlight w:val="none"/>
        </w:rPr>
        <w:t>.1采购代理机构在评审结束后2个工作日内将评审报告</w:t>
      </w:r>
      <w:r>
        <w:rPr>
          <w:rFonts w:hint="eastAsia"/>
          <w:color w:val="auto"/>
          <w:szCs w:val="21"/>
          <w:highlight w:val="none"/>
          <w:lang w:eastAsia="zh-CN"/>
        </w:rPr>
        <w:t>送达</w:t>
      </w:r>
      <w:r>
        <w:rPr>
          <w:color w:val="auto"/>
          <w:szCs w:val="21"/>
          <w:highlight w:val="none"/>
        </w:rPr>
        <w:t>采购人，采购人在5个工作日内按照评审报告中推荐的中标候选</w:t>
      </w:r>
      <w:r>
        <w:rPr>
          <w:rFonts w:hint="eastAsia"/>
          <w:color w:val="auto"/>
          <w:szCs w:val="21"/>
          <w:highlight w:val="none"/>
        </w:rPr>
        <w:t>人</w:t>
      </w:r>
      <w:r>
        <w:rPr>
          <w:color w:val="auto"/>
          <w:szCs w:val="21"/>
          <w:highlight w:val="none"/>
        </w:rPr>
        <w:t>顺序确定</w:t>
      </w:r>
      <w:r>
        <w:rPr>
          <w:rFonts w:hint="eastAsia"/>
          <w:color w:val="auto"/>
          <w:szCs w:val="21"/>
          <w:highlight w:val="none"/>
        </w:rPr>
        <w:t>中标供应商</w:t>
      </w:r>
      <w:r>
        <w:rPr>
          <w:color w:val="auto"/>
          <w:szCs w:val="21"/>
          <w:highlight w:val="none"/>
        </w:rPr>
        <w:t>。</w:t>
      </w:r>
      <w:r>
        <w:rPr>
          <w:rFonts w:hint="eastAsia"/>
          <w:color w:val="auto"/>
          <w:szCs w:val="21"/>
          <w:highlight w:val="none"/>
        </w:rPr>
        <w:t>中标候选人并列的，由采购人或者采购人委托评标委员会按照招标文件规定的方式确定中标供应商；招标文件未规定的，采取随机抽取的方式确定。</w:t>
      </w:r>
    </w:p>
    <w:p w14:paraId="1595C699">
      <w:pPr>
        <w:spacing w:before="120" w:line="276" w:lineRule="auto"/>
        <w:ind w:firstLine="42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2D3FE9DF">
      <w:pPr>
        <w:spacing w:before="120" w:line="320" w:lineRule="atLeast"/>
        <w:ind w:firstLine="422"/>
        <w:outlineLvl w:val="2"/>
        <w:rPr>
          <w:b/>
          <w:bCs/>
          <w:color w:val="auto"/>
          <w:szCs w:val="21"/>
          <w:highlight w:val="none"/>
        </w:rPr>
      </w:pPr>
      <w:r>
        <w:rPr>
          <w:b/>
          <w:bCs/>
          <w:color w:val="auto"/>
          <w:szCs w:val="21"/>
          <w:highlight w:val="none"/>
        </w:rPr>
        <w:t>6.5</w:t>
      </w:r>
      <w:r>
        <w:rPr>
          <w:rFonts w:hint="eastAsia"/>
          <w:b/>
          <w:bCs/>
          <w:color w:val="auto"/>
          <w:szCs w:val="21"/>
          <w:highlight w:val="none"/>
        </w:rPr>
        <w:t>结果公告</w:t>
      </w:r>
    </w:p>
    <w:p w14:paraId="0D1CF113">
      <w:pPr>
        <w:spacing w:before="120" w:line="320" w:lineRule="atLeast"/>
        <w:ind w:firstLine="420"/>
        <w:rPr>
          <w:rFonts w:hint="eastAsia" w:eastAsia="宋体"/>
          <w:color w:val="auto"/>
          <w:szCs w:val="21"/>
          <w:highlight w:val="none"/>
          <w:lang w:eastAsia="zh-CN"/>
        </w:rPr>
      </w:pPr>
      <w:r>
        <w:rPr>
          <w:rFonts w:hint="eastAsia"/>
          <w:color w:val="auto"/>
          <w:szCs w:val="21"/>
          <w:highlight w:val="none"/>
        </w:rPr>
        <w:t>6</w:t>
      </w:r>
      <w:r>
        <w:rPr>
          <w:color w:val="auto"/>
          <w:szCs w:val="21"/>
          <w:highlight w:val="none"/>
        </w:rPr>
        <w:t>.5.1自</w:t>
      </w:r>
      <w:r>
        <w:rPr>
          <w:rFonts w:hint="eastAsia"/>
          <w:color w:val="auto"/>
          <w:szCs w:val="21"/>
          <w:highlight w:val="none"/>
        </w:rPr>
        <w:t>中标供应商</w:t>
      </w:r>
      <w:r>
        <w:rPr>
          <w:color w:val="auto"/>
          <w:szCs w:val="21"/>
          <w:highlight w:val="none"/>
        </w:rPr>
        <w:t>确定后2个工作日内，采购代理机构</w:t>
      </w:r>
      <w:r>
        <w:rPr>
          <w:rFonts w:hint="eastAsia"/>
          <w:color w:val="auto"/>
          <w:szCs w:val="21"/>
          <w:highlight w:val="none"/>
        </w:rPr>
        <w:t>按照供应商须知前附表的规定</w:t>
      </w:r>
      <w:r>
        <w:rPr>
          <w:color w:val="auto"/>
          <w:szCs w:val="21"/>
          <w:highlight w:val="none"/>
        </w:rPr>
        <w:t>公告中标结果</w:t>
      </w:r>
      <w:r>
        <w:rPr>
          <w:rFonts w:hint="eastAsia"/>
          <w:color w:val="auto"/>
          <w:szCs w:val="21"/>
          <w:highlight w:val="none"/>
          <w:lang w:eastAsia="zh-CN"/>
        </w:rPr>
        <w:t>，</w:t>
      </w:r>
      <w:r>
        <w:rPr>
          <w:rFonts w:hint="eastAsia"/>
          <w:color w:val="auto"/>
          <w:szCs w:val="21"/>
          <w:highlight w:val="none"/>
        </w:rPr>
        <w:t>中标结果公告期限为1个工作日</w:t>
      </w:r>
      <w:r>
        <w:rPr>
          <w:rFonts w:hint="eastAsia"/>
          <w:color w:val="auto"/>
          <w:szCs w:val="21"/>
          <w:highlight w:val="none"/>
          <w:lang w:eastAsia="zh-CN"/>
        </w:rPr>
        <w:t>，</w:t>
      </w:r>
      <w:r>
        <w:rPr>
          <w:rFonts w:hint="eastAsia"/>
          <w:color w:val="auto"/>
          <w:szCs w:val="21"/>
          <w:highlight w:val="none"/>
        </w:rPr>
        <w:t>发布中标结果公告的同时向中标</w:t>
      </w:r>
      <w:r>
        <w:rPr>
          <w:rFonts w:hint="eastAsia"/>
          <w:color w:val="auto"/>
          <w:szCs w:val="21"/>
          <w:highlight w:val="none"/>
          <w:lang w:val="en-US" w:eastAsia="zh-CN"/>
        </w:rPr>
        <w:t>人</w:t>
      </w:r>
      <w:r>
        <w:rPr>
          <w:rFonts w:hint="eastAsia"/>
          <w:color w:val="auto"/>
          <w:szCs w:val="21"/>
          <w:highlight w:val="none"/>
        </w:rPr>
        <w:t>发出中标通知书。采购代理机构发出中标通知书前，应当对中标人信用进行核实，对列入失信被执行人、重大税收违法案件当事人名 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w:t>
      </w:r>
      <w:r>
        <w:rPr>
          <w:rFonts w:hint="eastAsia"/>
          <w:color w:val="auto"/>
          <w:szCs w:val="21"/>
          <w:highlight w:val="none"/>
          <w:lang w:val="en-US" w:eastAsia="zh-CN"/>
        </w:rPr>
        <w:t>采购人</w:t>
      </w:r>
      <w:r>
        <w:rPr>
          <w:rFonts w:hint="eastAsia"/>
          <w:color w:val="auto"/>
          <w:szCs w:val="21"/>
          <w:highlight w:val="none"/>
        </w:rPr>
        <w:t>可以确定排名第三的中标候选人为中标人，以此类推。以上信息查询记录及相关证据与采购文件一并保存。</w:t>
      </w:r>
    </w:p>
    <w:p w14:paraId="3579B9D3">
      <w:pPr>
        <w:spacing w:before="120" w:line="320" w:lineRule="atLeast"/>
        <w:ind w:firstLine="42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w:t>
      </w:r>
      <w:r>
        <w:rPr>
          <w:rFonts w:hint="eastAsia"/>
          <w:color w:val="auto"/>
          <w:szCs w:val="21"/>
          <w:highlight w:val="none"/>
        </w:rPr>
        <w:t>中标供应商</w:t>
      </w:r>
      <w:r>
        <w:rPr>
          <w:color w:val="auto"/>
          <w:szCs w:val="21"/>
          <w:highlight w:val="none"/>
        </w:rPr>
        <w:t>发出中标通知书。中标通知书发出后，采购人改变中标结果，或者</w:t>
      </w:r>
      <w:r>
        <w:rPr>
          <w:rFonts w:hint="eastAsia"/>
          <w:color w:val="auto"/>
          <w:szCs w:val="21"/>
          <w:highlight w:val="none"/>
        </w:rPr>
        <w:t>中标供应商</w:t>
      </w:r>
      <w:r>
        <w:rPr>
          <w:color w:val="auto"/>
          <w:szCs w:val="21"/>
          <w:highlight w:val="none"/>
        </w:rPr>
        <w:t>放弃中标，应当承担相应的法律责任。</w:t>
      </w:r>
    </w:p>
    <w:p w14:paraId="6994C142">
      <w:pPr>
        <w:spacing w:before="120" w:line="320" w:lineRule="atLeast"/>
        <w:ind w:firstLine="420"/>
        <w:rPr>
          <w:b/>
          <w:bCs/>
          <w:color w:val="auto"/>
          <w:szCs w:val="21"/>
          <w:highlight w:val="none"/>
        </w:rPr>
      </w:pPr>
      <w:r>
        <w:rPr>
          <w:rFonts w:hint="eastAsia"/>
          <w:color w:val="auto"/>
          <w:szCs w:val="21"/>
          <w:highlight w:val="none"/>
        </w:rPr>
        <w:t>6</w:t>
      </w:r>
      <w:r>
        <w:rPr>
          <w:color w:val="auto"/>
          <w:szCs w:val="21"/>
          <w:highlight w:val="none"/>
        </w:rPr>
        <w:t>.5.3</w:t>
      </w:r>
      <w:r>
        <w:rPr>
          <w:rFonts w:hint="eastAsia"/>
          <w:color w:val="auto"/>
          <w:szCs w:val="21"/>
          <w:highlight w:val="none"/>
        </w:rPr>
        <w:t>在发布结果公告的同时，</w:t>
      </w:r>
      <w:r>
        <w:rPr>
          <w:color w:val="auto"/>
          <w:szCs w:val="21"/>
          <w:highlight w:val="none"/>
        </w:rPr>
        <w:t>采购代理机构以供应商须知前附表规定的形式</w:t>
      </w:r>
      <w:r>
        <w:rPr>
          <w:rFonts w:hint="eastAsia"/>
          <w:color w:val="auto"/>
          <w:szCs w:val="21"/>
          <w:highlight w:val="none"/>
        </w:rPr>
        <w:t>向未中标供应商发出招标结果通知书，供应商自行承担未及时查收的后果。</w:t>
      </w:r>
    </w:p>
    <w:p w14:paraId="3A38E47E">
      <w:pPr>
        <w:spacing w:before="120" w:line="320" w:lineRule="atLeast"/>
        <w:ind w:firstLine="422"/>
        <w:outlineLvl w:val="2"/>
        <w:rPr>
          <w:b/>
          <w:bCs/>
          <w:color w:val="auto"/>
          <w:szCs w:val="21"/>
          <w:highlight w:val="none"/>
        </w:rPr>
      </w:pPr>
      <w:r>
        <w:rPr>
          <w:b/>
          <w:bCs/>
          <w:color w:val="auto"/>
          <w:szCs w:val="21"/>
          <w:highlight w:val="none"/>
        </w:rPr>
        <w:t>6.6</w:t>
      </w:r>
      <w:r>
        <w:rPr>
          <w:rFonts w:hint="eastAsia"/>
          <w:b/>
          <w:bCs/>
          <w:color w:val="auto"/>
          <w:szCs w:val="21"/>
          <w:highlight w:val="none"/>
        </w:rPr>
        <w:t>废标</w:t>
      </w:r>
    </w:p>
    <w:p w14:paraId="38948E6D">
      <w:pPr>
        <w:spacing w:before="120" w:line="320" w:lineRule="atLeast"/>
        <w:ind w:firstLine="420"/>
        <w:rPr>
          <w:color w:val="auto"/>
          <w:szCs w:val="21"/>
          <w:highlight w:val="none"/>
        </w:rPr>
      </w:pPr>
      <w:r>
        <w:rPr>
          <w:color w:val="auto"/>
          <w:szCs w:val="21"/>
          <w:highlight w:val="none"/>
        </w:rPr>
        <w:t>6.6.1</w:t>
      </w:r>
      <w:r>
        <w:rPr>
          <w:rFonts w:hint="eastAsia"/>
          <w:color w:val="auto"/>
          <w:szCs w:val="21"/>
          <w:highlight w:val="none"/>
        </w:rPr>
        <w:t xml:space="preserve">出现下列情形之一，将导致项目废标： </w:t>
      </w:r>
    </w:p>
    <w:p w14:paraId="2F331C59">
      <w:pPr>
        <w:spacing w:before="120" w:line="320" w:lineRule="atLeast"/>
        <w:ind w:firstLine="420"/>
        <w:rPr>
          <w:color w:val="auto"/>
          <w:szCs w:val="21"/>
          <w:highlight w:val="none"/>
        </w:rPr>
      </w:pPr>
      <w:r>
        <w:rPr>
          <w:rFonts w:hint="eastAsia"/>
          <w:color w:val="auto"/>
          <w:szCs w:val="21"/>
          <w:highlight w:val="none"/>
        </w:rPr>
        <w:t>（1）符合专业条件的供应商或者对招标文件做实质性响应的供应商不足三家；</w:t>
      </w:r>
    </w:p>
    <w:p w14:paraId="7EE0D244">
      <w:pPr>
        <w:spacing w:before="120" w:line="320" w:lineRule="atLeast"/>
        <w:ind w:firstLine="420"/>
        <w:rPr>
          <w:color w:val="auto"/>
          <w:szCs w:val="21"/>
          <w:highlight w:val="none"/>
        </w:rPr>
      </w:pPr>
      <w:r>
        <w:rPr>
          <w:rFonts w:hint="eastAsia"/>
          <w:color w:val="auto"/>
          <w:szCs w:val="21"/>
          <w:highlight w:val="none"/>
        </w:rPr>
        <w:t>（2）出现影响采购公正的违法、违规行为的；</w:t>
      </w:r>
    </w:p>
    <w:p w14:paraId="0122DBA3">
      <w:pPr>
        <w:spacing w:before="120" w:line="320" w:lineRule="atLeast"/>
        <w:ind w:firstLine="420"/>
        <w:rPr>
          <w:color w:val="auto"/>
          <w:szCs w:val="21"/>
          <w:highlight w:val="none"/>
        </w:rPr>
      </w:pPr>
      <w:r>
        <w:rPr>
          <w:rFonts w:hint="eastAsia"/>
          <w:color w:val="auto"/>
          <w:szCs w:val="21"/>
          <w:highlight w:val="none"/>
        </w:rPr>
        <w:t>（3）供应商的报价均超过了采购预算，采购人不能支付的；</w:t>
      </w:r>
    </w:p>
    <w:p w14:paraId="65993D22">
      <w:pPr>
        <w:spacing w:before="120" w:line="320" w:lineRule="atLeast"/>
        <w:ind w:firstLine="42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530EE9C4">
      <w:pPr>
        <w:spacing w:before="120" w:line="320" w:lineRule="atLeast"/>
        <w:ind w:firstLine="420"/>
        <w:rPr>
          <w:color w:val="auto"/>
          <w:szCs w:val="21"/>
          <w:highlight w:val="none"/>
        </w:rPr>
      </w:pPr>
      <w:r>
        <w:rPr>
          <w:color w:val="auto"/>
          <w:szCs w:val="21"/>
          <w:highlight w:val="none"/>
        </w:rPr>
        <w:t>6.6.2</w:t>
      </w:r>
      <w:r>
        <w:rPr>
          <w:rFonts w:hint="eastAsia"/>
          <w:color w:val="auto"/>
          <w:szCs w:val="21"/>
          <w:highlight w:val="none"/>
        </w:rPr>
        <w:t>废标后采购代理机构将发布废标公告通知供应商。</w:t>
      </w:r>
      <w:bookmarkEnd w:id="151"/>
      <w:bookmarkEnd w:id="154"/>
    </w:p>
    <w:p w14:paraId="39F081FB">
      <w:pPr>
        <w:spacing w:before="120" w:line="320" w:lineRule="atLeast"/>
        <w:ind w:left="2" w:firstLine="422"/>
        <w:outlineLvl w:val="1"/>
        <w:rPr>
          <w:b/>
          <w:bCs/>
          <w:color w:val="auto"/>
          <w:szCs w:val="21"/>
          <w:highlight w:val="none"/>
        </w:rPr>
      </w:pPr>
      <w:r>
        <w:rPr>
          <w:b/>
          <w:bCs/>
          <w:color w:val="auto"/>
          <w:szCs w:val="21"/>
          <w:highlight w:val="none"/>
        </w:rPr>
        <w:t>7．合同</w:t>
      </w:r>
    </w:p>
    <w:p w14:paraId="7BCDE070">
      <w:pPr>
        <w:spacing w:before="120" w:line="320" w:lineRule="atLeast"/>
        <w:ind w:firstLine="422"/>
        <w:outlineLvl w:val="2"/>
        <w:rPr>
          <w:b/>
          <w:bCs/>
          <w:color w:val="auto"/>
          <w:szCs w:val="21"/>
          <w:highlight w:val="none"/>
        </w:rPr>
      </w:pPr>
      <w:r>
        <w:rPr>
          <w:b/>
          <w:bCs/>
          <w:color w:val="auto"/>
          <w:szCs w:val="21"/>
          <w:highlight w:val="none"/>
        </w:rPr>
        <w:t>7.1合同授予标准</w:t>
      </w:r>
    </w:p>
    <w:p w14:paraId="76619AD5">
      <w:pPr>
        <w:spacing w:before="120" w:line="320" w:lineRule="atLeast"/>
        <w:ind w:firstLine="420"/>
        <w:rPr>
          <w:color w:val="auto"/>
          <w:szCs w:val="21"/>
          <w:highlight w:val="none"/>
        </w:rPr>
      </w:pPr>
      <w:r>
        <w:rPr>
          <w:color w:val="auto"/>
          <w:szCs w:val="21"/>
          <w:highlight w:val="none"/>
        </w:rPr>
        <w:t>合同将授予被确定实质上响应招标文件要求，具备履行合同能力，综合评分排名第一的供应商。在</w:t>
      </w:r>
      <w:r>
        <w:rPr>
          <w:rFonts w:hint="eastAsia"/>
          <w:color w:val="auto"/>
          <w:szCs w:val="21"/>
          <w:highlight w:val="none"/>
        </w:rPr>
        <w:t>中标</w:t>
      </w:r>
      <w:r>
        <w:rPr>
          <w:color w:val="auto"/>
          <w:szCs w:val="21"/>
          <w:highlight w:val="none"/>
        </w:rPr>
        <w:t>通知书发出前或签订合同前，如果</w:t>
      </w:r>
      <w:r>
        <w:rPr>
          <w:rFonts w:hint="eastAsia"/>
          <w:color w:val="auto"/>
          <w:szCs w:val="21"/>
          <w:highlight w:val="none"/>
        </w:rPr>
        <w:t>中标供应商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招标</w:t>
      </w:r>
      <w:r>
        <w:rPr>
          <w:color w:val="auto"/>
          <w:szCs w:val="21"/>
          <w:highlight w:val="none"/>
        </w:rPr>
        <w:t>文件要求提交履约保证金等情形，不符合中标条件或不满足供应商资格条件要求 ，应在</w:t>
      </w:r>
      <w:r>
        <w:rPr>
          <w:rFonts w:hint="eastAsia"/>
          <w:color w:val="auto"/>
          <w:szCs w:val="21"/>
          <w:highlight w:val="none"/>
        </w:rPr>
        <w:t>中标</w:t>
      </w:r>
      <w:r>
        <w:rPr>
          <w:color w:val="auto"/>
          <w:szCs w:val="21"/>
          <w:highlight w:val="none"/>
        </w:rPr>
        <w:t>通知书发出前或签订合同前及时书面告知采购人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取消其中标资格并</w:t>
      </w:r>
      <w:r>
        <w:rPr>
          <w:color w:val="auto"/>
          <w:szCs w:val="21"/>
          <w:highlight w:val="none"/>
        </w:rPr>
        <w:t>没收投标保证金</w:t>
      </w:r>
      <w:r>
        <w:rPr>
          <w:rFonts w:hint="eastAsia"/>
          <w:color w:val="auto"/>
          <w:szCs w:val="21"/>
          <w:highlight w:val="none"/>
        </w:rPr>
        <w:t>。</w:t>
      </w:r>
    </w:p>
    <w:p w14:paraId="284E7E12">
      <w:pPr>
        <w:spacing w:before="120" w:line="320" w:lineRule="atLeast"/>
        <w:ind w:firstLine="422"/>
        <w:outlineLvl w:val="2"/>
        <w:rPr>
          <w:b/>
          <w:bCs/>
          <w:color w:val="auto"/>
          <w:szCs w:val="21"/>
          <w:highlight w:val="none"/>
        </w:rPr>
      </w:pPr>
      <w:r>
        <w:rPr>
          <w:b/>
          <w:bCs/>
          <w:color w:val="auto"/>
          <w:szCs w:val="21"/>
          <w:highlight w:val="none"/>
        </w:rPr>
        <w:t>7.2签订合同</w:t>
      </w:r>
    </w:p>
    <w:p w14:paraId="29859CA1">
      <w:pPr>
        <w:spacing w:before="120" w:line="320" w:lineRule="atLeast"/>
        <w:ind w:firstLine="420"/>
        <w:rPr>
          <w:color w:val="auto"/>
          <w:szCs w:val="21"/>
          <w:highlight w:val="none"/>
        </w:rPr>
      </w:pPr>
      <w:bookmarkStart w:id="169" w:name="_Hlk93421039"/>
      <w:r>
        <w:rPr>
          <w:color w:val="auto"/>
          <w:szCs w:val="21"/>
          <w:highlight w:val="none"/>
        </w:rPr>
        <w:t>7.2.1如</w:t>
      </w:r>
      <w:r>
        <w:rPr>
          <w:rFonts w:hint="eastAsia"/>
          <w:color w:val="auto"/>
          <w:szCs w:val="21"/>
          <w:highlight w:val="none"/>
        </w:rPr>
        <w:t>招标</w:t>
      </w:r>
      <w:r>
        <w:rPr>
          <w:color w:val="auto"/>
          <w:szCs w:val="21"/>
          <w:highlight w:val="none"/>
        </w:rPr>
        <w:t>文件无</w:t>
      </w:r>
      <w:r>
        <w:rPr>
          <w:rFonts w:hint="eastAsia"/>
          <w:color w:val="auto"/>
          <w:szCs w:val="21"/>
          <w:highlight w:val="none"/>
        </w:rPr>
        <w:t>特别</w:t>
      </w:r>
      <w:r>
        <w:rPr>
          <w:color w:val="auto"/>
          <w:szCs w:val="21"/>
          <w:highlight w:val="none"/>
        </w:rPr>
        <w:t>规定，</w:t>
      </w:r>
      <w:r>
        <w:rPr>
          <w:rFonts w:hint="eastAsia"/>
          <w:color w:val="auto"/>
          <w:szCs w:val="21"/>
          <w:highlight w:val="none"/>
        </w:rPr>
        <w:t>中标供应商按招标文件确定的事项签订政府采购合同。</w:t>
      </w:r>
    </w:p>
    <w:p w14:paraId="16B4CCDC">
      <w:pPr>
        <w:spacing w:before="120" w:line="320" w:lineRule="atLeast"/>
        <w:ind w:firstLine="420"/>
        <w:rPr>
          <w:color w:val="auto"/>
          <w:szCs w:val="21"/>
          <w:highlight w:val="none"/>
        </w:rPr>
      </w:pPr>
      <w:r>
        <w:rPr>
          <w:color w:val="auto"/>
          <w:szCs w:val="21"/>
          <w:highlight w:val="none"/>
        </w:rPr>
        <w:t>7.2.2</w:t>
      </w:r>
      <w:r>
        <w:rPr>
          <w:rFonts w:hint="eastAsia"/>
          <w:color w:val="auto"/>
          <w:szCs w:val="21"/>
          <w:highlight w:val="none"/>
        </w:rPr>
        <w:t>政府采购合同应当包括采购人与中标供应商的名称和住所、标的、数量、质量、价款或者报酬、履行期限及地点和方式、验收要求、违约责任、解决争议的方法等内容。</w:t>
      </w:r>
      <w:r>
        <w:rPr>
          <w:color w:val="auto"/>
          <w:szCs w:val="21"/>
          <w:highlight w:val="none"/>
        </w:rPr>
        <w:t>招标文件、</w:t>
      </w:r>
      <w:r>
        <w:rPr>
          <w:rFonts w:hint="eastAsia"/>
          <w:color w:val="auto"/>
          <w:szCs w:val="21"/>
          <w:highlight w:val="none"/>
        </w:rPr>
        <w:t>中标供应商</w:t>
      </w:r>
      <w:r>
        <w:rPr>
          <w:color w:val="auto"/>
          <w:szCs w:val="21"/>
          <w:highlight w:val="none"/>
        </w:rPr>
        <w:t>的投标文件及澄清文件等，均为签订政府采购合同的依据。</w:t>
      </w:r>
    </w:p>
    <w:p w14:paraId="3E5A9CD1">
      <w:pPr>
        <w:spacing w:before="120" w:line="320" w:lineRule="atLeast"/>
        <w:ind w:firstLine="420"/>
        <w:rPr>
          <w:color w:val="auto"/>
          <w:szCs w:val="21"/>
          <w:highlight w:val="none"/>
        </w:rPr>
      </w:pPr>
      <w:r>
        <w:rPr>
          <w:color w:val="auto"/>
          <w:szCs w:val="21"/>
          <w:highlight w:val="none"/>
        </w:rPr>
        <w:t>7.2.3如</w:t>
      </w:r>
      <w:r>
        <w:rPr>
          <w:rFonts w:hint="eastAsia"/>
          <w:color w:val="auto"/>
          <w:szCs w:val="21"/>
          <w:highlight w:val="none"/>
        </w:rPr>
        <w:t>中标供应商</w:t>
      </w:r>
      <w:r>
        <w:rPr>
          <w:color w:val="auto"/>
          <w:szCs w:val="21"/>
          <w:highlight w:val="none"/>
        </w:rPr>
        <w:t>不按中标通知书的规定签订合同，</w:t>
      </w:r>
      <w:r>
        <w:rPr>
          <w:rFonts w:hint="eastAsia"/>
          <w:color w:val="auto"/>
          <w:szCs w:val="21"/>
          <w:highlight w:val="none"/>
        </w:rPr>
        <w:t>其投标保证金将不予退还，并报由同级政府采购监督管理部门处理。</w:t>
      </w:r>
    </w:p>
    <w:p w14:paraId="45036B07">
      <w:pPr>
        <w:spacing w:before="120" w:line="320" w:lineRule="atLeast"/>
        <w:ind w:firstLine="42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中标供应商拒绝与采购人签订合同的，采购人可以按照评审报告推荐的中标候选人名单排序，确定下一候选人为中标供应商，也可以重新开展政府采购活动。</w:t>
      </w:r>
    </w:p>
    <w:p w14:paraId="02C49B5A">
      <w:pPr>
        <w:spacing w:before="120" w:line="320" w:lineRule="atLeast"/>
        <w:ind w:firstLine="420"/>
        <w:rPr>
          <w:color w:val="auto"/>
          <w:szCs w:val="21"/>
          <w:highlight w:val="none"/>
        </w:rPr>
      </w:pPr>
      <w:bookmarkStart w:id="170"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169"/>
      <w:bookmarkEnd w:id="170"/>
    </w:p>
    <w:p w14:paraId="3332D6DE">
      <w:pPr>
        <w:spacing w:before="120" w:line="320" w:lineRule="atLeast"/>
        <w:ind w:firstLine="422"/>
        <w:outlineLvl w:val="2"/>
        <w:rPr>
          <w:b/>
          <w:bCs/>
          <w:color w:val="auto"/>
          <w:szCs w:val="21"/>
          <w:highlight w:val="none"/>
        </w:rPr>
      </w:pPr>
      <w:r>
        <w:rPr>
          <w:b/>
          <w:bCs/>
          <w:color w:val="auto"/>
          <w:szCs w:val="21"/>
          <w:highlight w:val="none"/>
        </w:rPr>
        <w:t>7.3合同公告</w:t>
      </w:r>
    </w:p>
    <w:p w14:paraId="736032C9">
      <w:pPr>
        <w:spacing w:before="120" w:line="320" w:lineRule="atLeast"/>
        <w:ind w:firstLine="420"/>
        <w:rPr>
          <w:color w:val="auto"/>
          <w:szCs w:val="21"/>
          <w:highlight w:val="none"/>
        </w:rPr>
      </w:pPr>
      <w:bookmarkStart w:id="171" w:name="_Hlk93421052"/>
      <w:r>
        <w:rPr>
          <w:color w:val="auto"/>
          <w:szCs w:val="21"/>
          <w:highlight w:val="none"/>
        </w:rPr>
        <w:t>7.3.1如</w:t>
      </w:r>
      <w:r>
        <w:rPr>
          <w:rFonts w:hint="eastAsia"/>
          <w:color w:val="auto"/>
          <w:szCs w:val="21"/>
          <w:highlight w:val="none"/>
        </w:rPr>
        <w:t>招标</w:t>
      </w:r>
      <w:r>
        <w:rPr>
          <w:color w:val="auto"/>
          <w:szCs w:val="21"/>
          <w:highlight w:val="none"/>
        </w:rPr>
        <w:t>文件无特殊规定</w:t>
      </w:r>
      <w:r>
        <w:rPr>
          <w:rFonts w:hint="eastAsia"/>
          <w:color w:val="auto"/>
          <w:szCs w:val="21"/>
          <w:highlight w:val="none"/>
        </w:rPr>
        <w:t>，中标供应商</w:t>
      </w:r>
      <w:r>
        <w:rPr>
          <w:color w:val="auto"/>
          <w:szCs w:val="21"/>
          <w:highlight w:val="none"/>
        </w:rPr>
        <w:t>应在签订合同后1个工作日内，将政府采购合同副本送采购代理机构</w:t>
      </w:r>
      <w:r>
        <w:rPr>
          <w:rFonts w:hint="eastAsia"/>
          <w:color w:val="auto"/>
          <w:szCs w:val="21"/>
          <w:highlight w:val="none"/>
        </w:rPr>
        <w:t>存档</w:t>
      </w:r>
      <w:r>
        <w:rPr>
          <w:color w:val="auto"/>
          <w:szCs w:val="21"/>
          <w:highlight w:val="none"/>
        </w:rPr>
        <w:t>。</w:t>
      </w:r>
    </w:p>
    <w:p w14:paraId="537DB99F">
      <w:pPr>
        <w:spacing w:before="120" w:line="320" w:lineRule="atLeast"/>
        <w:ind w:firstLine="42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488F67B3">
      <w:pPr>
        <w:spacing w:before="120" w:line="320" w:lineRule="atLeast"/>
        <w:ind w:firstLine="420"/>
        <w:rPr>
          <w:color w:val="auto"/>
          <w:szCs w:val="21"/>
          <w:highlight w:val="none"/>
        </w:rPr>
      </w:pPr>
      <w:bookmarkStart w:id="172" w:name="_Hlk155171014"/>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171"/>
      <w:bookmarkEnd w:id="172"/>
    </w:p>
    <w:p w14:paraId="03FE0FD2">
      <w:pPr>
        <w:spacing w:before="120" w:line="320" w:lineRule="atLeast"/>
        <w:ind w:firstLine="422"/>
        <w:outlineLvl w:val="2"/>
        <w:rPr>
          <w:b/>
          <w:bCs/>
          <w:color w:val="auto"/>
          <w:szCs w:val="21"/>
          <w:highlight w:val="none"/>
        </w:rPr>
      </w:pPr>
      <w:r>
        <w:rPr>
          <w:b/>
          <w:bCs/>
          <w:color w:val="auto"/>
          <w:szCs w:val="21"/>
          <w:highlight w:val="none"/>
        </w:rPr>
        <w:t>7.4 履行合同</w:t>
      </w:r>
    </w:p>
    <w:p w14:paraId="6737D051">
      <w:pPr>
        <w:spacing w:before="120" w:line="320" w:lineRule="atLeast"/>
        <w:ind w:firstLine="420"/>
        <w:rPr>
          <w:color w:val="auto"/>
          <w:szCs w:val="21"/>
          <w:highlight w:val="none"/>
        </w:rPr>
      </w:pPr>
      <w:bookmarkStart w:id="173" w:name="_Hlk93421061"/>
      <w:r>
        <w:rPr>
          <w:color w:val="auto"/>
          <w:szCs w:val="21"/>
          <w:highlight w:val="none"/>
        </w:rPr>
        <w:t>7.4.1</w:t>
      </w:r>
      <w:bookmarkStart w:id="174" w:name="_Toc217446070"/>
      <w:bookmarkStart w:id="175" w:name="_Toc308164814"/>
      <w:r>
        <w:rPr>
          <w:rFonts w:hint="eastAsia"/>
          <w:color w:val="auto"/>
          <w:szCs w:val="21"/>
          <w:highlight w:val="none"/>
        </w:rPr>
        <w:t>采购人与中标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bookmarkEnd w:id="173"/>
    </w:p>
    <w:p w14:paraId="1EAC95ED">
      <w:pPr>
        <w:spacing w:before="120" w:line="320" w:lineRule="atLeast"/>
        <w:ind w:firstLine="422"/>
        <w:rPr>
          <w:b/>
          <w:bCs/>
          <w:color w:val="auto"/>
          <w:szCs w:val="21"/>
          <w:highlight w:val="none"/>
        </w:rPr>
      </w:pPr>
      <w:r>
        <w:rPr>
          <w:b/>
          <w:bCs/>
          <w:color w:val="auto"/>
          <w:szCs w:val="21"/>
          <w:highlight w:val="none"/>
        </w:rPr>
        <w:t>7.5履约验收</w:t>
      </w:r>
      <w:bookmarkEnd w:id="174"/>
      <w:bookmarkEnd w:id="175"/>
    </w:p>
    <w:p w14:paraId="121379C9">
      <w:pPr>
        <w:spacing w:before="120" w:line="320" w:lineRule="atLeast"/>
        <w:ind w:firstLine="420"/>
        <w:rPr>
          <w:color w:val="auto"/>
          <w:szCs w:val="21"/>
          <w:highlight w:val="none"/>
        </w:rPr>
      </w:pPr>
      <w:bookmarkStart w:id="176" w:name="_Hlk93421069"/>
      <w:r>
        <w:rPr>
          <w:color w:val="auto"/>
          <w:szCs w:val="21"/>
          <w:highlight w:val="none"/>
        </w:rPr>
        <w:t>7.5.1采购人可以根据政府采购项目具体情况自行组织验收，或者委托政府采购代理机构、国家认可的质量检测机构开展采购项目履约验收工作。</w:t>
      </w:r>
    </w:p>
    <w:p w14:paraId="6FA39ADE">
      <w:pPr>
        <w:spacing w:before="120" w:line="320" w:lineRule="atLeast"/>
        <w:ind w:firstLine="420"/>
        <w:rPr>
          <w:color w:val="auto"/>
          <w:szCs w:val="21"/>
          <w:highlight w:val="none"/>
        </w:rPr>
      </w:pPr>
      <w:r>
        <w:rPr>
          <w:color w:val="auto"/>
          <w:szCs w:val="21"/>
          <w:highlight w:val="none"/>
        </w:rPr>
        <w:t>7.5.2验收结果合格的，</w:t>
      </w:r>
      <w:r>
        <w:rPr>
          <w:rFonts w:hint="eastAsia"/>
          <w:color w:val="auto"/>
          <w:szCs w:val="21"/>
          <w:highlight w:val="none"/>
        </w:rPr>
        <w:t>中标供应商</w:t>
      </w:r>
      <w:r>
        <w:rPr>
          <w:color w:val="auto"/>
          <w:szCs w:val="21"/>
          <w:highlight w:val="none"/>
        </w:rPr>
        <w:t>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2B04EB2A">
      <w:pPr>
        <w:spacing w:before="120" w:line="320" w:lineRule="atLeast"/>
        <w:ind w:firstLine="42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6C688E3B">
      <w:pPr>
        <w:spacing w:before="120" w:line="320" w:lineRule="atLeast"/>
        <w:ind w:firstLine="420"/>
        <w:rPr>
          <w:color w:val="auto"/>
          <w:szCs w:val="21"/>
          <w:highlight w:val="none"/>
        </w:rPr>
      </w:pPr>
      <w:r>
        <w:rPr>
          <w:color w:val="auto"/>
          <w:szCs w:val="21"/>
          <w:highlight w:val="none"/>
        </w:rPr>
        <w:t>7.5.4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bookmarkEnd w:id="176"/>
    </w:p>
    <w:p w14:paraId="3FF699F8">
      <w:pPr>
        <w:spacing w:before="120" w:line="320" w:lineRule="atLeast"/>
        <w:ind w:left="2" w:firstLine="422"/>
        <w:outlineLvl w:val="1"/>
        <w:rPr>
          <w:b/>
          <w:bCs/>
          <w:color w:val="auto"/>
          <w:szCs w:val="21"/>
          <w:highlight w:val="none"/>
        </w:rPr>
      </w:pPr>
      <w:bookmarkStart w:id="177" w:name="_Toc254970533"/>
      <w:bookmarkStart w:id="178" w:name="_Toc254970674"/>
      <w:r>
        <w:rPr>
          <w:b/>
          <w:bCs/>
          <w:color w:val="auto"/>
          <w:szCs w:val="21"/>
          <w:highlight w:val="none"/>
        </w:rPr>
        <w:t>8．质疑和投诉</w:t>
      </w:r>
      <w:bookmarkEnd w:id="177"/>
      <w:bookmarkEnd w:id="178"/>
    </w:p>
    <w:p w14:paraId="760F516D">
      <w:pPr>
        <w:spacing w:before="120" w:line="320" w:lineRule="atLeast"/>
        <w:ind w:firstLine="422"/>
        <w:outlineLvl w:val="2"/>
        <w:rPr>
          <w:b/>
          <w:bCs/>
          <w:color w:val="auto"/>
          <w:szCs w:val="21"/>
          <w:highlight w:val="none"/>
        </w:rPr>
      </w:pPr>
      <w:r>
        <w:rPr>
          <w:b/>
          <w:bCs/>
          <w:color w:val="auto"/>
          <w:szCs w:val="21"/>
          <w:highlight w:val="none"/>
        </w:rPr>
        <w:t>8.1质疑</w:t>
      </w:r>
    </w:p>
    <w:p w14:paraId="293C1F76">
      <w:pPr>
        <w:spacing w:before="120" w:line="320" w:lineRule="atLeast"/>
        <w:ind w:firstLine="420"/>
        <w:rPr>
          <w:color w:val="auto"/>
          <w:szCs w:val="21"/>
          <w:highlight w:val="none"/>
        </w:rPr>
      </w:pPr>
      <w:r>
        <w:rPr>
          <w:color w:val="auto"/>
          <w:szCs w:val="21"/>
          <w:highlight w:val="none"/>
        </w:rPr>
        <w:t>8.1.1质疑内容、时限</w:t>
      </w:r>
    </w:p>
    <w:p w14:paraId="7034E576">
      <w:pPr>
        <w:spacing w:before="120" w:line="320" w:lineRule="atLeast"/>
        <w:ind w:firstLine="42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756E384E">
      <w:pPr>
        <w:spacing w:before="120" w:line="320" w:lineRule="atLeast"/>
        <w:ind w:firstLine="420"/>
        <w:rPr>
          <w:color w:val="auto"/>
          <w:szCs w:val="21"/>
          <w:highlight w:val="none"/>
        </w:rPr>
      </w:pPr>
      <w:r>
        <w:rPr>
          <w:rFonts w:hint="eastAsia"/>
          <w:color w:val="auto"/>
          <w:szCs w:val="21"/>
          <w:highlight w:val="none"/>
        </w:rPr>
        <w:t>（2）供应商认为招标文件、采购过程、中标或者成交结果使自己的权益受到损害的，可以在知道或者应知其权益受到损害之日起7个工作日内向采购人或采购代理机构提出质疑。采购人或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07DACE9D">
      <w:pPr>
        <w:spacing w:before="120" w:line="320" w:lineRule="atLeast"/>
        <w:ind w:firstLine="420"/>
        <w:rPr>
          <w:color w:val="auto"/>
          <w:szCs w:val="21"/>
          <w:highlight w:val="none"/>
        </w:rPr>
      </w:pPr>
      <w:r>
        <w:rPr>
          <w:color w:val="auto"/>
          <w:szCs w:val="21"/>
          <w:highlight w:val="none"/>
        </w:rPr>
        <w:t>8.1.2质疑形式</w:t>
      </w:r>
    </w:p>
    <w:p w14:paraId="4FB70A6E">
      <w:pPr>
        <w:spacing w:before="120" w:line="320" w:lineRule="atLeast"/>
        <w:ind w:firstLine="42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招标文件</w:t>
      </w:r>
      <w:r>
        <w:rPr>
          <w:color w:val="auto"/>
          <w:szCs w:val="21"/>
          <w:highlight w:val="none"/>
        </w:rPr>
        <w:t>、</w:t>
      </w:r>
      <w:r>
        <w:rPr>
          <w:rFonts w:hint="eastAsia"/>
          <w:color w:val="auto"/>
          <w:szCs w:val="21"/>
          <w:highlight w:val="none"/>
        </w:rPr>
        <w:t>采购</w:t>
      </w:r>
      <w:r>
        <w:rPr>
          <w:color w:val="auto"/>
          <w:szCs w:val="21"/>
          <w:highlight w:val="none"/>
        </w:rPr>
        <w:t>过程或中标结果中使自己合法权益受到损害的实质性内容，提供相关事实、依据和证据及其来源或线索，便于有关单位调查、答复和处理。</w:t>
      </w:r>
    </w:p>
    <w:p w14:paraId="3147041C">
      <w:pPr>
        <w:spacing w:before="120" w:line="320" w:lineRule="atLeast"/>
        <w:ind w:firstLine="42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04AECC42">
      <w:pPr>
        <w:spacing w:before="120" w:line="320" w:lineRule="atLeast"/>
        <w:ind w:firstLine="42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328934A8">
      <w:pPr>
        <w:spacing w:before="120" w:line="320" w:lineRule="atLeast"/>
        <w:ind w:firstLine="42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3DA2E934">
      <w:pPr>
        <w:spacing w:before="120" w:line="320" w:lineRule="atLeast"/>
        <w:ind w:firstLine="42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37A9A890">
      <w:pPr>
        <w:spacing w:before="120" w:line="320" w:lineRule="atLeast"/>
        <w:ind w:firstLine="42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3FCE064A">
      <w:pPr>
        <w:spacing w:before="120" w:line="320" w:lineRule="atLeast"/>
        <w:ind w:firstLine="42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29AE4FAE">
      <w:pPr>
        <w:spacing w:before="120" w:line="320" w:lineRule="atLeast"/>
        <w:ind w:firstLine="42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6CA3DB89">
      <w:pPr>
        <w:spacing w:before="120" w:line="320" w:lineRule="atLeast"/>
        <w:ind w:firstLine="42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1265472C">
      <w:pPr>
        <w:spacing w:before="120" w:line="320" w:lineRule="atLeast"/>
        <w:ind w:firstLine="422"/>
        <w:outlineLvl w:val="2"/>
        <w:rPr>
          <w:b/>
          <w:bCs/>
          <w:color w:val="auto"/>
          <w:szCs w:val="21"/>
          <w:highlight w:val="none"/>
        </w:rPr>
      </w:pPr>
      <w:r>
        <w:rPr>
          <w:b/>
          <w:bCs/>
          <w:color w:val="auto"/>
          <w:szCs w:val="21"/>
          <w:highlight w:val="none"/>
        </w:rPr>
        <w:t>8.2投诉</w:t>
      </w:r>
    </w:p>
    <w:p w14:paraId="14DF84E7">
      <w:pPr>
        <w:spacing w:before="120" w:line="320" w:lineRule="atLeast"/>
        <w:ind w:firstLine="42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2E2EAB95">
      <w:pPr>
        <w:spacing w:before="120" w:line="320" w:lineRule="atLeast"/>
        <w:ind w:firstLine="42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02BBDC6A">
      <w:pPr>
        <w:spacing w:before="120" w:line="320" w:lineRule="atLeast"/>
        <w:ind w:left="2" w:firstLine="422"/>
        <w:outlineLvl w:val="1"/>
        <w:rPr>
          <w:b/>
          <w:bCs/>
          <w:color w:val="auto"/>
          <w:szCs w:val="21"/>
          <w:highlight w:val="none"/>
        </w:rPr>
      </w:pPr>
      <w:r>
        <w:rPr>
          <w:b/>
          <w:bCs/>
          <w:color w:val="auto"/>
          <w:szCs w:val="21"/>
          <w:highlight w:val="none"/>
        </w:rPr>
        <w:t>9．其他事项</w:t>
      </w:r>
    </w:p>
    <w:p w14:paraId="7FE22AE1">
      <w:pPr>
        <w:spacing w:before="120" w:line="320" w:lineRule="atLeast"/>
        <w:ind w:left="2" w:firstLine="420"/>
        <w:rPr>
          <w:color w:val="auto"/>
          <w:szCs w:val="21"/>
          <w:highlight w:val="none"/>
        </w:rPr>
      </w:pPr>
      <w:r>
        <w:rPr>
          <w:color w:val="auto"/>
          <w:szCs w:val="21"/>
          <w:highlight w:val="none"/>
        </w:rPr>
        <w:t>9.1代理服务收费由采购代理机构向</w:t>
      </w:r>
      <w:r>
        <w:rPr>
          <w:rFonts w:hint="eastAsia"/>
          <w:color w:val="auto"/>
          <w:szCs w:val="21"/>
          <w:highlight w:val="none"/>
        </w:rPr>
        <w:t>中标供应商</w:t>
      </w:r>
      <w:r>
        <w:rPr>
          <w:color w:val="auto"/>
          <w:szCs w:val="21"/>
          <w:highlight w:val="none"/>
        </w:rPr>
        <w:t>收取。签订合同前，</w:t>
      </w:r>
      <w:r>
        <w:rPr>
          <w:rFonts w:hint="eastAsia"/>
          <w:color w:val="auto"/>
          <w:szCs w:val="21"/>
          <w:highlight w:val="none"/>
        </w:rPr>
        <w:t>中标供应商</w:t>
      </w:r>
      <w:r>
        <w:rPr>
          <w:color w:val="auto"/>
          <w:szCs w:val="21"/>
          <w:highlight w:val="none"/>
        </w:rPr>
        <w:t>应向采购代理机构一次付清代理服务费。</w:t>
      </w:r>
    </w:p>
    <w:p w14:paraId="793EF693">
      <w:pPr>
        <w:spacing w:before="120" w:line="320" w:lineRule="atLeast"/>
        <w:ind w:left="2" w:firstLine="42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4FC9EB4D">
      <w:pPr>
        <w:spacing w:before="120" w:line="276" w:lineRule="auto"/>
        <w:ind w:firstLine="420"/>
        <w:rPr>
          <w:color w:val="auto"/>
          <w:szCs w:val="21"/>
          <w:highlight w:val="none"/>
        </w:rPr>
      </w:pPr>
      <w:r>
        <w:rPr>
          <w:rFonts w:hint="eastAsia"/>
          <w:color w:val="auto"/>
          <w:szCs w:val="21"/>
          <w:highlight w:val="none"/>
        </w:rPr>
        <w:t xml:space="preserve">（1）电子交易平台发生故障而无法登录访问的； </w:t>
      </w:r>
    </w:p>
    <w:p w14:paraId="1B7228A7">
      <w:pPr>
        <w:spacing w:before="120" w:line="276" w:lineRule="auto"/>
        <w:ind w:firstLine="420"/>
        <w:rPr>
          <w:color w:val="auto"/>
          <w:szCs w:val="21"/>
          <w:highlight w:val="none"/>
        </w:rPr>
      </w:pPr>
      <w:r>
        <w:rPr>
          <w:rFonts w:hint="eastAsia"/>
          <w:color w:val="auto"/>
          <w:szCs w:val="21"/>
          <w:highlight w:val="none"/>
        </w:rPr>
        <w:t>（2）电子交易平台应用或数据库出现错误，不能进行正常操作的；</w:t>
      </w:r>
    </w:p>
    <w:p w14:paraId="26E816F3">
      <w:pPr>
        <w:spacing w:before="120" w:line="276" w:lineRule="auto"/>
        <w:ind w:firstLine="420"/>
        <w:rPr>
          <w:color w:val="auto"/>
          <w:szCs w:val="21"/>
          <w:highlight w:val="none"/>
        </w:rPr>
      </w:pPr>
      <w:r>
        <w:rPr>
          <w:rFonts w:hint="eastAsia"/>
          <w:color w:val="auto"/>
          <w:szCs w:val="21"/>
          <w:highlight w:val="none"/>
        </w:rPr>
        <w:t>（3）电子交易平台发现严重安全漏洞，有潜在泄密危险的；</w:t>
      </w:r>
    </w:p>
    <w:p w14:paraId="7C72FD7B">
      <w:pPr>
        <w:spacing w:before="120" w:line="276" w:lineRule="auto"/>
        <w:ind w:firstLine="420"/>
        <w:rPr>
          <w:color w:val="auto"/>
          <w:szCs w:val="21"/>
          <w:highlight w:val="none"/>
        </w:rPr>
      </w:pPr>
      <w:r>
        <w:rPr>
          <w:rFonts w:hint="eastAsia"/>
          <w:color w:val="auto"/>
          <w:szCs w:val="21"/>
          <w:highlight w:val="none"/>
        </w:rPr>
        <w:t xml:space="preserve">（4）病毒发作导致不能进行正常操作的； </w:t>
      </w:r>
    </w:p>
    <w:p w14:paraId="119F5D0C">
      <w:pPr>
        <w:spacing w:before="120" w:line="276" w:lineRule="auto"/>
        <w:ind w:firstLine="42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7F20D0DA">
      <w:pPr>
        <w:tabs>
          <w:tab w:val="left" w:pos="4820"/>
        </w:tabs>
        <w:spacing w:before="120" w:line="360" w:lineRule="auto"/>
        <w:ind w:firstLine="42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72243A35">
      <w:pPr>
        <w:spacing w:before="120" w:line="320" w:lineRule="atLeast"/>
        <w:ind w:left="2"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098A1137">
      <w:pPr>
        <w:spacing w:before="120" w:line="320" w:lineRule="atLeast"/>
        <w:ind w:left="2"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18164CE3">
      <w:pPr>
        <w:spacing w:before="120" w:line="320" w:lineRule="atLeast"/>
        <w:ind w:left="2" w:firstLine="422"/>
        <w:outlineLvl w:val="1"/>
        <w:rPr>
          <w:b/>
          <w:bCs/>
          <w:color w:val="auto"/>
          <w:szCs w:val="21"/>
          <w:highlight w:val="none"/>
        </w:rPr>
      </w:pPr>
      <w:r>
        <w:rPr>
          <w:b/>
          <w:bCs/>
          <w:color w:val="auto"/>
          <w:szCs w:val="21"/>
          <w:highlight w:val="none"/>
        </w:rPr>
        <w:t>10．</w:t>
      </w:r>
      <w:r>
        <w:rPr>
          <w:rFonts w:hint="eastAsia"/>
          <w:b/>
          <w:bCs/>
          <w:color w:val="auto"/>
          <w:szCs w:val="21"/>
          <w:highlight w:val="none"/>
        </w:rPr>
        <w:t>其他说明</w:t>
      </w:r>
    </w:p>
    <w:p w14:paraId="7AF40562">
      <w:pPr>
        <w:spacing w:before="120" w:line="320" w:lineRule="atLeast"/>
        <w:ind w:left="2" w:firstLine="420"/>
        <w:rPr>
          <w:color w:val="auto"/>
          <w:szCs w:val="21"/>
          <w:highlight w:val="none"/>
        </w:rPr>
      </w:pPr>
      <w:r>
        <w:rPr>
          <w:rFonts w:hint="eastAsia"/>
          <w:color w:val="auto"/>
          <w:szCs w:val="21"/>
          <w:highlight w:val="none"/>
        </w:rPr>
        <w:t>1</w:t>
      </w:r>
      <w:r>
        <w:rPr>
          <w:color w:val="auto"/>
          <w:szCs w:val="21"/>
          <w:highlight w:val="none"/>
        </w:rPr>
        <w:t>0.1</w:t>
      </w:r>
      <w:r>
        <w:rPr>
          <w:rFonts w:hint="eastAsia"/>
          <w:color w:val="auto"/>
          <w:szCs w:val="21"/>
          <w:highlight w:val="none"/>
        </w:rPr>
        <w:t>其余未尽事宜按</w:t>
      </w:r>
      <w:r>
        <w:rPr>
          <w:color w:val="auto"/>
          <w:szCs w:val="21"/>
          <w:highlight w:val="none"/>
        </w:rPr>
        <w:t>《中华人民共和国政府采购法》、《中华人民共和国政府采购法实施条例》</w:t>
      </w:r>
      <w:r>
        <w:rPr>
          <w:rFonts w:hint="eastAsia"/>
          <w:color w:val="auto"/>
          <w:szCs w:val="21"/>
          <w:highlight w:val="none"/>
        </w:rPr>
        <w:t>的相关规定执行。</w:t>
      </w:r>
    </w:p>
    <w:p w14:paraId="08C470B6">
      <w:pPr>
        <w:spacing w:before="120" w:line="320" w:lineRule="atLeast"/>
        <w:ind w:left="2" w:firstLine="420"/>
        <w:rPr>
          <w:color w:val="auto"/>
          <w:highlight w:val="none"/>
        </w:rPr>
      </w:pPr>
      <w:r>
        <w:rPr>
          <w:color w:val="auto"/>
          <w:szCs w:val="21"/>
          <w:highlight w:val="none"/>
        </w:rPr>
        <w:t>10.2</w:t>
      </w:r>
      <w:r>
        <w:rPr>
          <w:rFonts w:hint="eastAsia"/>
          <w:color w:val="auto"/>
          <w:highlight w:val="none"/>
        </w:rPr>
        <w:t>本</w:t>
      </w:r>
      <w:r>
        <w:rPr>
          <w:color w:val="auto"/>
          <w:highlight w:val="none"/>
        </w:rPr>
        <w:t>招标文件是根据国家有关法律及有关政策、法规和参照国际惯例编制，解释权属采购代理机构。</w:t>
      </w:r>
    </w:p>
    <w:bookmarkEnd w:id="115"/>
    <w:p w14:paraId="1FF85E35">
      <w:pPr>
        <w:spacing w:before="120" w:line="320" w:lineRule="atLeast"/>
        <w:ind w:left="2" w:firstLine="420"/>
        <w:rPr>
          <w:color w:val="auto"/>
          <w:highlight w:val="none"/>
        </w:rPr>
      </w:pPr>
    </w:p>
    <w:p w14:paraId="73F11131">
      <w:pPr>
        <w:spacing w:before="120" w:line="320" w:lineRule="atLeast"/>
        <w:outlineLvl w:val="1"/>
        <w:rPr>
          <w:bCs/>
          <w:color w:val="auto"/>
          <w:sz w:val="28"/>
          <w:szCs w:val="28"/>
          <w:highlight w:val="none"/>
        </w:rPr>
        <w:sectPr>
          <w:pgSz w:w="11906" w:h="16838"/>
          <w:pgMar w:top="993" w:right="1133" w:bottom="1246" w:left="1418" w:header="851" w:footer="992" w:gutter="0"/>
          <w:cols w:space="720" w:num="1"/>
          <w:titlePg/>
        </w:sectPr>
      </w:pPr>
    </w:p>
    <w:p w14:paraId="0CA261D9">
      <w:pPr>
        <w:pStyle w:val="27"/>
        <w:spacing w:before="120" w:after="120" w:line="320" w:lineRule="exact"/>
        <w:jc w:val="center"/>
        <w:outlineLvl w:val="0"/>
        <w:rPr>
          <w:rFonts w:ascii="Times New Roman" w:hAnsi="Times New Roman" w:cs="Times New Roman"/>
          <w:color w:val="auto"/>
          <w:sz w:val="32"/>
          <w:szCs w:val="32"/>
          <w:highlight w:val="none"/>
        </w:rPr>
      </w:pPr>
      <w:bookmarkStart w:id="179" w:name="_Toc254970549"/>
      <w:bookmarkStart w:id="180" w:name="_Toc7464"/>
      <w:bookmarkStart w:id="181" w:name="_Toc254970690"/>
      <w:r>
        <w:rPr>
          <w:rFonts w:ascii="Times New Roman" w:hAnsi="Times New Roman" w:cs="Times New Roman"/>
          <w:color w:val="auto"/>
          <w:sz w:val="32"/>
          <w:szCs w:val="32"/>
          <w:highlight w:val="none"/>
        </w:rPr>
        <w:t>第四章  评标方法及评标标准</w:t>
      </w:r>
      <w:bookmarkEnd w:id="179"/>
      <w:bookmarkEnd w:id="180"/>
      <w:bookmarkEnd w:id="181"/>
    </w:p>
    <w:p w14:paraId="0B44C004">
      <w:pPr>
        <w:spacing w:before="120" w:line="320" w:lineRule="atLeast"/>
        <w:ind w:firstLine="413"/>
        <w:outlineLvl w:val="1"/>
        <w:rPr>
          <w:b/>
          <w:bCs/>
          <w:color w:val="auto"/>
          <w:szCs w:val="21"/>
          <w:highlight w:val="none"/>
        </w:rPr>
      </w:pPr>
      <w:bookmarkStart w:id="182" w:name="_Hlk93421148"/>
      <w:r>
        <w:rPr>
          <w:rFonts w:hint="eastAsia"/>
          <w:b/>
          <w:bCs/>
          <w:color w:val="auto"/>
          <w:szCs w:val="21"/>
          <w:highlight w:val="none"/>
        </w:rPr>
        <w:t>1.</w:t>
      </w:r>
      <w:r>
        <w:rPr>
          <w:b/>
          <w:bCs/>
          <w:color w:val="auto"/>
          <w:szCs w:val="21"/>
          <w:highlight w:val="none"/>
        </w:rPr>
        <w:t>评审方法</w:t>
      </w:r>
    </w:p>
    <w:p w14:paraId="50906807">
      <w:pPr>
        <w:spacing w:before="120" w:line="320" w:lineRule="atLeast"/>
        <w:ind w:firstLine="420"/>
        <w:rPr>
          <w:color w:val="auto"/>
          <w:highlight w:val="none"/>
        </w:rPr>
      </w:pPr>
      <w:r>
        <w:rPr>
          <w:rFonts w:ascii="Wingdings 2" w:hAnsi="Wingdings 2" w:eastAsia="Wingdings 2" w:cs="Wingdings 2"/>
          <w:color w:val="auto"/>
          <w:szCs w:val="21"/>
          <w:highlight w:val="none"/>
        </w:rPr>
        <w:t>R</w:t>
      </w:r>
      <w:r>
        <w:rPr>
          <w:color w:val="auto"/>
          <w:highlight w:val="none"/>
        </w:rPr>
        <w:t>本项目采用综合评分法进行评审。</w:t>
      </w:r>
    </w:p>
    <w:p w14:paraId="0AAE9886">
      <w:pPr>
        <w:spacing w:before="120" w:line="320" w:lineRule="atLeast"/>
        <w:ind w:firstLine="420"/>
        <w:rPr>
          <w:color w:val="auto"/>
          <w:highlight w:val="none"/>
        </w:rPr>
      </w:pPr>
      <w:r>
        <w:rPr>
          <w:color w:val="auto"/>
          <w:highlight w:val="none"/>
        </w:rPr>
        <w:t>综合评分法，是指投标文件满足招标文件全部实质性要求且按照评审因素的量化指标评审得分最高的供应商为中标候选人的评审方法。</w:t>
      </w:r>
    </w:p>
    <w:p w14:paraId="7BC911B9">
      <w:pPr>
        <w:spacing w:before="120" w:line="320" w:lineRule="atLeast"/>
        <w:ind w:firstLine="420"/>
        <w:rPr>
          <w:color w:val="auto"/>
          <w:highlight w:val="none"/>
        </w:rPr>
      </w:pPr>
      <w:r>
        <w:rPr>
          <w:rFonts w:hint="eastAsia" w:hAnsi="宋体"/>
          <w:color w:val="auto"/>
          <w:highlight w:val="none"/>
        </w:rPr>
        <w:t>□</w:t>
      </w:r>
      <w:r>
        <w:rPr>
          <w:color w:val="auto"/>
          <w:highlight w:val="none"/>
        </w:rPr>
        <w:t>本项目采用</w:t>
      </w:r>
      <w:r>
        <w:rPr>
          <w:rFonts w:hint="eastAsia"/>
          <w:color w:val="auto"/>
          <w:highlight w:val="none"/>
        </w:rPr>
        <w:t>最低评标价</w:t>
      </w:r>
      <w:r>
        <w:rPr>
          <w:color w:val="auto"/>
          <w:highlight w:val="none"/>
        </w:rPr>
        <w:t>法进行评审。</w:t>
      </w:r>
    </w:p>
    <w:p w14:paraId="4CEA8F40">
      <w:pPr>
        <w:spacing w:before="120" w:line="320" w:lineRule="atLeast"/>
        <w:ind w:firstLine="420"/>
        <w:rPr>
          <w:color w:val="auto"/>
          <w:highlight w:val="none"/>
        </w:rPr>
      </w:pPr>
      <w:r>
        <w:rPr>
          <w:rFonts w:hint="eastAsia"/>
          <w:color w:val="auto"/>
          <w:highlight w:val="none"/>
        </w:rPr>
        <w:t>最低评标价法，是指投标文件满足招标文件全部实质性要求且投标报价最低的供应商为中标候选人的评标方法。</w:t>
      </w:r>
    </w:p>
    <w:p w14:paraId="1149E6BE">
      <w:pPr>
        <w:spacing w:before="120" w:line="320" w:lineRule="atLeast"/>
        <w:ind w:firstLine="420"/>
        <w:rPr>
          <w:color w:val="auto"/>
          <w:highlight w:val="none"/>
        </w:rPr>
      </w:pPr>
      <w:bookmarkStart w:id="183" w:name="_Hlk92206009"/>
      <w:r>
        <w:rPr>
          <w:rFonts w:hint="eastAsia"/>
          <w:color w:val="auto"/>
          <w:highlight w:val="none"/>
        </w:rPr>
        <w:t>本项目评审的其他详细规定在第三章供应商须知中规定。</w:t>
      </w:r>
      <w:bookmarkEnd w:id="182"/>
      <w:bookmarkEnd w:id="183"/>
    </w:p>
    <w:p w14:paraId="26C2E3CC">
      <w:pPr>
        <w:spacing w:before="120" w:line="320" w:lineRule="atLeast"/>
        <w:ind w:firstLine="413"/>
        <w:outlineLvl w:val="1"/>
        <w:rPr>
          <w:b/>
          <w:color w:val="auto"/>
          <w:szCs w:val="21"/>
          <w:highlight w:val="none"/>
        </w:rPr>
      </w:pPr>
      <w:bookmarkStart w:id="184" w:name="_Hlk93421162"/>
      <w:r>
        <w:rPr>
          <w:b/>
          <w:color w:val="auto"/>
          <w:szCs w:val="21"/>
          <w:highlight w:val="none"/>
        </w:rPr>
        <w:t>2</w:t>
      </w:r>
      <w:r>
        <w:rPr>
          <w:rFonts w:hint="eastAsia"/>
          <w:b/>
          <w:color w:val="auto"/>
          <w:szCs w:val="21"/>
          <w:highlight w:val="none"/>
        </w:rPr>
        <w:t>.资格审查标准</w:t>
      </w:r>
      <w:r>
        <w:rPr>
          <w:rFonts w:hint="eastAsia"/>
          <w:b/>
          <w:bCs/>
          <w:color w:val="auto"/>
          <w:szCs w:val="21"/>
          <w:highlight w:val="none"/>
        </w:rPr>
        <w:t>（不满足任何一项审查内容要求，资格审查即为不合格）</w:t>
      </w:r>
      <w:bookmarkEnd w:id="184"/>
    </w:p>
    <w:p w14:paraId="73AF9D9C">
      <w:pPr>
        <w:spacing w:line="240" w:lineRule="exact"/>
        <w:jc w:val="left"/>
        <w:rPr>
          <w:color w:val="auto"/>
          <w:szCs w:val="21"/>
          <w:highlight w:val="none"/>
        </w:rPr>
      </w:pPr>
    </w:p>
    <w:tbl>
      <w:tblPr>
        <w:tblStyle w:val="56"/>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4743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7A4A2CAD">
            <w:pPr>
              <w:spacing w:line="240" w:lineRule="exact"/>
              <w:jc w:val="center"/>
              <w:rPr>
                <w:b/>
                <w:color w:val="auto"/>
                <w:szCs w:val="21"/>
                <w:highlight w:val="none"/>
              </w:rPr>
            </w:pPr>
            <w:bookmarkStart w:id="185" w:name="_Hlk93421270"/>
            <w:r>
              <w:rPr>
                <w:rFonts w:hint="eastAsia"/>
                <w:b/>
                <w:color w:val="auto"/>
                <w:szCs w:val="21"/>
                <w:highlight w:val="none"/>
              </w:rPr>
              <w:t>审查</w:t>
            </w:r>
            <w:r>
              <w:rPr>
                <w:b/>
                <w:color w:val="auto"/>
                <w:szCs w:val="21"/>
                <w:highlight w:val="none"/>
              </w:rPr>
              <w:t>因素</w:t>
            </w:r>
          </w:p>
        </w:tc>
        <w:tc>
          <w:tcPr>
            <w:tcW w:w="1843" w:type="dxa"/>
            <w:noWrap w:val="0"/>
            <w:vAlign w:val="center"/>
          </w:tcPr>
          <w:p w14:paraId="771463E0">
            <w:pPr>
              <w:spacing w:line="240" w:lineRule="exact"/>
              <w:jc w:val="center"/>
              <w:rPr>
                <w:b/>
                <w:color w:val="auto"/>
                <w:szCs w:val="21"/>
                <w:highlight w:val="none"/>
              </w:rPr>
            </w:pPr>
            <w:r>
              <w:rPr>
                <w:rFonts w:hint="eastAsia"/>
                <w:b/>
                <w:color w:val="auto"/>
                <w:szCs w:val="21"/>
                <w:highlight w:val="none"/>
              </w:rPr>
              <w:t>审查</w:t>
            </w:r>
            <w:r>
              <w:rPr>
                <w:b/>
                <w:color w:val="auto"/>
                <w:szCs w:val="21"/>
                <w:highlight w:val="none"/>
              </w:rPr>
              <w:t>内容</w:t>
            </w:r>
          </w:p>
        </w:tc>
        <w:tc>
          <w:tcPr>
            <w:tcW w:w="6242" w:type="dxa"/>
            <w:noWrap w:val="0"/>
            <w:vAlign w:val="center"/>
          </w:tcPr>
          <w:p w14:paraId="60047961">
            <w:pPr>
              <w:spacing w:line="240" w:lineRule="exact"/>
              <w:jc w:val="center"/>
              <w:rPr>
                <w:b/>
                <w:color w:val="auto"/>
                <w:szCs w:val="21"/>
                <w:highlight w:val="none"/>
              </w:rPr>
            </w:pPr>
            <w:r>
              <w:rPr>
                <w:rFonts w:hint="eastAsia"/>
                <w:b/>
                <w:color w:val="auto"/>
                <w:szCs w:val="21"/>
                <w:highlight w:val="none"/>
              </w:rPr>
              <w:t>说明</w:t>
            </w:r>
          </w:p>
        </w:tc>
      </w:tr>
      <w:tr w14:paraId="53E1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noWrap w:val="0"/>
            <w:vAlign w:val="center"/>
          </w:tcPr>
          <w:p w14:paraId="6FB94434">
            <w:pPr>
              <w:spacing w:line="240" w:lineRule="exact"/>
              <w:rPr>
                <w:color w:val="auto"/>
                <w:szCs w:val="21"/>
                <w:highlight w:val="none"/>
                <w:lang w:val="zh-CN"/>
              </w:rPr>
            </w:pPr>
            <w:r>
              <w:rPr>
                <w:color w:val="auto"/>
                <w:szCs w:val="21"/>
                <w:highlight w:val="none"/>
                <w:lang w:val="zh-CN"/>
              </w:rPr>
              <w:t>供应商应符合的</w:t>
            </w:r>
            <w:r>
              <w:rPr>
                <w:rFonts w:hint="eastAsia"/>
                <w:color w:val="auto"/>
                <w:szCs w:val="21"/>
                <w:highlight w:val="none"/>
                <w:lang w:val="zh-CN"/>
              </w:rPr>
              <w:t>基本</w:t>
            </w:r>
            <w:r>
              <w:rPr>
                <w:color w:val="auto"/>
                <w:szCs w:val="21"/>
                <w:highlight w:val="none"/>
              </w:rPr>
              <w:t>资格</w:t>
            </w:r>
            <w:r>
              <w:rPr>
                <w:rFonts w:hint="eastAsia"/>
                <w:color w:val="auto"/>
                <w:szCs w:val="21"/>
                <w:highlight w:val="none"/>
              </w:rPr>
              <w:t>要求</w:t>
            </w:r>
          </w:p>
        </w:tc>
        <w:tc>
          <w:tcPr>
            <w:tcW w:w="1843" w:type="dxa"/>
            <w:noWrap w:val="0"/>
            <w:vAlign w:val="center"/>
          </w:tcPr>
          <w:p w14:paraId="774C0928">
            <w:pPr>
              <w:spacing w:line="240" w:lineRule="exact"/>
              <w:jc w:val="left"/>
              <w:rPr>
                <w:color w:val="auto"/>
                <w:szCs w:val="21"/>
                <w:highlight w:val="none"/>
              </w:rPr>
            </w:pPr>
            <w:r>
              <w:rPr>
                <w:color w:val="auto"/>
                <w:szCs w:val="21"/>
                <w:highlight w:val="none"/>
              </w:rPr>
              <w:t>（1）具有独立承担民事责任的能力</w:t>
            </w:r>
          </w:p>
        </w:tc>
        <w:tc>
          <w:tcPr>
            <w:tcW w:w="6242" w:type="dxa"/>
            <w:noWrap w:val="0"/>
            <w:vAlign w:val="center"/>
          </w:tcPr>
          <w:p w14:paraId="0C0A063C">
            <w:pPr>
              <w:spacing w:line="240" w:lineRule="exact"/>
              <w:rPr>
                <w:color w:val="auto"/>
                <w:highlight w:val="none"/>
              </w:rPr>
            </w:pPr>
            <w:r>
              <w:rPr>
                <w:rFonts w:hint="eastAsia"/>
                <w:color w:val="auto"/>
                <w:highlight w:val="none"/>
              </w:rPr>
              <w:t>供应商为法人或者其他组织的具有营业执照或者事业单位法人证书或者执业许可证，供应商为自然人的具有身份证；</w:t>
            </w:r>
          </w:p>
          <w:p w14:paraId="02E748E2">
            <w:pPr>
              <w:pStyle w:val="14"/>
              <w:ind w:left="0"/>
              <w:rPr>
                <w:color w:val="auto"/>
                <w:szCs w:val="21"/>
                <w:highlight w:val="none"/>
              </w:rPr>
            </w:pPr>
            <w:r>
              <w:rPr>
                <w:rFonts w:hint="eastAsia"/>
                <w:b/>
                <w:bCs/>
                <w:color w:val="auto"/>
                <w:highlight w:val="none"/>
              </w:rPr>
              <w:t>供应商以“信用承诺函”（格式见第六章投标文件格式）的书面形式进行响应，不再提供证明材料。</w:t>
            </w:r>
          </w:p>
        </w:tc>
      </w:tr>
      <w:tr w14:paraId="1E9E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780A7F95">
            <w:pPr>
              <w:spacing w:line="240" w:lineRule="exact"/>
              <w:rPr>
                <w:color w:val="auto"/>
                <w:szCs w:val="21"/>
                <w:highlight w:val="none"/>
                <w:lang w:val="zh-CN"/>
              </w:rPr>
            </w:pPr>
          </w:p>
        </w:tc>
        <w:tc>
          <w:tcPr>
            <w:tcW w:w="1843" w:type="dxa"/>
            <w:noWrap w:val="0"/>
            <w:vAlign w:val="center"/>
          </w:tcPr>
          <w:p w14:paraId="10511626">
            <w:pPr>
              <w:spacing w:line="240" w:lineRule="exact"/>
              <w:jc w:val="left"/>
              <w:rPr>
                <w:color w:val="auto"/>
                <w:szCs w:val="21"/>
                <w:highlight w:val="none"/>
              </w:rPr>
            </w:pPr>
            <w:r>
              <w:rPr>
                <w:color w:val="auto"/>
                <w:szCs w:val="21"/>
                <w:highlight w:val="none"/>
                <w:lang w:val="zh-CN"/>
              </w:rPr>
              <w:t>（2）</w:t>
            </w:r>
            <w:r>
              <w:rPr>
                <w:color w:val="auto"/>
                <w:szCs w:val="21"/>
                <w:highlight w:val="none"/>
              </w:rPr>
              <w:t>具有健全的财务会计制度</w:t>
            </w:r>
          </w:p>
        </w:tc>
        <w:tc>
          <w:tcPr>
            <w:tcW w:w="6242" w:type="dxa"/>
            <w:noWrap w:val="0"/>
            <w:vAlign w:val="center"/>
          </w:tcPr>
          <w:p w14:paraId="4B93E5DD">
            <w:pPr>
              <w:pStyle w:val="14"/>
              <w:ind w:left="0"/>
              <w:rPr>
                <w:color w:val="auto"/>
                <w:szCs w:val="21"/>
                <w:highlight w:val="none"/>
              </w:rPr>
            </w:pPr>
            <w:r>
              <w:rPr>
                <w:color w:val="auto"/>
                <w:szCs w:val="21"/>
                <w:highlight w:val="none"/>
              </w:rPr>
              <w:t>审查</w:t>
            </w:r>
            <w:r>
              <w:rPr>
                <w:rFonts w:hint="eastAsia"/>
                <w:color w:val="auto"/>
                <w:szCs w:val="21"/>
                <w:highlight w:val="none"/>
              </w:rPr>
              <w:t>202</w:t>
            </w:r>
            <w:r>
              <w:rPr>
                <w:rFonts w:hint="eastAsia"/>
                <w:color w:val="auto"/>
                <w:szCs w:val="21"/>
                <w:highlight w:val="none"/>
                <w:lang w:val="en-US" w:eastAsia="zh-CN"/>
              </w:rPr>
              <w:t>5</w:t>
            </w:r>
            <w:r>
              <w:rPr>
                <w:rFonts w:hint="eastAsia"/>
                <w:color w:val="auto"/>
                <w:szCs w:val="21"/>
                <w:highlight w:val="none"/>
              </w:rPr>
              <w:t>年</w:t>
            </w:r>
            <w:r>
              <w:rPr>
                <w:color w:val="auto"/>
                <w:szCs w:val="21"/>
                <w:highlight w:val="none"/>
              </w:rPr>
              <w:t>度财务状况报告（表）</w:t>
            </w:r>
            <w:r>
              <w:rPr>
                <w:rFonts w:hint="eastAsia"/>
                <w:color w:val="auto"/>
                <w:szCs w:val="21"/>
                <w:highlight w:val="none"/>
              </w:rPr>
              <w:t>扫描件</w:t>
            </w:r>
            <w:r>
              <w:rPr>
                <w:color w:val="auto"/>
                <w:szCs w:val="21"/>
                <w:highlight w:val="none"/>
              </w:rPr>
              <w:t>或银行出具的资信证明</w:t>
            </w:r>
            <w:r>
              <w:rPr>
                <w:rFonts w:hint="eastAsia"/>
                <w:color w:val="auto"/>
                <w:szCs w:val="21"/>
                <w:highlight w:val="none"/>
              </w:rPr>
              <w:t>扫描件</w:t>
            </w:r>
            <w:r>
              <w:rPr>
                <w:color w:val="auto"/>
                <w:szCs w:val="21"/>
                <w:highlight w:val="none"/>
              </w:rPr>
              <w:t>，</w:t>
            </w:r>
            <w:r>
              <w:rPr>
                <w:color w:val="auto"/>
                <w:highlight w:val="none"/>
              </w:rPr>
              <w:t>对于从取得营业执照时间起到投标文件递交截止时间为止不足1年的供应商，只需提交</w:t>
            </w:r>
            <w:r>
              <w:rPr>
                <w:color w:val="auto"/>
                <w:szCs w:val="21"/>
                <w:highlight w:val="none"/>
              </w:rPr>
              <w:t>投标文件递交截止时间前一个月的财务状况报告（表）</w:t>
            </w:r>
            <w:r>
              <w:rPr>
                <w:rFonts w:hint="eastAsia"/>
                <w:color w:val="auto"/>
                <w:szCs w:val="21"/>
                <w:highlight w:val="none"/>
              </w:rPr>
              <w:t>扫描件</w:t>
            </w:r>
            <w:r>
              <w:rPr>
                <w:color w:val="auto"/>
                <w:szCs w:val="21"/>
                <w:highlight w:val="none"/>
              </w:rPr>
              <w:t>。</w:t>
            </w:r>
          </w:p>
          <w:p w14:paraId="49E9701C">
            <w:pPr>
              <w:pStyle w:val="14"/>
              <w:ind w:left="0"/>
              <w:rPr>
                <w:color w:val="auto"/>
                <w:szCs w:val="21"/>
                <w:highlight w:val="none"/>
              </w:rPr>
            </w:pPr>
            <w:r>
              <w:rPr>
                <w:rFonts w:hint="eastAsia"/>
                <w:b/>
                <w:bCs/>
                <w:color w:val="auto"/>
                <w:highlight w:val="none"/>
              </w:rPr>
              <w:t>供应商以“信用承诺函”（格式见第六章投标文件格式）的书面形式进行响应，不再提供证明材料。</w:t>
            </w:r>
          </w:p>
        </w:tc>
      </w:tr>
      <w:tr w14:paraId="6F12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7" w:hRule="atLeast"/>
        </w:trPr>
        <w:tc>
          <w:tcPr>
            <w:tcW w:w="846" w:type="dxa"/>
            <w:vMerge w:val="continue"/>
            <w:noWrap w:val="0"/>
            <w:vAlign w:val="center"/>
          </w:tcPr>
          <w:p w14:paraId="3FD1F1AE">
            <w:pPr>
              <w:spacing w:line="240" w:lineRule="exact"/>
              <w:rPr>
                <w:color w:val="auto"/>
                <w:szCs w:val="21"/>
                <w:highlight w:val="none"/>
                <w:lang w:val="zh-CN"/>
              </w:rPr>
            </w:pPr>
          </w:p>
        </w:tc>
        <w:tc>
          <w:tcPr>
            <w:tcW w:w="1843" w:type="dxa"/>
            <w:noWrap w:val="0"/>
            <w:vAlign w:val="center"/>
          </w:tcPr>
          <w:p w14:paraId="4C4FDEE4">
            <w:pP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noWrap w:val="0"/>
            <w:vAlign w:val="center"/>
          </w:tcPr>
          <w:p w14:paraId="10432458">
            <w:pPr>
              <w:pStyle w:val="14"/>
              <w:ind w:left="0"/>
              <w:rPr>
                <w:color w:val="auto"/>
                <w:szCs w:val="21"/>
                <w:highlight w:val="none"/>
              </w:rPr>
            </w:pPr>
            <w:r>
              <w:rPr>
                <w:rFonts w:hint="eastAsia"/>
                <w:color w:val="auto"/>
                <w:highlight w:val="none"/>
              </w:rPr>
              <w:t>供应商以“信用承诺函”（格式见第六章投标文件格式）的书面形式进行响应，不再提供证明材料。</w:t>
            </w:r>
          </w:p>
        </w:tc>
      </w:tr>
      <w:tr w14:paraId="577F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846" w:type="dxa"/>
            <w:vMerge w:val="continue"/>
            <w:noWrap w:val="0"/>
            <w:vAlign w:val="center"/>
          </w:tcPr>
          <w:p w14:paraId="6D3AD0B8">
            <w:pPr>
              <w:spacing w:line="240" w:lineRule="exact"/>
              <w:rPr>
                <w:color w:val="auto"/>
                <w:szCs w:val="21"/>
                <w:highlight w:val="none"/>
                <w:lang w:val="zh-CN"/>
              </w:rPr>
            </w:pPr>
          </w:p>
        </w:tc>
        <w:tc>
          <w:tcPr>
            <w:tcW w:w="1843" w:type="dxa"/>
            <w:noWrap w:val="0"/>
            <w:vAlign w:val="center"/>
          </w:tcPr>
          <w:p w14:paraId="736870AA">
            <w:pPr>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noWrap w:val="0"/>
            <w:vAlign w:val="center"/>
          </w:tcPr>
          <w:p w14:paraId="72210630">
            <w:pPr>
              <w:spacing w:line="240" w:lineRule="exact"/>
              <w:rPr>
                <w:color w:val="auto"/>
                <w:highlight w:val="none"/>
              </w:rPr>
            </w:pPr>
            <w:r>
              <w:rPr>
                <w:rFonts w:hint="eastAsia"/>
                <w:color w:val="auto"/>
                <w:highlight w:val="none"/>
              </w:rPr>
              <w:t>①具有</w:t>
            </w:r>
            <w:r>
              <w:rPr>
                <w:color w:val="auto"/>
                <w:highlight w:val="none"/>
              </w:rPr>
              <w:t>投标截止时间前6个月内，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highlight w:val="none"/>
              </w:rPr>
              <w:t>依法缴纳税费证明。</w:t>
            </w:r>
          </w:p>
          <w:p w14:paraId="2C87269C">
            <w:pPr>
              <w:spacing w:line="240" w:lineRule="exact"/>
              <w:rPr>
                <w:color w:val="auto"/>
                <w:highlight w:val="none"/>
              </w:rPr>
            </w:pPr>
            <w:r>
              <w:rPr>
                <w:rFonts w:hint="eastAsia"/>
                <w:color w:val="auto"/>
                <w:highlight w:val="none"/>
              </w:rPr>
              <w:t>②具有</w:t>
            </w:r>
            <w:r>
              <w:rPr>
                <w:color w:val="auto"/>
                <w:highlight w:val="none"/>
              </w:rPr>
              <w:t>投标截止时间前6个月内，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highlight w:val="none"/>
              </w:rPr>
              <w:t>的社保缴费证明记录。</w:t>
            </w:r>
          </w:p>
          <w:p w14:paraId="11C3A165">
            <w:pPr>
              <w:spacing w:line="240" w:lineRule="exact"/>
              <w:jc w:val="left"/>
              <w:rPr>
                <w:color w:val="auto"/>
                <w:highlight w:val="none"/>
              </w:rPr>
            </w:pPr>
            <w:r>
              <w:rPr>
                <w:color w:val="auto"/>
                <w:szCs w:val="21"/>
                <w:highlight w:val="none"/>
              </w:rPr>
              <w:t>供应商成立不足</w:t>
            </w:r>
            <w:r>
              <w:rPr>
                <w:rFonts w:hint="eastAsia"/>
                <w:color w:val="auto"/>
                <w:szCs w:val="21"/>
                <w:highlight w:val="none"/>
                <w:lang w:val="en-US" w:eastAsia="zh-CN"/>
              </w:rPr>
              <w:t>6</w:t>
            </w:r>
            <w:r>
              <w:rPr>
                <w:rFonts w:hint="eastAsia"/>
                <w:color w:val="auto"/>
                <w:szCs w:val="21"/>
                <w:highlight w:val="none"/>
              </w:rPr>
              <w:t>个月的，无须提供</w:t>
            </w:r>
            <w:r>
              <w:rPr>
                <w:color w:val="auto"/>
                <w:szCs w:val="21"/>
                <w:highlight w:val="none"/>
              </w:rPr>
              <w:t>缴纳税费证明及社保缴费证明加盖供应商电子签章</w:t>
            </w:r>
            <w:r>
              <w:rPr>
                <w:rFonts w:hint="eastAsia"/>
                <w:color w:val="auto"/>
                <w:szCs w:val="21"/>
                <w:highlight w:val="none"/>
              </w:rPr>
              <w:t>。</w:t>
            </w:r>
          </w:p>
          <w:p w14:paraId="10861840">
            <w:pPr>
              <w:pStyle w:val="14"/>
              <w:ind w:left="0"/>
              <w:rPr>
                <w:color w:val="auto"/>
                <w:szCs w:val="21"/>
                <w:highlight w:val="none"/>
              </w:rPr>
            </w:pPr>
            <w:r>
              <w:rPr>
                <w:rFonts w:hint="eastAsia"/>
                <w:b/>
                <w:bCs/>
                <w:color w:val="auto"/>
                <w:highlight w:val="none"/>
              </w:rPr>
              <w:t>供应商以“信用承诺函”（格式见第六章投标文件格式）的书面形式进行响应，不再提供证明材料。</w:t>
            </w:r>
          </w:p>
        </w:tc>
      </w:tr>
      <w:tr w14:paraId="4559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46" w:type="dxa"/>
            <w:vMerge w:val="continue"/>
            <w:noWrap w:val="0"/>
            <w:vAlign w:val="center"/>
          </w:tcPr>
          <w:p w14:paraId="069B5C6A">
            <w:pPr>
              <w:spacing w:line="240" w:lineRule="exact"/>
              <w:rPr>
                <w:color w:val="auto"/>
                <w:szCs w:val="21"/>
                <w:highlight w:val="none"/>
                <w:lang w:val="zh-CN"/>
              </w:rPr>
            </w:pPr>
          </w:p>
        </w:tc>
        <w:tc>
          <w:tcPr>
            <w:tcW w:w="1843" w:type="dxa"/>
            <w:noWrap w:val="0"/>
            <w:vAlign w:val="center"/>
          </w:tcPr>
          <w:p w14:paraId="5CAD89CA">
            <w:pPr>
              <w:spacing w:line="240" w:lineRule="exact"/>
              <w:jc w:val="left"/>
              <w:rPr>
                <w:color w:val="auto"/>
                <w:szCs w:val="21"/>
                <w:highlight w:val="none"/>
              </w:rPr>
            </w:pPr>
            <w:r>
              <w:rPr>
                <w:color w:val="auto"/>
                <w:szCs w:val="21"/>
                <w:highlight w:val="none"/>
              </w:rPr>
              <w:t>（5）参加政府采购活动前三年内，在经营活动中没有重大违法记录及不良信用记录</w:t>
            </w:r>
          </w:p>
        </w:tc>
        <w:tc>
          <w:tcPr>
            <w:tcW w:w="6242" w:type="dxa"/>
            <w:noWrap w:val="0"/>
            <w:vAlign w:val="center"/>
          </w:tcPr>
          <w:p w14:paraId="32835990">
            <w:pPr>
              <w:spacing w:line="240" w:lineRule="exact"/>
              <w:jc w:val="left"/>
              <w:rPr>
                <w:color w:val="auto"/>
                <w:szCs w:val="21"/>
                <w:highlight w:val="none"/>
              </w:rPr>
            </w:pPr>
            <w:r>
              <w:rPr>
                <w:rFonts w:hint="eastAsia"/>
                <w:color w:val="auto"/>
                <w:highlight w:val="none"/>
              </w:rPr>
              <w:t>供应商以“信用承诺函”（格式见第六章投标文件格式）的书面形式进行响应，不再提供证明材料。</w:t>
            </w:r>
          </w:p>
        </w:tc>
      </w:tr>
      <w:tr w14:paraId="7DD4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3EC75694">
            <w:pPr>
              <w:spacing w:line="240" w:lineRule="exact"/>
              <w:rPr>
                <w:color w:val="auto"/>
                <w:szCs w:val="21"/>
                <w:highlight w:val="none"/>
                <w:lang w:val="zh-CN"/>
              </w:rPr>
            </w:pPr>
          </w:p>
        </w:tc>
        <w:tc>
          <w:tcPr>
            <w:tcW w:w="1843" w:type="dxa"/>
            <w:noWrap w:val="0"/>
            <w:vAlign w:val="center"/>
          </w:tcPr>
          <w:p w14:paraId="49964698">
            <w:pPr>
              <w:spacing w:line="240" w:lineRule="exact"/>
              <w:jc w:val="left"/>
              <w:rPr>
                <w:color w:val="auto"/>
                <w:szCs w:val="21"/>
                <w:highlight w:val="none"/>
              </w:rPr>
            </w:pPr>
            <w:r>
              <w:rPr>
                <w:color w:val="auto"/>
                <w:szCs w:val="21"/>
                <w:highlight w:val="none"/>
              </w:rPr>
              <w:t>（6）具备法律、行政法规规定的其他要求</w:t>
            </w:r>
          </w:p>
        </w:tc>
        <w:tc>
          <w:tcPr>
            <w:tcW w:w="6242" w:type="dxa"/>
            <w:noWrap w:val="0"/>
            <w:vAlign w:val="center"/>
          </w:tcPr>
          <w:p w14:paraId="3CDFDB8B">
            <w:pPr>
              <w:spacing w:line="240" w:lineRule="exact"/>
              <w:jc w:val="left"/>
              <w:rPr>
                <w:color w:val="auto"/>
                <w:szCs w:val="21"/>
                <w:highlight w:val="none"/>
              </w:rPr>
            </w:pPr>
            <w:r>
              <w:rPr>
                <w:color w:val="auto"/>
                <w:szCs w:val="21"/>
                <w:highlight w:val="none"/>
              </w:rPr>
              <w:t>无。</w:t>
            </w:r>
          </w:p>
        </w:tc>
      </w:tr>
      <w:tr w14:paraId="5D1A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noWrap w:val="0"/>
            <w:vAlign w:val="center"/>
          </w:tcPr>
          <w:p w14:paraId="57C13AE3">
            <w:pPr>
              <w:spacing w:line="240" w:lineRule="exact"/>
              <w:rPr>
                <w:color w:val="auto"/>
                <w:szCs w:val="21"/>
                <w:highlight w:val="none"/>
                <w:lang w:val="zh-CN"/>
              </w:rPr>
            </w:pPr>
            <w:r>
              <w:rPr>
                <w:rFonts w:hint="eastAsia"/>
                <w:color w:val="auto"/>
                <w:szCs w:val="21"/>
                <w:highlight w:val="none"/>
              </w:rPr>
              <w:t>采购政策</w:t>
            </w:r>
          </w:p>
        </w:tc>
        <w:tc>
          <w:tcPr>
            <w:tcW w:w="1843" w:type="dxa"/>
            <w:noWrap w:val="0"/>
            <w:vAlign w:val="center"/>
          </w:tcPr>
          <w:p w14:paraId="4C57751F">
            <w:pPr>
              <w:spacing w:line="240" w:lineRule="exact"/>
              <w:jc w:val="left"/>
              <w:rPr>
                <w:color w:val="auto"/>
                <w:szCs w:val="21"/>
                <w:highlight w:val="none"/>
              </w:rPr>
            </w:pPr>
            <w:r>
              <w:rPr>
                <w:rFonts w:hint="eastAsia"/>
                <w:color w:val="auto"/>
                <w:szCs w:val="21"/>
                <w:highlight w:val="none"/>
              </w:rPr>
              <w:t>落实政府采购政策需满足的资格要求</w:t>
            </w:r>
          </w:p>
        </w:tc>
        <w:tc>
          <w:tcPr>
            <w:tcW w:w="6242" w:type="dxa"/>
            <w:noWrap w:val="0"/>
            <w:vAlign w:val="center"/>
          </w:tcPr>
          <w:p w14:paraId="6FA4012B">
            <w:pPr>
              <w:spacing w:line="240" w:lineRule="exact"/>
              <w:jc w:val="left"/>
              <w:rPr>
                <w:color w:val="auto"/>
                <w:szCs w:val="21"/>
                <w:highlight w:val="none"/>
              </w:rPr>
            </w:pPr>
            <w:r>
              <w:rPr>
                <w:rFonts w:hint="eastAsia"/>
                <w:color w:val="auto"/>
                <w:szCs w:val="21"/>
                <w:highlight w:val="none"/>
              </w:rPr>
              <w:t>无。</w:t>
            </w:r>
          </w:p>
        </w:tc>
      </w:tr>
      <w:tr w14:paraId="0E9F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restart"/>
            <w:noWrap w:val="0"/>
            <w:vAlign w:val="center"/>
          </w:tcPr>
          <w:p w14:paraId="795042A8">
            <w:pPr>
              <w:spacing w:line="240" w:lineRule="exact"/>
              <w:rPr>
                <w:color w:val="auto"/>
                <w:szCs w:val="21"/>
                <w:highlight w:val="none"/>
                <w:lang w:val="zh-CN"/>
              </w:rPr>
            </w:pPr>
            <w:r>
              <w:rPr>
                <w:color w:val="auto"/>
                <w:szCs w:val="21"/>
                <w:highlight w:val="none"/>
                <w:lang w:val="zh-CN"/>
              </w:rPr>
              <w:t>供应商应符合的</w:t>
            </w:r>
            <w:r>
              <w:rPr>
                <w:color w:val="auto"/>
                <w:szCs w:val="21"/>
                <w:highlight w:val="none"/>
              </w:rPr>
              <w:t>特定资格</w:t>
            </w:r>
            <w:r>
              <w:rPr>
                <w:rFonts w:hint="eastAsia"/>
                <w:color w:val="auto"/>
                <w:szCs w:val="21"/>
                <w:highlight w:val="none"/>
              </w:rPr>
              <w:t>要求</w:t>
            </w:r>
          </w:p>
        </w:tc>
        <w:tc>
          <w:tcPr>
            <w:tcW w:w="1843" w:type="dxa"/>
            <w:noWrap w:val="0"/>
            <w:vAlign w:val="center"/>
          </w:tcPr>
          <w:p w14:paraId="001438F8">
            <w:pPr>
              <w:spacing w:line="240" w:lineRule="exact"/>
              <w:jc w:val="left"/>
              <w:rPr>
                <w:color w:val="auto"/>
                <w:szCs w:val="21"/>
                <w:highlight w:val="none"/>
              </w:rPr>
            </w:pPr>
            <w:r>
              <w:rPr>
                <w:color w:val="auto"/>
                <w:szCs w:val="21"/>
                <w:highlight w:val="none"/>
              </w:rPr>
              <w:t>（1）资</w:t>
            </w:r>
            <w:r>
              <w:rPr>
                <w:rFonts w:hint="eastAsia"/>
                <w:color w:val="auto"/>
                <w:szCs w:val="21"/>
                <w:highlight w:val="none"/>
              </w:rPr>
              <w:t>质要求</w:t>
            </w:r>
          </w:p>
        </w:tc>
        <w:tc>
          <w:tcPr>
            <w:tcW w:w="6242" w:type="dxa"/>
            <w:noWrap w:val="0"/>
            <w:vAlign w:val="center"/>
          </w:tcPr>
          <w:p w14:paraId="0099E62A">
            <w:pPr>
              <w:spacing w:line="240" w:lineRule="exact"/>
              <w:jc w:val="left"/>
              <w:rPr>
                <w:color w:val="auto"/>
                <w:szCs w:val="21"/>
                <w:highlight w:val="none"/>
              </w:rPr>
            </w:pPr>
            <w:r>
              <w:rPr>
                <w:rFonts w:hint="default"/>
                <w:color w:val="auto"/>
                <w:szCs w:val="21"/>
                <w:highlight w:val="none"/>
              </w:rPr>
              <w:t>投标人按《医疗器械监督管理条例》（国务院令第739号）医疗器械分类管理要求具备有效的医疗器械经营备案凭证或者经营许可证，且经营范围必须包含采购标的【符合《医疗器械监督管理条例》第四十一条第二款规定的除外】；或者投标人具有《医疗器械监督管理条例》第四十三条规定的注册人凭证。</w:t>
            </w:r>
          </w:p>
        </w:tc>
      </w:tr>
      <w:tr w14:paraId="3493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4C0F24B5">
            <w:pPr>
              <w:spacing w:line="240" w:lineRule="exact"/>
              <w:rPr>
                <w:color w:val="auto"/>
                <w:szCs w:val="21"/>
                <w:highlight w:val="none"/>
                <w:lang w:val="zh-CN"/>
              </w:rPr>
            </w:pPr>
          </w:p>
        </w:tc>
        <w:tc>
          <w:tcPr>
            <w:tcW w:w="1843" w:type="dxa"/>
            <w:noWrap w:val="0"/>
            <w:vAlign w:val="center"/>
          </w:tcPr>
          <w:p w14:paraId="1F147C29">
            <w:pPr>
              <w:spacing w:line="240" w:lineRule="exact"/>
              <w:jc w:val="left"/>
              <w:rPr>
                <w:rFonts w:hint="eastAsia" w:eastAsia="宋体"/>
                <w:color w:val="auto"/>
                <w:szCs w:val="21"/>
                <w:highlight w:val="none"/>
                <w:lang w:eastAsia="zh-CN"/>
              </w:rPr>
            </w:pPr>
            <w:r>
              <w:rPr>
                <w:rFonts w:hint="eastAsia"/>
                <w:color w:val="auto"/>
                <w:szCs w:val="21"/>
                <w:highlight w:val="none"/>
              </w:rPr>
              <w:t>（2）</w:t>
            </w:r>
            <w:r>
              <w:rPr>
                <w:rFonts w:hint="eastAsia"/>
                <w:color w:val="auto"/>
                <w:szCs w:val="21"/>
                <w:highlight w:val="none"/>
                <w:lang w:eastAsia="zh-CN"/>
              </w:rPr>
              <w:t>业绩</w:t>
            </w:r>
            <w:r>
              <w:rPr>
                <w:rFonts w:hint="eastAsia"/>
                <w:color w:val="auto"/>
                <w:szCs w:val="21"/>
                <w:highlight w:val="none"/>
                <w:lang w:val="en-US" w:eastAsia="zh-CN"/>
              </w:rPr>
              <w:t>要求</w:t>
            </w:r>
          </w:p>
        </w:tc>
        <w:tc>
          <w:tcPr>
            <w:tcW w:w="6242" w:type="dxa"/>
            <w:noWrap w:val="0"/>
            <w:vAlign w:val="center"/>
          </w:tcPr>
          <w:p w14:paraId="406D2810">
            <w:pPr>
              <w:spacing w:line="240" w:lineRule="exact"/>
              <w:jc w:val="left"/>
              <w:rPr>
                <w:rFonts w:hint="eastAsia" w:eastAsia="宋体"/>
                <w:color w:val="auto"/>
                <w:szCs w:val="21"/>
                <w:highlight w:val="none"/>
                <w:lang w:eastAsia="zh-CN"/>
              </w:rPr>
            </w:pPr>
            <w:r>
              <w:rPr>
                <w:rFonts w:hint="eastAsia"/>
                <w:color w:val="auto"/>
                <w:szCs w:val="21"/>
                <w:highlight w:val="none"/>
                <w:lang w:eastAsia="zh-CN"/>
              </w:rPr>
              <w:t>无。</w:t>
            </w:r>
          </w:p>
        </w:tc>
      </w:tr>
      <w:tr w14:paraId="3E97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3449AC2C">
            <w:pPr>
              <w:spacing w:line="240" w:lineRule="exact"/>
              <w:rPr>
                <w:color w:val="auto"/>
                <w:szCs w:val="21"/>
                <w:highlight w:val="none"/>
                <w:lang w:val="zh-CN"/>
              </w:rPr>
            </w:pPr>
          </w:p>
        </w:tc>
        <w:tc>
          <w:tcPr>
            <w:tcW w:w="1843" w:type="dxa"/>
            <w:shd w:val="clear" w:color="auto" w:fill="auto"/>
            <w:noWrap w:val="0"/>
            <w:vAlign w:val="center"/>
          </w:tcPr>
          <w:p w14:paraId="0141B772">
            <w:pPr>
              <w:spacing w:line="240" w:lineRule="exact"/>
              <w:jc w:val="left"/>
              <w:rPr>
                <w:rFonts w:hint="eastAsia" w:ascii="Times New Roman" w:hAnsi="Times New Roman" w:eastAsia="宋体" w:cs="Times New Roman"/>
                <w:color w:val="auto"/>
                <w:sz w:val="21"/>
                <w:szCs w:val="21"/>
                <w:highlight w:val="none"/>
                <w:lang w:val="en-US" w:eastAsia="zh-CN" w:bidi="ar-SA"/>
              </w:rPr>
            </w:pPr>
            <w:r>
              <w:rPr>
                <w:rFonts w:hint="eastAsia"/>
                <w:color w:val="auto"/>
                <w:szCs w:val="21"/>
                <w:highlight w:val="none"/>
              </w:rPr>
              <w:t>（</w:t>
            </w:r>
            <w:r>
              <w:rPr>
                <w:rFonts w:hint="eastAsia"/>
                <w:color w:val="auto"/>
                <w:szCs w:val="21"/>
                <w:highlight w:val="none"/>
                <w:lang w:val="en-US" w:eastAsia="zh-CN"/>
              </w:rPr>
              <w:t>3</w:t>
            </w:r>
            <w:r>
              <w:rPr>
                <w:rFonts w:hint="eastAsia"/>
                <w:color w:val="auto"/>
                <w:szCs w:val="21"/>
                <w:highlight w:val="none"/>
              </w:rPr>
              <w:t>）供应商不得参加投标的情形</w:t>
            </w:r>
          </w:p>
        </w:tc>
        <w:tc>
          <w:tcPr>
            <w:tcW w:w="6242" w:type="dxa"/>
            <w:shd w:val="clear" w:color="auto" w:fill="auto"/>
            <w:noWrap w:val="0"/>
            <w:vAlign w:val="center"/>
          </w:tcPr>
          <w:p w14:paraId="02A5B262">
            <w:pPr>
              <w:spacing w:line="240" w:lineRule="exact"/>
              <w:jc w:val="left"/>
              <w:rPr>
                <w:color w:val="auto"/>
                <w:szCs w:val="21"/>
                <w:highlight w:val="none"/>
              </w:rPr>
            </w:pPr>
            <w:r>
              <w:rPr>
                <w:color w:val="auto"/>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szCs w:val="21"/>
                <w:highlight w:val="none"/>
              </w:rPr>
              <w:t>本</w:t>
            </w:r>
            <w:r>
              <w:rPr>
                <w:color w:val="auto"/>
                <w:szCs w:val="21"/>
                <w:highlight w:val="none"/>
              </w:rPr>
              <w:t>项目的采购活动。</w:t>
            </w:r>
          </w:p>
          <w:p w14:paraId="2AF9A45D">
            <w:pPr>
              <w:spacing w:line="240" w:lineRule="exact"/>
              <w:jc w:val="left"/>
              <w:rPr>
                <w:rFonts w:ascii="Times New Roman" w:hAnsi="Times New Roman" w:eastAsia="宋体" w:cs="Times New Roman"/>
                <w:color w:val="auto"/>
                <w:sz w:val="21"/>
                <w:szCs w:val="21"/>
                <w:highlight w:val="none"/>
                <w:lang w:val="en-US" w:eastAsia="zh-CN" w:bidi="ar-SA"/>
              </w:rPr>
            </w:pPr>
            <w:r>
              <w:rPr>
                <w:color w:val="auto"/>
                <w:szCs w:val="21"/>
                <w:highlight w:val="none"/>
              </w:rPr>
              <w:t>须提供，格式见第六章投标文件格式“</w:t>
            </w:r>
            <w:r>
              <w:rPr>
                <w:rFonts w:hint="eastAsia"/>
                <w:color w:val="auto"/>
                <w:szCs w:val="21"/>
                <w:highlight w:val="none"/>
              </w:rPr>
              <w:t>供应商直接控股股东、管理关系信息表</w:t>
            </w:r>
            <w:r>
              <w:rPr>
                <w:color w:val="auto"/>
                <w:szCs w:val="21"/>
                <w:highlight w:val="none"/>
              </w:rPr>
              <w:t>”。</w:t>
            </w:r>
          </w:p>
        </w:tc>
      </w:tr>
      <w:tr w14:paraId="7573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5279DBAD">
            <w:pPr>
              <w:spacing w:line="240" w:lineRule="exact"/>
              <w:rPr>
                <w:color w:val="auto"/>
                <w:szCs w:val="21"/>
                <w:highlight w:val="none"/>
                <w:lang w:val="zh-CN"/>
              </w:rPr>
            </w:pPr>
          </w:p>
        </w:tc>
        <w:tc>
          <w:tcPr>
            <w:tcW w:w="1843" w:type="dxa"/>
            <w:noWrap w:val="0"/>
            <w:vAlign w:val="center"/>
          </w:tcPr>
          <w:p w14:paraId="64CFF6F6">
            <w:pPr>
              <w:pStyle w:val="14"/>
              <w:ind w:left="0"/>
              <w:rPr>
                <w:color w:val="auto"/>
                <w:szCs w:val="21"/>
                <w:highlight w:val="none"/>
              </w:rPr>
            </w:pPr>
            <w:r>
              <w:rPr>
                <w:rFonts w:hint="eastAsia"/>
                <w:color w:val="auto"/>
                <w:szCs w:val="21"/>
                <w:highlight w:val="none"/>
              </w:rPr>
              <w:t>（</w:t>
            </w:r>
            <w:r>
              <w:rPr>
                <w:rFonts w:hint="eastAsia"/>
                <w:color w:val="auto"/>
                <w:szCs w:val="21"/>
                <w:highlight w:val="none"/>
                <w:lang w:val="en-US" w:eastAsia="zh-CN"/>
              </w:rPr>
              <w:t>4</w:t>
            </w:r>
            <w:r>
              <w:rPr>
                <w:rFonts w:hint="eastAsia"/>
                <w:color w:val="auto"/>
                <w:szCs w:val="21"/>
                <w:highlight w:val="none"/>
              </w:rPr>
              <w:t>）诚信要求</w:t>
            </w:r>
          </w:p>
        </w:tc>
        <w:tc>
          <w:tcPr>
            <w:tcW w:w="6242" w:type="dxa"/>
            <w:noWrap w:val="0"/>
            <w:vAlign w:val="center"/>
          </w:tcPr>
          <w:p w14:paraId="4ED3EDF0">
            <w:pPr>
              <w:pStyle w:val="14"/>
              <w:ind w:left="0"/>
              <w:rPr>
                <w:color w:val="auto"/>
                <w:szCs w:val="21"/>
                <w:highlight w:val="none"/>
              </w:rPr>
            </w:pPr>
            <w:r>
              <w:rPr>
                <w:rFonts w:hint="eastAsia"/>
                <w:color w:val="auto"/>
                <w:szCs w:val="21"/>
                <w:highlight w:val="none"/>
              </w:rPr>
              <w:t>未被列入失信被执行人、</w:t>
            </w:r>
            <w:r>
              <w:rPr>
                <w:color w:val="auto"/>
                <w:szCs w:val="21"/>
                <w:highlight w:val="none"/>
              </w:rPr>
              <w:t>重大税收违法案件当事人名单、政府采购严重违法失信行为记录名单</w:t>
            </w:r>
            <w:r>
              <w:rPr>
                <w:rFonts w:hint="eastAsia"/>
                <w:color w:val="auto"/>
                <w:szCs w:val="21"/>
                <w:highlight w:val="none"/>
              </w:rPr>
              <w:t>。</w:t>
            </w:r>
          </w:p>
        </w:tc>
      </w:tr>
      <w:tr w14:paraId="314E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764FAEB5">
            <w:pPr>
              <w:spacing w:line="240" w:lineRule="exact"/>
              <w:rPr>
                <w:color w:val="auto"/>
                <w:szCs w:val="21"/>
                <w:highlight w:val="none"/>
                <w:lang w:val="zh-CN"/>
              </w:rPr>
            </w:pPr>
          </w:p>
        </w:tc>
        <w:tc>
          <w:tcPr>
            <w:tcW w:w="1843" w:type="dxa"/>
            <w:noWrap w:val="0"/>
            <w:vAlign w:val="center"/>
          </w:tcPr>
          <w:p w14:paraId="6C4611CF">
            <w:pPr>
              <w:spacing w:line="240" w:lineRule="exact"/>
              <w:jc w:val="left"/>
              <w:rPr>
                <w:rFonts w:hint="eastAsia" w:eastAsia="宋体"/>
                <w:color w:val="auto"/>
                <w:szCs w:val="21"/>
                <w:highlight w:val="none"/>
                <w:lang w:eastAsia="zh-CN"/>
              </w:rPr>
            </w:pPr>
            <w:r>
              <w:rPr>
                <w:rFonts w:hint="eastAsia"/>
                <w:color w:val="auto"/>
                <w:szCs w:val="21"/>
                <w:highlight w:val="none"/>
              </w:rPr>
              <w:t>（</w:t>
            </w:r>
            <w:r>
              <w:rPr>
                <w:rFonts w:hint="eastAsia"/>
                <w:color w:val="auto"/>
                <w:szCs w:val="21"/>
                <w:highlight w:val="none"/>
                <w:lang w:val="en-US" w:eastAsia="zh-CN"/>
              </w:rPr>
              <w:t>5</w:t>
            </w:r>
            <w:r>
              <w:rPr>
                <w:rFonts w:hint="eastAsia"/>
                <w:color w:val="auto"/>
                <w:szCs w:val="21"/>
                <w:highlight w:val="none"/>
              </w:rPr>
              <w:t>）分</w:t>
            </w:r>
            <w:r>
              <w:rPr>
                <w:rFonts w:hint="eastAsia"/>
                <w:color w:val="auto"/>
                <w:szCs w:val="21"/>
                <w:highlight w:val="none"/>
                <w:lang w:eastAsia="zh-CN"/>
              </w:rPr>
              <w:t>公司</w:t>
            </w:r>
          </w:p>
        </w:tc>
        <w:tc>
          <w:tcPr>
            <w:tcW w:w="6242" w:type="dxa"/>
            <w:noWrap w:val="0"/>
            <w:vAlign w:val="center"/>
          </w:tcPr>
          <w:p w14:paraId="0060F4A7">
            <w:pPr>
              <w:spacing w:line="240" w:lineRule="exact"/>
              <w:rPr>
                <w:rFonts w:hint="eastAsia"/>
                <w:color w:val="auto"/>
                <w:szCs w:val="21"/>
                <w:highlight w:val="none"/>
              </w:rPr>
            </w:pPr>
            <w:r>
              <w:rPr>
                <w:rFonts w:hint="eastAsia"/>
                <w:color w:val="auto"/>
                <w:szCs w:val="21"/>
                <w:highlight w:val="none"/>
              </w:rPr>
              <w:t>本项目不允许分公司</w:t>
            </w:r>
            <w:r>
              <w:rPr>
                <w:rFonts w:hint="eastAsia"/>
                <w:color w:val="auto"/>
                <w:szCs w:val="21"/>
                <w:highlight w:val="none"/>
                <w:lang w:val="en-US" w:eastAsia="zh-CN"/>
              </w:rPr>
              <w:t>同时</w:t>
            </w:r>
            <w:r>
              <w:rPr>
                <w:rFonts w:hint="eastAsia"/>
                <w:color w:val="auto"/>
                <w:szCs w:val="21"/>
                <w:highlight w:val="none"/>
              </w:rPr>
              <w:t>参与投标。</w:t>
            </w:r>
          </w:p>
        </w:tc>
      </w:tr>
      <w:tr w14:paraId="1969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5A1BA935">
            <w:pPr>
              <w:spacing w:line="240" w:lineRule="exact"/>
              <w:rPr>
                <w:color w:val="auto"/>
                <w:szCs w:val="21"/>
                <w:highlight w:val="none"/>
              </w:rPr>
            </w:pPr>
          </w:p>
        </w:tc>
        <w:tc>
          <w:tcPr>
            <w:tcW w:w="1843" w:type="dxa"/>
            <w:noWrap w:val="0"/>
            <w:vAlign w:val="center"/>
          </w:tcPr>
          <w:p w14:paraId="521945E5">
            <w:pPr>
              <w:spacing w:line="240" w:lineRule="exact"/>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w:t>
            </w:r>
            <w:r>
              <w:rPr>
                <w:rFonts w:hint="eastAsia"/>
                <w:color w:val="auto"/>
                <w:szCs w:val="21"/>
                <w:highlight w:val="none"/>
                <w:lang w:val="en-US" w:eastAsia="zh-CN"/>
              </w:rPr>
              <w:t>转包和</w:t>
            </w:r>
            <w:r>
              <w:rPr>
                <w:rFonts w:hint="eastAsia"/>
                <w:color w:val="auto"/>
                <w:szCs w:val="21"/>
                <w:highlight w:val="none"/>
              </w:rPr>
              <w:t>分包</w:t>
            </w:r>
          </w:p>
        </w:tc>
        <w:tc>
          <w:tcPr>
            <w:tcW w:w="6242" w:type="dxa"/>
            <w:noWrap w:val="0"/>
            <w:vAlign w:val="center"/>
          </w:tcPr>
          <w:p w14:paraId="2A17586A">
            <w:pPr>
              <w:spacing w:line="240" w:lineRule="exact"/>
              <w:rPr>
                <w:color w:val="auto"/>
                <w:szCs w:val="21"/>
                <w:highlight w:val="none"/>
              </w:rPr>
            </w:pPr>
            <w:r>
              <w:rPr>
                <w:rFonts w:hint="eastAsia"/>
                <w:color w:val="auto"/>
                <w:szCs w:val="21"/>
                <w:highlight w:val="none"/>
              </w:rPr>
              <w:t>本项目不允许转包和分包。</w:t>
            </w:r>
          </w:p>
        </w:tc>
      </w:tr>
      <w:tr w14:paraId="5C91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596D567C">
            <w:pPr>
              <w:spacing w:line="240" w:lineRule="exact"/>
              <w:rPr>
                <w:color w:val="auto"/>
                <w:szCs w:val="21"/>
                <w:highlight w:val="none"/>
              </w:rPr>
            </w:pPr>
          </w:p>
        </w:tc>
        <w:tc>
          <w:tcPr>
            <w:tcW w:w="1843" w:type="dxa"/>
            <w:noWrap w:val="0"/>
            <w:vAlign w:val="center"/>
          </w:tcPr>
          <w:p w14:paraId="12DE9C0D">
            <w:pPr>
              <w:spacing w:line="240" w:lineRule="exact"/>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7</w:t>
            </w:r>
            <w:r>
              <w:rPr>
                <w:rFonts w:hint="eastAsia"/>
                <w:color w:val="auto"/>
                <w:szCs w:val="21"/>
                <w:highlight w:val="none"/>
              </w:rPr>
              <w:t>）联合体</w:t>
            </w:r>
          </w:p>
        </w:tc>
        <w:tc>
          <w:tcPr>
            <w:tcW w:w="6242" w:type="dxa"/>
            <w:noWrap w:val="0"/>
            <w:vAlign w:val="center"/>
          </w:tcPr>
          <w:p w14:paraId="10650482">
            <w:pPr>
              <w:spacing w:line="240" w:lineRule="exact"/>
              <w:rPr>
                <w:color w:val="auto"/>
                <w:szCs w:val="21"/>
                <w:highlight w:val="none"/>
              </w:rPr>
            </w:pPr>
            <w:r>
              <w:rPr>
                <w:rFonts w:hint="eastAsia"/>
                <w:color w:val="auto"/>
                <w:szCs w:val="21"/>
                <w:highlight w:val="none"/>
              </w:rPr>
              <w:t>本项目不接受联合体投标</w:t>
            </w:r>
            <w:r>
              <w:rPr>
                <w:rFonts w:hint="eastAsia"/>
                <w:color w:val="auto"/>
                <w:szCs w:val="21"/>
                <w:highlight w:val="none"/>
                <w:lang w:eastAsia="zh-CN"/>
              </w:rPr>
              <w:t>。</w:t>
            </w:r>
          </w:p>
        </w:tc>
      </w:tr>
      <w:tr w14:paraId="30D8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634AC4AC">
            <w:pPr>
              <w:spacing w:line="240" w:lineRule="exact"/>
              <w:rPr>
                <w:color w:val="auto"/>
                <w:szCs w:val="21"/>
                <w:highlight w:val="none"/>
              </w:rPr>
            </w:pPr>
          </w:p>
        </w:tc>
        <w:tc>
          <w:tcPr>
            <w:tcW w:w="1843" w:type="dxa"/>
            <w:noWrap w:val="0"/>
            <w:vAlign w:val="center"/>
          </w:tcPr>
          <w:p w14:paraId="7F58121A">
            <w:pPr>
              <w:spacing w:line="240" w:lineRule="exact"/>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8</w:t>
            </w:r>
            <w:r>
              <w:rPr>
                <w:rFonts w:hint="eastAsia"/>
                <w:color w:val="auto"/>
                <w:szCs w:val="21"/>
                <w:highlight w:val="none"/>
              </w:rPr>
              <w:t>）其他要求</w:t>
            </w:r>
          </w:p>
        </w:tc>
        <w:tc>
          <w:tcPr>
            <w:tcW w:w="6242" w:type="dxa"/>
            <w:noWrap w:val="0"/>
            <w:vAlign w:val="center"/>
          </w:tcPr>
          <w:p w14:paraId="1B54DC87">
            <w:pPr>
              <w:spacing w:line="240" w:lineRule="exact"/>
              <w:jc w:val="left"/>
              <w:rPr>
                <w:color w:val="auto"/>
                <w:szCs w:val="21"/>
                <w:highlight w:val="none"/>
                <w:lang w:val="zh-CN"/>
              </w:rPr>
            </w:pPr>
            <w:r>
              <w:rPr>
                <w:rFonts w:hint="eastAsia"/>
                <w:color w:val="auto"/>
                <w:szCs w:val="21"/>
                <w:highlight w:val="none"/>
                <w:lang w:val="zh-CN"/>
              </w:rPr>
              <w:t>按照招标公告规定获得招标文件。</w:t>
            </w:r>
            <w:bookmarkEnd w:id="185"/>
          </w:p>
        </w:tc>
      </w:tr>
    </w:tbl>
    <w:p w14:paraId="0A121B55">
      <w:pPr>
        <w:spacing w:before="120" w:line="320" w:lineRule="atLeast"/>
        <w:ind w:firstLine="422"/>
        <w:rPr>
          <w:b/>
          <w:bCs/>
          <w:color w:val="auto"/>
          <w:szCs w:val="21"/>
          <w:highlight w:val="none"/>
        </w:rPr>
      </w:pPr>
    </w:p>
    <w:p w14:paraId="2E1DCEA9">
      <w:pPr>
        <w:spacing w:before="120" w:line="320" w:lineRule="atLeast"/>
        <w:ind w:firstLine="413"/>
        <w:outlineLvl w:val="1"/>
        <w:rPr>
          <w:color w:val="auto"/>
          <w:szCs w:val="21"/>
          <w:highlight w:val="none"/>
        </w:rPr>
      </w:pPr>
      <w:r>
        <w:rPr>
          <w:b/>
          <w:bCs/>
          <w:color w:val="auto"/>
          <w:szCs w:val="21"/>
          <w:highlight w:val="none"/>
        </w:rPr>
        <w:t>3</w:t>
      </w:r>
      <w:r>
        <w:rPr>
          <w:rFonts w:hint="eastAsia"/>
          <w:b/>
          <w:bCs/>
          <w:color w:val="auto"/>
          <w:szCs w:val="21"/>
          <w:highlight w:val="none"/>
        </w:rPr>
        <w:t>.</w:t>
      </w:r>
      <w:r>
        <w:rPr>
          <w:b/>
          <w:bCs/>
          <w:color w:val="auto"/>
          <w:szCs w:val="21"/>
          <w:highlight w:val="none"/>
        </w:rPr>
        <w:t>符合性审查</w:t>
      </w:r>
      <w:r>
        <w:rPr>
          <w:rFonts w:hint="eastAsia"/>
          <w:b/>
          <w:bCs/>
          <w:color w:val="auto"/>
          <w:szCs w:val="21"/>
          <w:highlight w:val="none"/>
        </w:rPr>
        <w:t>标准（不满足任何一项审查内容要求，符合性审查即为不合格）</w:t>
      </w:r>
    </w:p>
    <w:tbl>
      <w:tblPr>
        <w:tblStyle w:val="56"/>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05"/>
        <w:gridCol w:w="5144"/>
      </w:tblGrid>
      <w:tr w14:paraId="49CD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59" w:type="dxa"/>
            <w:noWrap w:val="0"/>
            <w:vAlign w:val="center"/>
          </w:tcPr>
          <w:p w14:paraId="4C06BB41">
            <w:pPr>
              <w:spacing w:line="240" w:lineRule="exact"/>
              <w:jc w:val="center"/>
              <w:rPr>
                <w:b/>
                <w:color w:val="auto"/>
                <w:szCs w:val="21"/>
                <w:highlight w:val="none"/>
              </w:rPr>
            </w:pPr>
            <w:bookmarkStart w:id="186" w:name="_Hlk92966680"/>
            <w:r>
              <w:rPr>
                <w:rFonts w:hint="eastAsia"/>
                <w:b/>
                <w:color w:val="auto"/>
                <w:szCs w:val="21"/>
                <w:highlight w:val="none"/>
              </w:rPr>
              <w:t>审查</w:t>
            </w:r>
            <w:r>
              <w:rPr>
                <w:b/>
                <w:color w:val="auto"/>
                <w:szCs w:val="21"/>
                <w:highlight w:val="none"/>
              </w:rPr>
              <w:t>因素</w:t>
            </w:r>
          </w:p>
        </w:tc>
        <w:tc>
          <w:tcPr>
            <w:tcW w:w="2405" w:type="dxa"/>
            <w:noWrap w:val="0"/>
            <w:vAlign w:val="center"/>
          </w:tcPr>
          <w:p w14:paraId="5322F564">
            <w:pPr>
              <w:spacing w:line="240" w:lineRule="exact"/>
              <w:jc w:val="center"/>
              <w:rPr>
                <w:b/>
                <w:color w:val="auto"/>
                <w:szCs w:val="21"/>
                <w:highlight w:val="none"/>
              </w:rPr>
            </w:pPr>
            <w:r>
              <w:rPr>
                <w:rFonts w:hint="eastAsia"/>
                <w:b/>
                <w:color w:val="auto"/>
                <w:szCs w:val="21"/>
                <w:highlight w:val="none"/>
              </w:rPr>
              <w:t>审查内容</w:t>
            </w:r>
          </w:p>
        </w:tc>
        <w:tc>
          <w:tcPr>
            <w:tcW w:w="5144" w:type="dxa"/>
            <w:noWrap w:val="0"/>
            <w:vAlign w:val="center"/>
          </w:tcPr>
          <w:p w14:paraId="283C99D0">
            <w:pPr>
              <w:spacing w:line="240" w:lineRule="exact"/>
              <w:jc w:val="center"/>
              <w:rPr>
                <w:b/>
                <w:color w:val="auto"/>
                <w:szCs w:val="21"/>
                <w:highlight w:val="none"/>
              </w:rPr>
            </w:pPr>
            <w:r>
              <w:rPr>
                <w:rFonts w:hint="eastAsia"/>
                <w:b/>
                <w:color w:val="auto"/>
                <w:szCs w:val="21"/>
                <w:highlight w:val="none"/>
              </w:rPr>
              <w:t>说明</w:t>
            </w:r>
          </w:p>
        </w:tc>
      </w:tr>
      <w:tr w14:paraId="2F46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1559" w:type="dxa"/>
            <w:vMerge w:val="restart"/>
            <w:noWrap w:val="0"/>
            <w:vAlign w:val="center"/>
          </w:tcPr>
          <w:p w14:paraId="67BF1342">
            <w:pPr>
              <w:jc w:val="center"/>
              <w:rPr>
                <w:color w:val="auto"/>
                <w:szCs w:val="21"/>
                <w:highlight w:val="none"/>
              </w:rPr>
            </w:pPr>
            <w:r>
              <w:rPr>
                <w:rFonts w:hint="eastAsia"/>
                <w:color w:val="auto"/>
                <w:szCs w:val="21"/>
                <w:highlight w:val="none"/>
              </w:rPr>
              <w:t>商务资信</w:t>
            </w:r>
          </w:p>
        </w:tc>
        <w:tc>
          <w:tcPr>
            <w:tcW w:w="2405" w:type="dxa"/>
            <w:noWrap w:val="0"/>
            <w:vAlign w:val="center"/>
          </w:tcPr>
          <w:p w14:paraId="0B7C7F98">
            <w:pPr>
              <w:rPr>
                <w:color w:val="auto"/>
                <w:highlight w:val="none"/>
              </w:rPr>
            </w:pPr>
            <w:r>
              <w:rPr>
                <w:rFonts w:hint="eastAsia"/>
                <w:color w:val="auto"/>
                <w:highlight w:val="none"/>
              </w:rPr>
              <w:t>法定代表人身份证明及授权委托书</w:t>
            </w:r>
          </w:p>
        </w:tc>
        <w:tc>
          <w:tcPr>
            <w:tcW w:w="5144" w:type="dxa"/>
            <w:noWrap w:val="0"/>
            <w:vAlign w:val="center"/>
          </w:tcPr>
          <w:p w14:paraId="138CD219">
            <w:pPr>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参加投标</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3C44F45F">
            <w:pPr>
              <w:rPr>
                <w:rFonts w:ascii="宋体" w:hAnsi="宋体"/>
                <w:color w:val="auto"/>
                <w:szCs w:val="21"/>
                <w:highlight w:val="none"/>
              </w:rPr>
            </w:pPr>
            <w:r>
              <w:rPr>
                <w:rFonts w:hint="eastAsia"/>
                <w:color w:val="auto"/>
                <w:szCs w:val="21"/>
                <w:highlight w:val="none"/>
              </w:rPr>
              <w:t>法定代表人直接参加投标</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391D9CE1">
            <w:pPr>
              <w:rPr>
                <w:color w:val="auto"/>
                <w:highlight w:val="none"/>
              </w:rPr>
            </w:pPr>
            <w:r>
              <w:rPr>
                <w:rFonts w:ascii="宋体" w:hAnsi="宋体"/>
                <w:color w:val="auto"/>
                <w:szCs w:val="21"/>
                <w:highlight w:val="none"/>
              </w:rPr>
              <w:t>格式及附件见第六章投标文件格式要求</w:t>
            </w:r>
          </w:p>
        </w:tc>
      </w:tr>
      <w:tr w14:paraId="6851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559" w:type="dxa"/>
            <w:vMerge w:val="continue"/>
            <w:noWrap w:val="0"/>
            <w:vAlign w:val="center"/>
          </w:tcPr>
          <w:p w14:paraId="14B566B5">
            <w:pPr>
              <w:jc w:val="center"/>
              <w:rPr>
                <w:rFonts w:hint="eastAsia"/>
                <w:color w:val="auto"/>
                <w:szCs w:val="21"/>
                <w:highlight w:val="none"/>
              </w:rPr>
            </w:pPr>
          </w:p>
        </w:tc>
        <w:tc>
          <w:tcPr>
            <w:tcW w:w="2405" w:type="dxa"/>
            <w:noWrap w:val="0"/>
            <w:vAlign w:val="center"/>
          </w:tcPr>
          <w:p w14:paraId="295394F5">
            <w:pPr>
              <w:spacing w:line="240" w:lineRule="exact"/>
              <w:rPr>
                <w:rFonts w:hint="eastAsia"/>
                <w:color w:val="auto"/>
                <w:highlight w:val="none"/>
              </w:rPr>
            </w:pPr>
            <w:r>
              <w:rPr>
                <w:rFonts w:hint="eastAsia"/>
                <w:color w:val="auto"/>
                <w:szCs w:val="21"/>
                <w:highlight w:val="none"/>
              </w:rPr>
              <w:t>实质性条款响应</w:t>
            </w:r>
          </w:p>
        </w:tc>
        <w:tc>
          <w:tcPr>
            <w:tcW w:w="5144" w:type="dxa"/>
            <w:noWrap w:val="0"/>
            <w:vAlign w:val="center"/>
          </w:tcPr>
          <w:p w14:paraId="2FD5DE29">
            <w:pPr>
              <w:spacing w:line="240" w:lineRule="exact"/>
              <w:rPr>
                <w:rFonts w:ascii="宋体" w:hAnsi="宋体"/>
                <w:color w:val="auto"/>
                <w:szCs w:val="21"/>
                <w:highlight w:val="none"/>
              </w:rPr>
            </w:pPr>
            <w:r>
              <w:rPr>
                <w:rFonts w:hint="eastAsia" w:ascii="宋体" w:hAnsi="宋体"/>
                <w:color w:val="auto"/>
                <w:szCs w:val="21"/>
                <w:highlight w:val="none"/>
              </w:rPr>
              <w:t>招标文件实质性要求响应均无负偏离</w:t>
            </w:r>
          </w:p>
        </w:tc>
      </w:tr>
      <w:tr w14:paraId="54F9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59" w:type="dxa"/>
            <w:vMerge w:val="continue"/>
            <w:noWrap w:val="0"/>
            <w:vAlign w:val="center"/>
          </w:tcPr>
          <w:p w14:paraId="5526D2AA">
            <w:pPr>
              <w:jc w:val="center"/>
              <w:rPr>
                <w:color w:val="auto"/>
                <w:szCs w:val="21"/>
                <w:highlight w:val="none"/>
              </w:rPr>
            </w:pPr>
          </w:p>
        </w:tc>
        <w:tc>
          <w:tcPr>
            <w:tcW w:w="2405" w:type="dxa"/>
            <w:noWrap w:val="0"/>
            <w:vAlign w:val="center"/>
          </w:tcPr>
          <w:p w14:paraId="33A135DB">
            <w:pPr>
              <w:spacing w:line="240" w:lineRule="exact"/>
              <w:rPr>
                <w:color w:val="auto"/>
                <w:szCs w:val="21"/>
                <w:highlight w:val="none"/>
              </w:rPr>
            </w:pPr>
            <w:r>
              <w:rPr>
                <w:rFonts w:hint="eastAsia"/>
                <w:color w:val="auto"/>
                <w:szCs w:val="21"/>
                <w:highlight w:val="none"/>
              </w:rPr>
              <w:t>串通投标</w:t>
            </w:r>
          </w:p>
        </w:tc>
        <w:tc>
          <w:tcPr>
            <w:tcW w:w="5144" w:type="dxa"/>
            <w:noWrap w:val="0"/>
            <w:vAlign w:val="center"/>
          </w:tcPr>
          <w:p w14:paraId="64FCF930">
            <w:pPr>
              <w:spacing w:line="240" w:lineRule="exact"/>
              <w:rPr>
                <w:color w:val="auto"/>
                <w:szCs w:val="21"/>
                <w:highlight w:val="none"/>
              </w:rPr>
            </w:pPr>
            <w:r>
              <w:rPr>
                <w:rFonts w:hint="eastAsia" w:ascii="宋体" w:hAnsi="宋体"/>
                <w:color w:val="auto"/>
                <w:szCs w:val="21"/>
                <w:highlight w:val="none"/>
              </w:rPr>
              <w:t>不属于投标人须知正文第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规定的串通投标情形，见</w:t>
            </w:r>
            <w:r>
              <w:rPr>
                <w:rFonts w:ascii="宋体" w:hAnsi="宋体"/>
                <w:color w:val="auto"/>
                <w:szCs w:val="21"/>
                <w:highlight w:val="none"/>
              </w:rPr>
              <w:t>第六章投标文件格式要求</w:t>
            </w:r>
          </w:p>
        </w:tc>
      </w:tr>
      <w:tr w14:paraId="0E36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559" w:type="dxa"/>
            <w:vMerge w:val="restart"/>
            <w:noWrap w:val="0"/>
            <w:vAlign w:val="center"/>
          </w:tcPr>
          <w:p w14:paraId="53928FC3">
            <w:pPr>
              <w:jc w:val="center"/>
              <w:rPr>
                <w:rFonts w:hint="eastAsia" w:eastAsia="宋体"/>
                <w:color w:val="auto"/>
                <w:szCs w:val="21"/>
                <w:highlight w:val="none"/>
                <w:lang w:eastAsia="zh-CN"/>
              </w:rPr>
            </w:pPr>
            <w:r>
              <w:rPr>
                <w:rFonts w:hint="eastAsia"/>
                <w:color w:val="auto"/>
                <w:szCs w:val="21"/>
                <w:highlight w:val="none"/>
                <w:lang w:eastAsia="zh-CN"/>
              </w:rPr>
              <w:t>技术</w:t>
            </w:r>
          </w:p>
        </w:tc>
        <w:tc>
          <w:tcPr>
            <w:tcW w:w="2405" w:type="dxa"/>
            <w:noWrap w:val="0"/>
            <w:vAlign w:val="center"/>
          </w:tcPr>
          <w:p w14:paraId="691809A7">
            <w:pPr>
              <w:spacing w:line="240" w:lineRule="exact"/>
              <w:rPr>
                <w:rFonts w:hint="eastAsia"/>
                <w:color w:val="auto"/>
                <w:szCs w:val="21"/>
                <w:highlight w:val="none"/>
              </w:rPr>
            </w:pPr>
            <w:r>
              <w:rPr>
                <w:rFonts w:hint="eastAsia"/>
                <w:color w:val="auto"/>
                <w:szCs w:val="21"/>
                <w:highlight w:val="none"/>
              </w:rPr>
              <w:t>节能产品（如有）</w:t>
            </w:r>
          </w:p>
        </w:tc>
        <w:tc>
          <w:tcPr>
            <w:tcW w:w="5144" w:type="dxa"/>
            <w:noWrap w:val="0"/>
            <w:vAlign w:val="center"/>
          </w:tcPr>
          <w:p w14:paraId="44833A30">
            <w:pPr>
              <w:spacing w:line="240" w:lineRule="exact"/>
              <w:rPr>
                <w:rFonts w:hint="eastAsia" w:ascii="宋体" w:hAnsi="宋体"/>
                <w:color w:val="auto"/>
                <w:szCs w:val="21"/>
                <w:highlight w:val="none"/>
              </w:rPr>
            </w:pPr>
            <w:r>
              <w:rPr>
                <w:rFonts w:hint="eastAsia"/>
                <w:color w:val="auto"/>
                <w:szCs w:val="21"/>
                <w:highlight w:val="none"/>
              </w:rPr>
              <w:t>采购需求</w:t>
            </w:r>
            <w:r>
              <w:rPr>
                <w:color w:val="auto"/>
                <w:szCs w:val="21"/>
                <w:highlight w:val="none"/>
              </w:rPr>
              <w:t>如果包括政府强制采购节能产品</w:t>
            </w:r>
            <w:r>
              <w:rPr>
                <w:rFonts w:hint="eastAsia"/>
                <w:color w:val="auto"/>
                <w:szCs w:val="21"/>
                <w:highlight w:val="none"/>
              </w:rPr>
              <w:t>，投标</w:t>
            </w:r>
            <w:r>
              <w:rPr>
                <w:color w:val="auto"/>
                <w:szCs w:val="21"/>
                <w:highlight w:val="none"/>
              </w:rPr>
              <w:t>产品</w:t>
            </w:r>
            <w:r>
              <w:rPr>
                <w:rFonts w:hint="eastAsia"/>
                <w:color w:val="auto"/>
                <w:szCs w:val="21"/>
                <w:highlight w:val="none"/>
              </w:rPr>
              <w:t>未使用节能产品政府采购品目清单内的产品，或未处于有效期之内，</w:t>
            </w:r>
            <w:r>
              <w:rPr>
                <w:rFonts w:ascii="宋体" w:hAnsi="宋体"/>
                <w:color w:val="auto"/>
                <w:szCs w:val="21"/>
                <w:highlight w:val="none"/>
              </w:rPr>
              <w:t>见第六章投标文件格式要求</w:t>
            </w:r>
          </w:p>
        </w:tc>
      </w:tr>
      <w:tr w14:paraId="451F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1559" w:type="dxa"/>
            <w:vMerge w:val="continue"/>
            <w:noWrap w:val="0"/>
            <w:vAlign w:val="center"/>
          </w:tcPr>
          <w:p w14:paraId="56115DA5">
            <w:pPr>
              <w:jc w:val="center"/>
              <w:rPr>
                <w:rFonts w:hint="eastAsia"/>
                <w:color w:val="auto"/>
                <w:szCs w:val="21"/>
                <w:highlight w:val="none"/>
                <w:lang w:eastAsia="zh-CN"/>
              </w:rPr>
            </w:pPr>
          </w:p>
        </w:tc>
        <w:tc>
          <w:tcPr>
            <w:tcW w:w="2405" w:type="dxa"/>
            <w:noWrap w:val="0"/>
            <w:vAlign w:val="center"/>
          </w:tcPr>
          <w:p w14:paraId="7A06564F">
            <w:pPr>
              <w:spacing w:line="240" w:lineRule="exact"/>
              <w:rPr>
                <w:rFonts w:hint="eastAsia"/>
                <w:color w:val="auto"/>
                <w:szCs w:val="21"/>
                <w:highlight w:val="none"/>
              </w:rPr>
            </w:pPr>
            <w:r>
              <w:rPr>
                <w:rFonts w:hint="eastAsia"/>
                <w:color w:val="auto"/>
                <w:szCs w:val="21"/>
                <w:highlight w:val="none"/>
              </w:rPr>
              <w:t>网络安全专用产品（如有）</w:t>
            </w:r>
          </w:p>
        </w:tc>
        <w:tc>
          <w:tcPr>
            <w:tcW w:w="5144" w:type="dxa"/>
            <w:noWrap w:val="0"/>
            <w:vAlign w:val="center"/>
          </w:tcPr>
          <w:p w14:paraId="6983268D">
            <w:pPr>
              <w:spacing w:line="240" w:lineRule="exact"/>
              <w:rPr>
                <w:rFonts w:hint="eastAsia" w:ascii="宋体" w:hAnsi="宋体"/>
                <w:color w:val="auto"/>
                <w:szCs w:val="21"/>
                <w:highlight w:val="none"/>
              </w:rPr>
            </w:pPr>
            <w:r>
              <w:rPr>
                <w:color w:val="auto"/>
                <w:szCs w:val="21"/>
                <w:highlight w:val="none"/>
              </w:rPr>
              <w:t>采购</w:t>
            </w:r>
            <w:r>
              <w:rPr>
                <w:rFonts w:hint="eastAsia"/>
                <w:color w:val="auto"/>
                <w:szCs w:val="21"/>
                <w:highlight w:val="none"/>
              </w:rPr>
              <w:t>需求</w:t>
            </w:r>
            <w:r>
              <w:rPr>
                <w:color w:val="auto"/>
                <w:szCs w:val="21"/>
                <w:highlight w:val="none"/>
              </w:rPr>
              <w:t>如果包括《</w:t>
            </w:r>
            <w:r>
              <w:rPr>
                <w:rFonts w:hint="eastAsia"/>
                <w:color w:val="auto"/>
                <w:szCs w:val="21"/>
                <w:highlight w:val="none"/>
              </w:rPr>
              <w:t>网络关键设备和网络安全专用产品目录</w:t>
            </w:r>
            <w:r>
              <w:rPr>
                <w:color w:val="auto"/>
                <w:szCs w:val="21"/>
                <w:highlight w:val="none"/>
              </w:rPr>
              <w:t>》</w:t>
            </w:r>
            <w:r>
              <w:rPr>
                <w:rFonts w:hint="eastAsia"/>
                <w:color w:val="auto"/>
                <w:szCs w:val="21"/>
                <w:highlight w:val="none"/>
              </w:rPr>
              <w:t>所规定的网络安全专用产品，投标提供的网络安全专用产品</w:t>
            </w:r>
            <w:r>
              <w:rPr>
                <w:color w:val="auto"/>
                <w:szCs w:val="21"/>
                <w:highlight w:val="none"/>
              </w:rPr>
              <w:t>应</w:t>
            </w:r>
            <w:r>
              <w:rPr>
                <w:rFonts w:hint="eastAsia"/>
                <w:color w:val="auto"/>
                <w:szCs w:val="21"/>
                <w:highlight w:val="none"/>
              </w:rPr>
              <w:t>在</w:t>
            </w:r>
            <w:r>
              <w:rPr>
                <w:rFonts w:hint="eastAsia"/>
                <w:color w:val="auto"/>
                <w:highlight w:val="none"/>
              </w:rPr>
              <w:t>《网络关键设备和网络安全专用产品安全认证和安全检测结果》</w:t>
            </w:r>
            <w:r>
              <w:rPr>
                <w:rFonts w:hint="eastAsia"/>
                <w:color w:val="auto"/>
                <w:szCs w:val="21"/>
                <w:highlight w:val="none"/>
              </w:rPr>
              <w:t>中或具备在有效期内的</w:t>
            </w:r>
            <w:r>
              <w:rPr>
                <w:rFonts w:hint="eastAsia"/>
                <w:color w:val="auto"/>
                <w:highlight w:val="none"/>
              </w:rPr>
              <w:t>《计算机信息系统安全专用产品销售许可证》</w:t>
            </w:r>
            <w:r>
              <w:rPr>
                <w:rFonts w:hint="eastAsia"/>
                <w:color w:val="auto"/>
                <w:szCs w:val="21"/>
                <w:highlight w:val="none"/>
              </w:rPr>
              <w:t>，</w:t>
            </w:r>
            <w:r>
              <w:rPr>
                <w:rFonts w:ascii="宋体" w:hAnsi="宋体"/>
                <w:color w:val="auto"/>
                <w:szCs w:val="21"/>
                <w:highlight w:val="none"/>
              </w:rPr>
              <w:t>见第六章投标文件格式要求</w:t>
            </w:r>
            <w:r>
              <w:rPr>
                <w:rFonts w:hint="eastAsia" w:ascii="宋体" w:hAnsi="宋体"/>
                <w:color w:val="auto"/>
                <w:szCs w:val="21"/>
                <w:highlight w:val="none"/>
              </w:rPr>
              <w:t>。</w:t>
            </w:r>
          </w:p>
        </w:tc>
      </w:tr>
      <w:tr w14:paraId="3797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559" w:type="dxa"/>
            <w:vMerge w:val="restart"/>
            <w:noWrap w:val="0"/>
            <w:vAlign w:val="center"/>
          </w:tcPr>
          <w:p w14:paraId="4172DB85">
            <w:pPr>
              <w:jc w:val="center"/>
              <w:rPr>
                <w:color w:val="auto"/>
                <w:szCs w:val="21"/>
                <w:highlight w:val="none"/>
              </w:rPr>
            </w:pPr>
            <w:r>
              <w:rPr>
                <w:rFonts w:hint="eastAsia"/>
                <w:color w:val="auto"/>
                <w:szCs w:val="21"/>
                <w:highlight w:val="none"/>
              </w:rPr>
              <w:t>报价</w:t>
            </w:r>
          </w:p>
        </w:tc>
        <w:tc>
          <w:tcPr>
            <w:tcW w:w="2405" w:type="dxa"/>
            <w:noWrap w:val="0"/>
            <w:vAlign w:val="center"/>
          </w:tcPr>
          <w:p w14:paraId="2F0D3E7E">
            <w:pPr>
              <w:rPr>
                <w:color w:val="auto"/>
                <w:szCs w:val="21"/>
                <w:highlight w:val="none"/>
              </w:rPr>
            </w:pPr>
            <w:r>
              <w:rPr>
                <w:rFonts w:hint="eastAsia"/>
                <w:color w:val="auto"/>
                <w:szCs w:val="21"/>
                <w:highlight w:val="none"/>
              </w:rPr>
              <w:t>有效报价</w:t>
            </w:r>
          </w:p>
        </w:tc>
        <w:tc>
          <w:tcPr>
            <w:tcW w:w="5144" w:type="dxa"/>
            <w:noWrap w:val="0"/>
            <w:vAlign w:val="center"/>
          </w:tcPr>
          <w:p w14:paraId="7E4327DF">
            <w:pPr>
              <w:rPr>
                <w:bCs/>
                <w:color w:val="auto"/>
                <w:szCs w:val="21"/>
                <w:highlight w:val="none"/>
              </w:rPr>
            </w:pPr>
            <w:r>
              <w:rPr>
                <w:bCs/>
                <w:color w:val="auto"/>
                <w:szCs w:val="21"/>
                <w:highlight w:val="none"/>
              </w:rPr>
              <w:t>报价未超过采购预算金额（含分项预算金额）</w:t>
            </w:r>
          </w:p>
        </w:tc>
      </w:tr>
      <w:tr w14:paraId="1D4E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559" w:type="dxa"/>
            <w:vMerge w:val="continue"/>
            <w:noWrap w:val="0"/>
            <w:vAlign w:val="center"/>
          </w:tcPr>
          <w:p w14:paraId="63C561E7">
            <w:pPr>
              <w:jc w:val="center"/>
              <w:rPr>
                <w:color w:val="auto"/>
                <w:szCs w:val="21"/>
                <w:highlight w:val="none"/>
              </w:rPr>
            </w:pPr>
          </w:p>
        </w:tc>
        <w:tc>
          <w:tcPr>
            <w:tcW w:w="2405" w:type="dxa"/>
            <w:noWrap w:val="0"/>
            <w:vAlign w:val="center"/>
          </w:tcPr>
          <w:p w14:paraId="6F3CEA66">
            <w:pPr>
              <w:rPr>
                <w:bCs/>
                <w:color w:val="auto"/>
                <w:szCs w:val="21"/>
                <w:highlight w:val="none"/>
              </w:rPr>
            </w:pPr>
            <w:r>
              <w:rPr>
                <w:rFonts w:hint="eastAsia"/>
                <w:bCs/>
                <w:color w:val="auto"/>
                <w:szCs w:val="21"/>
                <w:highlight w:val="none"/>
              </w:rPr>
              <w:t>漏项报价</w:t>
            </w:r>
          </w:p>
        </w:tc>
        <w:tc>
          <w:tcPr>
            <w:tcW w:w="5144" w:type="dxa"/>
            <w:noWrap w:val="0"/>
            <w:vAlign w:val="center"/>
          </w:tcPr>
          <w:p w14:paraId="255C55D7">
            <w:pPr>
              <w:rPr>
                <w:rFonts w:hAnsi="宋体"/>
                <w:color w:val="auto"/>
                <w:szCs w:val="21"/>
                <w:highlight w:val="none"/>
              </w:rPr>
            </w:pPr>
            <w:r>
              <w:rPr>
                <w:rFonts w:hint="eastAsia" w:ascii="宋体" w:hAnsi="宋体"/>
                <w:color w:val="auto"/>
                <w:szCs w:val="21"/>
                <w:highlight w:val="none"/>
              </w:rPr>
              <w:t>未就所投分标进行报价或者存在漏项报价；</w:t>
            </w:r>
          </w:p>
        </w:tc>
      </w:tr>
      <w:tr w14:paraId="43E3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559" w:type="dxa"/>
            <w:vMerge w:val="continue"/>
            <w:noWrap w:val="0"/>
            <w:vAlign w:val="center"/>
          </w:tcPr>
          <w:p w14:paraId="276D9145">
            <w:pPr>
              <w:jc w:val="center"/>
              <w:rPr>
                <w:color w:val="auto"/>
                <w:szCs w:val="21"/>
                <w:highlight w:val="none"/>
              </w:rPr>
            </w:pPr>
          </w:p>
        </w:tc>
        <w:tc>
          <w:tcPr>
            <w:tcW w:w="2405" w:type="dxa"/>
            <w:noWrap w:val="0"/>
            <w:vAlign w:val="center"/>
          </w:tcPr>
          <w:p w14:paraId="1902594E">
            <w:pPr>
              <w:rPr>
                <w:rFonts w:hAnsi="宋体"/>
                <w:color w:val="auto"/>
                <w:szCs w:val="21"/>
                <w:highlight w:val="none"/>
              </w:rPr>
            </w:pPr>
            <w:r>
              <w:rPr>
                <w:rFonts w:hint="eastAsia" w:hAnsi="宋体"/>
                <w:color w:val="auto"/>
                <w:szCs w:val="21"/>
                <w:highlight w:val="none"/>
              </w:rPr>
              <w:t>投标报价唯一性</w:t>
            </w:r>
          </w:p>
        </w:tc>
        <w:tc>
          <w:tcPr>
            <w:tcW w:w="5144" w:type="dxa"/>
            <w:noWrap w:val="0"/>
            <w:vAlign w:val="center"/>
          </w:tcPr>
          <w:p w14:paraId="7DEC5C62">
            <w:pPr>
              <w:rPr>
                <w:color w:val="auto"/>
                <w:szCs w:val="21"/>
                <w:highlight w:val="none"/>
              </w:rPr>
            </w:pPr>
            <w:r>
              <w:rPr>
                <w:rFonts w:hint="eastAsia" w:ascii="宋体" w:hAnsi="宋体"/>
                <w:color w:val="auto"/>
                <w:szCs w:val="21"/>
                <w:highlight w:val="none"/>
              </w:rPr>
              <w:t>不存在有选择、有条件报价（招标文件允许有备选方案或者其他约定的除外）</w:t>
            </w:r>
          </w:p>
        </w:tc>
      </w:tr>
      <w:tr w14:paraId="0C95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1559" w:type="dxa"/>
            <w:vMerge w:val="continue"/>
            <w:noWrap w:val="0"/>
            <w:vAlign w:val="center"/>
          </w:tcPr>
          <w:p w14:paraId="1DA7979D">
            <w:pPr>
              <w:jc w:val="center"/>
              <w:rPr>
                <w:color w:val="auto"/>
                <w:szCs w:val="21"/>
                <w:highlight w:val="none"/>
              </w:rPr>
            </w:pPr>
          </w:p>
        </w:tc>
        <w:tc>
          <w:tcPr>
            <w:tcW w:w="2405" w:type="dxa"/>
            <w:noWrap w:val="0"/>
            <w:vAlign w:val="center"/>
          </w:tcPr>
          <w:p w14:paraId="3162239A">
            <w:pPr>
              <w:rPr>
                <w:color w:val="auto"/>
                <w:szCs w:val="21"/>
                <w:highlight w:val="none"/>
                <w:lang w:val="zh-CN"/>
              </w:rPr>
            </w:pPr>
            <w:r>
              <w:rPr>
                <w:rFonts w:hint="eastAsia"/>
                <w:color w:val="auto"/>
                <w:szCs w:val="21"/>
                <w:highlight w:val="none"/>
                <w:lang w:val="zh-CN"/>
              </w:rPr>
              <w:t>过低报价合理性</w:t>
            </w:r>
          </w:p>
        </w:tc>
        <w:tc>
          <w:tcPr>
            <w:tcW w:w="5144" w:type="dxa"/>
            <w:noWrap w:val="0"/>
            <w:vAlign w:val="center"/>
          </w:tcPr>
          <w:p w14:paraId="252E7D9A">
            <w:pPr>
              <w:rPr>
                <w:rFonts w:hAnsi="宋体"/>
                <w:color w:val="auto"/>
                <w:szCs w:val="21"/>
                <w:highlight w:val="none"/>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eastAsia="zh-CN"/>
              </w:rPr>
              <w:t>的</w:t>
            </w:r>
            <w:r>
              <w:rPr>
                <w:rFonts w:hint="eastAsia"/>
                <w:color w:val="auto"/>
                <w:highlight w:val="none"/>
                <w:lang w:val="en-US" w:eastAsia="zh-CN"/>
              </w:rPr>
              <w:t>情形，评标委员会</w:t>
            </w:r>
            <w:r>
              <w:rPr>
                <w:rFonts w:hint="eastAsia"/>
                <w:color w:val="auto"/>
                <w:szCs w:val="21"/>
                <w:highlight w:val="none"/>
              </w:rPr>
              <w:t>应当要求其在评标现场合理的时间内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评标委员会</w:t>
            </w:r>
            <w:r>
              <w:rPr>
                <w:rFonts w:hint="eastAsia"/>
                <w:color w:val="auto"/>
                <w:highlight w:val="none"/>
              </w:rPr>
              <w:t>应当将其作为无效投标处理。</w:t>
            </w:r>
          </w:p>
        </w:tc>
      </w:tr>
      <w:tr w14:paraId="0F29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559" w:type="dxa"/>
            <w:vMerge w:val="continue"/>
            <w:noWrap w:val="0"/>
            <w:vAlign w:val="center"/>
          </w:tcPr>
          <w:p w14:paraId="05A15CF4">
            <w:pPr>
              <w:jc w:val="center"/>
              <w:rPr>
                <w:color w:val="auto"/>
                <w:szCs w:val="21"/>
                <w:highlight w:val="none"/>
              </w:rPr>
            </w:pPr>
          </w:p>
        </w:tc>
        <w:tc>
          <w:tcPr>
            <w:tcW w:w="2405" w:type="dxa"/>
            <w:noWrap w:val="0"/>
            <w:vAlign w:val="center"/>
          </w:tcPr>
          <w:p w14:paraId="4AC615B9">
            <w:pPr>
              <w:rPr>
                <w:color w:val="auto"/>
                <w:szCs w:val="21"/>
                <w:highlight w:val="none"/>
                <w:lang w:val="zh-CN"/>
              </w:rPr>
            </w:pPr>
            <w:r>
              <w:rPr>
                <w:rFonts w:hint="eastAsia"/>
                <w:color w:val="auto"/>
                <w:szCs w:val="21"/>
                <w:highlight w:val="none"/>
              </w:rPr>
              <w:t>投标有效期</w:t>
            </w:r>
          </w:p>
        </w:tc>
        <w:tc>
          <w:tcPr>
            <w:tcW w:w="5144" w:type="dxa"/>
            <w:noWrap w:val="0"/>
            <w:vAlign w:val="center"/>
          </w:tcPr>
          <w:p w14:paraId="1787DE5C">
            <w:pPr>
              <w:rPr>
                <w:color w:val="auto"/>
                <w:highlight w:val="none"/>
              </w:rPr>
            </w:pPr>
            <w:r>
              <w:rPr>
                <w:rFonts w:hint="eastAsia" w:ascii="宋体" w:hAnsi="宋体"/>
                <w:color w:val="auto"/>
                <w:szCs w:val="21"/>
                <w:highlight w:val="none"/>
              </w:rPr>
              <w:t>满足招标文件规定</w:t>
            </w:r>
            <w:bookmarkEnd w:id="186"/>
          </w:p>
        </w:tc>
      </w:tr>
    </w:tbl>
    <w:p w14:paraId="2CB82C08">
      <w:pPr>
        <w:spacing w:before="120" w:line="320" w:lineRule="atLeast"/>
        <w:ind w:firstLine="413"/>
        <w:outlineLvl w:val="1"/>
        <w:rPr>
          <w:b/>
          <w:bCs/>
          <w:color w:val="auto"/>
          <w:szCs w:val="21"/>
          <w:highlight w:val="none"/>
        </w:rPr>
      </w:pPr>
      <w:bookmarkStart w:id="187" w:name="_Hlk19113393"/>
      <w:r>
        <w:rPr>
          <w:b/>
          <w:bCs/>
          <w:color w:val="auto"/>
          <w:szCs w:val="21"/>
          <w:highlight w:val="none"/>
        </w:rPr>
        <w:t>4.</w:t>
      </w:r>
      <w:r>
        <w:rPr>
          <w:rFonts w:hint="eastAsia"/>
          <w:b/>
          <w:bCs/>
          <w:color w:val="auto"/>
          <w:szCs w:val="21"/>
          <w:highlight w:val="none"/>
        </w:rPr>
        <w:t>评分</w:t>
      </w:r>
      <w:r>
        <w:rPr>
          <w:b/>
          <w:bCs/>
          <w:color w:val="auto"/>
          <w:szCs w:val="21"/>
          <w:highlight w:val="none"/>
        </w:rPr>
        <w:t>标准</w:t>
      </w:r>
      <w:bookmarkEnd w:id="187"/>
      <w:bookmarkStart w:id="188" w:name="_Hlk77609326"/>
      <w:bookmarkEnd w:id="188"/>
    </w:p>
    <w:p w14:paraId="12B08C5B">
      <w:pPr>
        <w:pStyle w:val="27"/>
        <w:numPr>
          <w:ilvl w:val="0"/>
          <w:numId w:val="0"/>
        </w:numPr>
        <w:spacing w:before="120" w:after="120" w:line="320" w:lineRule="exact"/>
        <w:jc w:val="both"/>
        <w:outlineLvl w:val="0"/>
        <w:rPr>
          <w:rFonts w:hint="eastAsia" w:ascii="Times New Roman" w:hAnsi="Times New Roman" w:cs="Times New Roman"/>
          <w:b/>
          <w:bCs/>
          <w:color w:val="auto"/>
          <w:sz w:val="28"/>
          <w:szCs w:val="28"/>
          <w:highlight w:val="none"/>
          <w:lang w:eastAsia="zh-CN"/>
        </w:rPr>
      </w:pPr>
      <w:bookmarkStart w:id="189" w:name="_Toc18099"/>
      <w:r>
        <w:rPr>
          <w:rFonts w:hint="eastAsia" w:ascii="Times New Roman" w:hAnsi="Times New Roman" w:cs="Times New Roman"/>
          <w:b/>
          <w:bCs/>
          <w:color w:val="auto"/>
          <w:sz w:val="28"/>
          <w:szCs w:val="28"/>
          <w:highlight w:val="none"/>
          <w:lang w:eastAsia="zh-CN"/>
        </w:rPr>
        <w:t>【适用于标项一：检验设备一套】</w:t>
      </w:r>
      <w:bookmarkEnd w:id="189"/>
    </w:p>
    <w:tbl>
      <w:tblPr>
        <w:tblStyle w:val="56"/>
        <w:tblW w:w="10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564"/>
        <w:gridCol w:w="1080"/>
        <w:gridCol w:w="5506"/>
        <w:gridCol w:w="763"/>
        <w:gridCol w:w="2201"/>
      </w:tblGrid>
      <w:tr w14:paraId="1104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20BC5FE3">
            <w:pPr>
              <w:spacing w:line="360" w:lineRule="exact"/>
              <w:jc w:val="center"/>
              <w:rPr>
                <w:rFonts w:ascii="Arial" w:hAnsi="Arial" w:cs="Arial"/>
                <w:b/>
                <w:color w:val="auto"/>
                <w:szCs w:val="21"/>
                <w:highlight w:val="none"/>
              </w:rPr>
            </w:pPr>
            <w:r>
              <w:rPr>
                <w:rFonts w:ascii="Arial" w:hAnsi="Arial" w:cs="Arial"/>
                <w:b/>
                <w:color w:val="auto"/>
                <w:szCs w:val="21"/>
                <w:highlight w:val="none"/>
              </w:rPr>
              <w:t>序号</w:t>
            </w:r>
          </w:p>
        </w:tc>
        <w:tc>
          <w:tcPr>
            <w:tcW w:w="564" w:type="dxa"/>
            <w:noWrap w:val="0"/>
            <w:vAlign w:val="center"/>
          </w:tcPr>
          <w:p w14:paraId="5F300276">
            <w:pPr>
              <w:spacing w:line="360" w:lineRule="exact"/>
              <w:jc w:val="center"/>
              <w:rPr>
                <w:rFonts w:ascii="Arial" w:hAnsi="Arial" w:cs="Arial"/>
                <w:b/>
                <w:color w:val="auto"/>
                <w:szCs w:val="21"/>
                <w:highlight w:val="none"/>
              </w:rPr>
            </w:pPr>
            <w:r>
              <w:rPr>
                <w:rFonts w:ascii="Arial" w:hAnsi="Arial" w:cs="Arial"/>
                <w:b/>
                <w:color w:val="auto"/>
                <w:szCs w:val="21"/>
                <w:highlight w:val="none"/>
              </w:rPr>
              <w:t>类型</w:t>
            </w:r>
          </w:p>
        </w:tc>
        <w:tc>
          <w:tcPr>
            <w:tcW w:w="1080" w:type="dxa"/>
            <w:noWrap w:val="0"/>
            <w:vAlign w:val="center"/>
          </w:tcPr>
          <w:p w14:paraId="21C80726">
            <w:pPr>
              <w:spacing w:line="360" w:lineRule="exact"/>
              <w:jc w:val="center"/>
              <w:rPr>
                <w:rFonts w:ascii="Arial" w:hAnsi="Arial" w:cs="Arial"/>
                <w:b/>
                <w:color w:val="auto"/>
                <w:szCs w:val="21"/>
                <w:highlight w:val="none"/>
              </w:rPr>
            </w:pPr>
            <w:r>
              <w:rPr>
                <w:rFonts w:ascii="Arial" w:hAnsi="Arial" w:cs="Arial"/>
                <w:b/>
                <w:color w:val="auto"/>
                <w:szCs w:val="21"/>
                <w:highlight w:val="none"/>
              </w:rPr>
              <w:t>评标因素</w:t>
            </w:r>
          </w:p>
        </w:tc>
        <w:tc>
          <w:tcPr>
            <w:tcW w:w="5506" w:type="dxa"/>
            <w:noWrap w:val="0"/>
            <w:vAlign w:val="center"/>
          </w:tcPr>
          <w:p w14:paraId="6D93846E">
            <w:pPr>
              <w:spacing w:line="360" w:lineRule="exact"/>
              <w:jc w:val="center"/>
              <w:rPr>
                <w:rFonts w:ascii="Arial" w:hAnsi="Arial" w:cs="Arial"/>
                <w:b/>
                <w:color w:val="auto"/>
                <w:szCs w:val="21"/>
                <w:highlight w:val="none"/>
              </w:rPr>
            </w:pPr>
            <w:r>
              <w:rPr>
                <w:rFonts w:ascii="Arial" w:hAnsi="Arial" w:cs="Arial"/>
                <w:b/>
                <w:color w:val="auto"/>
                <w:szCs w:val="21"/>
                <w:highlight w:val="none"/>
              </w:rPr>
              <w:t>评分标准</w:t>
            </w:r>
          </w:p>
        </w:tc>
        <w:tc>
          <w:tcPr>
            <w:tcW w:w="763" w:type="dxa"/>
            <w:noWrap w:val="0"/>
            <w:vAlign w:val="center"/>
          </w:tcPr>
          <w:p w14:paraId="2BE95014">
            <w:pPr>
              <w:spacing w:line="360" w:lineRule="exact"/>
              <w:jc w:val="center"/>
              <w:rPr>
                <w:rFonts w:ascii="Arial" w:hAnsi="Arial" w:cs="Arial"/>
                <w:b/>
                <w:color w:val="auto"/>
                <w:szCs w:val="21"/>
                <w:highlight w:val="none"/>
              </w:rPr>
            </w:pPr>
            <w:r>
              <w:rPr>
                <w:rFonts w:ascii="Arial" w:hAnsi="Arial" w:cs="Arial"/>
                <w:b/>
                <w:color w:val="auto"/>
                <w:szCs w:val="21"/>
                <w:highlight w:val="none"/>
              </w:rPr>
              <w:t>分值权重</w:t>
            </w:r>
          </w:p>
        </w:tc>
        <w:tc>
          <w:tcPr>
            <w:tcW w:w="2201" w:type="dxa"/>
            <w:noWrap w:val="0"/>
            <w:vAlign w:val="center"/>
          </w:tcPr>
          <w:p w14:paraId="04BDA5C6">
            <w:pPr>
              <w:spacing w:line="360" w:lineRule="exact"/>
              <w:jc w:val="center"/>
              <w:rPr>
                <w:rFonts w:ascii="Arial" w:hAnsi="Arial" w:cs="Arial"/>
                <w:b/>
                <w:color w:val="auto"/>
                <w:szCs w:val="21"/>
                <w:highlight w:val="none"/>
              </w:rPr>
            </w:pPr>
            <w:r>
              <w:rPr>
                <w:rFonts w:ascii="Arial" w:hAnsi="Arial" w:cs="Arial"/>
                <w:b/>
                <w:color w:val="auto"/>
                <w:szCs w:val="21"/>
                <w:highlight w:val="none"/>
              </w:rPr>
              <w:t>说明</w:t>
            </w:r>
          </w:p>
        </w:tc>
      </w:tr>
      <w:tr w14:paraId="1136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523" w:type="dxa"/>
            <w:noWrap w:val="0"/>
            <w:vAlign w:val="center"/>
          </w:tcPr>
          <w:p w14:paraId="3775CBFB">
            <w:pPr>
              <w:spacing w:line="360" w:lineRule="exact"/>
              <w:jc w:val="center"/>
              <w:rPr>
                <w:rFonts w:hint="eastAsia" w:ascii="Arial" w:hAnsi="Arial" w:eastAsia="宋体" w:cs="Arial"/>
                <w:b/>
                <w:color w:val="auto"/>
                <w:sz w:val="21"/>
                <w:szCs w:val="21"/>
                <w:highlight w:val="none"/>
                <w:lang w:val="en-US" w:eastAsia="zh-CN"/>
              </w:rPr>
            </w:pPr>
            <w:r>
              <w:rPr>
                <w:rFonts w:hint="eastAsia" w:ascii="Arial" w:hAnsi="Arial" w:cs="Arial"/>
                <w:b/>
                <w:color w:val="auto"/>
                <w:szCs w:val="21"/>
                <w:highlight w:val="none"/>
                <w:lang w:val="en-US" w:eastAsia="zh-CN"/>
              </w:rPr>
              <w:t>1</w:t>
            </w:r>
          </w:p>
        </w:tc>
        <w:tc>
          <w:tcPr>
            <w:tcW w:w="564" w:type="dxa"/>
            <w:noWrap w:val="0"/>
            <w:vAlign w:val="center"/>
          </w:tcPr>
          <w:p w14:paraId="51810595">
            <w:pPr>
              <w:spacing w:line="360" w:lineRule="exact"/>
              <w:jc w:val="center"/>
              <w:rPr>
                <w:rFonts w:ascii="Arial" w:hAnsi="Arial" w:cs="Arial"/>
                <w:color w:val="auto"/>
                <w:sz w:val="21"/>
                <w:szCs w:val="21"/>
                <w:highlight w:val="none"/>
              </w:rPr>
            </w:pPr>
            <w:r>
              <w:rPr>
                <w:rFonts w:ascii="Arial" w:hAnsi="Arial" w:cs="Arial"/>
                <w:color w:val="auto"/>
                <w:szCs w:val="21"/>
                <w:highlight w:val="none"/>
              </w:rPr>
              <w:t>价格分</w:t>
            </w:r>
          </w:p>
        </w:tc>
        <w:tc>
          <w:tcPr>
            <w:tcW w:w="1080" w:type="dxa"/>
            <w:noWrap w:val="0"/>
            <w:vAlign w:val="center"/>
          </w:tcPr>
          <w:p w14:paraId="388C4B19">
            <w:pPr>
              <w:spacing w:line="360" w:lineRule="exact"/>
              <w:jc w:val="center"/>
              <w:rPr>
                <w:rFonts w:ascii="Arial" w:hAnsi="Arial" w:cs="Arial"/>
                <w:color w:val="auto"/>
                <w:szCs w:val="21"/>
                <w:highlight w:val="none"/>
              </w:rPr>
            </w:pPr>
            <w:r>
              <w:rPr>
                <w:rFonts w:ascii="Arial" w:hAnsi="Arial" w:cs="Arial"/>
                <w:color w:val="auto"/>
                <w:szCs w:val="21"/>
                <w:highlight w:val="none"/>
              </w:rPr>
              <w:t>价格分</w:t>
            </w:r>
          </w:p>
          <w:p w14:paraId="50F66E22">
            <w:pPr>
              <w:spacing w:line="360" w:lineRule="exact"/>
              <w:jc w:val="center"/>
              <w:rPr>
                <w:rFonts w:ascii="Arial" w:hAnsi="Arial" w:cs="Arial"/>
                <w:color w:val="auto"/>
                <w:sz w:val="21"/>
                <w:szCs w:val="21"/>
                <w:highlight w:val="none"/>
              </w:rPr>
            </w:pPr>
            <w:r>
              <w:rPr>
                <w:rFonts w:hint="eastAsia" w:ascii="Arial" w:hAnsi="Arial" w:cs="Arial"/>
                <w:color w:val="auto"/>
                <w:szCs w:val="21"/>
                <w:highlight w:val="none"/>
              </w:rPr>
              <w:t>（客观分）</w:t>
            </w:r>
          </w:p>
        </w:tc>
        <w:tc>
          <w:tcPr>
            <w:tcW w:w="5506" w:type="dxa"/>
            <w:noWrap w:val="0"/>
            <w:vAlign w:val="center"/>
          </w:tcPr>
          <w:p w14:paraId="5E2D5D81">
            <w:pPr>
              <w:keepNext w:val="0"/>
              <w:keepLines w:val="0"/>
              <w:widowControl/>
              <w:suppressLineNumbers w:val="0"/>
              <w:jc w:val="left"/>
              <w:rPr>
                <w:rFonts w:hint="default" w:ascii="HYShuSongErKW" w:hAnsi="HYShuSongErKW" w:eastAsia="HYShuSongErKW" w:cs="HYShuSongErKW"/>
                <w:color w:val="auto"/>
                <w:sz w:val="21"/>
                <w:szCs w:val="21"/>
                <w:highlight w:val="none"/>
                <w:lang w:val="en-US" w:eastAsia="zh-CN" w:bidi="ar"/>
              </w:rPr>
            </w:pPr>
            <w:r>
              <w:rPr>
                <w:rFonts w:ascii="HYShuSongErKW" w:hAnsi="HYShuSongErKW" w:eastAsia="HYShuSongErKW" w:cs="HYShuSongErKW"/>
                <w:color w:val="auto"/>
                <w:sz w:val="21"/>
                <w:szCs w:val="21"/>
                <w:highlight w:val="none"/>
                <w:lang w:val="en-US" w:eastAsia="zh-CN" w:bidi="ar"/>
              </w:rPr>
              <w:t>以满足招标文件要求且投标价格最低的投标报</w:t>
            </w:r>
            <w:r>
              <w:rPr>
                <w:rFonts w:hint="default" w:ascii="HYShuSongErKW" w:hAnsi="HYShuSongErKW" w:eastAsia="HYShuSongErKW" w:cs="HYShuSongErKW"/>
                <w:color w:val="auto"/>
                <w:sz w:val="21"/>
                <w:szCs w:val="21"/>
                <w:highlight w:val="none"/>
                <w:lang w:val="en-US" w:eastAsia="zh-CN" w:bidi="ar"/>
              </w:rPr>
              <w:t xml:space="preserve">价为评标基准价，其价格分为 </w:t>
            </w:r>
            <w:r>
              <w:rPr>
                <w:rFonts w:ascii="Arial" w:hAnsi="Arial" w:eastAsia="宋体" w:cs="Arial"/>
                <w:color w:val="auto"/>
                <w:sz w:val="21"/>
                <w:szCs w:val="21"/>
                <w:highlight w:val="none"/>
                <w:lang w:val="en-US" w:eastAsia="zh-CN" w:bidi="ar"/>
              </w:rPr>
              <w:t xml:space="preserve">30 </w:t>
            </w:r>
            <w:r>
              <w:rPr>
                <w:rFonts w:hint="default" w:ascii="HYShuSongErKW" w:hAnsi="HYShuSongErKW" w:eastAsia="HYShuSongErKW" w:cs="HYShuSongErKW"/>
                <w:color w:val="auto"/>
                <w:sz w:val="21"/>
                <w:szCs w:val="21"/>
                <w:highlight w:val="none"/>
                <w:lang w:val="en-US" w:eastAsia="zh-CN" w:bidi="ar"/>
              </w:rPr>
              <w:t>分。其他供应商的价格分统一按照下列公式计算：</w:t>
            </w:r>
          </w:p>
          <w:p w14:paraId="57E4CE25">
            <w:pPr>
              <w:keepNext w:val="0"/>
              <w:keepLines w:val="0"/>
              <w:widowControl/>
              <w:suppressLineNumbers w:val="0"/>
              <w:jc w:val="left"/>
              <w:rPr>
                <w:color w:val="auto"/>
                <w:sz w:val="21"/>
                <w:szCs w:val="21"/>
                <w:highlight w:val="none"/>
              </w:rPr>
            </w:pPr>
            <w:r>
              <w:rPr>
                <w:rFonts w:hint="default" w:ascii="HYShuSongErKW" w:hAnsi="HYShuSongErKW" w:eastAsia="HYShuSongErKW" w:cs="HYShuSongErKW"/>
                <w:color w:val="auto"/>
                <w:sz w:val="21"/>
                <w:szCs w:val="21"/>
                <w:highlight w:val="none"/>
                <w:lang w:val="en-US" w:eastAsia="zh-CN" w:bidi="ar"/>
              </w:rPr>
              <w:t>投标报价得分</w:t>
            </w:r>
            <w:r>
              <w:rPr>
                <w:rFonts w:hint="default" w:ascii="Arial" w:hAnsi="Arial" w:eastAsia="宋体" w:cs="Arial"/>
                <w:color w:val="auto"/>
                <w:sz w:val="21"/>
                <w:szCs w:val="21"/>
                <w:highlight w:val="none"/>
                <w:lang w:val="en-US" w:eastAsia="zh-CN" w:bidi="ar"/>
              </w:rPr>
              <w:t>=</w:t>
            </w:r>
            <w:r>
              <w:rPr>
                <w:rFonts w:hint="default" w:ascii="HYShuSongErKW" w:hAnsi="HYShuSongErKW" w:eastAsia="HYShuSongErKW" w:cs="HYShuSongErKW"/>
                <w:color w:val="auto"/>
                <w:sz w:val="21"/>
                <w:szCs w:val="21"/>
                <w:highlight w:val="none"/>
                <w:lang w:val="en-US" w:eastAsia="zh-CN" w:bidi="ar"/>
              </w:rPr>
              <w:t>（评标基准价</w:t>
            </w:r>
            <w:r>
              <w:rPr>
                <w:rFonts w:hint="default" w:ascii="Arial" w:hAnsi="Arial" w:eastAsia="宋体" w:cs="Arial"/>
                <w:color w:val="auto"/>
                <w:sz w:val="21"/>
                <w:szCs w:val="21"/>
                <w:highlight w:val="none"/>
                <w:lang w:val="en-US" w:eastAsia="zh-CN" w:bidi="ar"/>
              </w:rPr>
              <w:t>/</w:t>
            </w:r>
            <w:r>
              <w:rPr>
                <w:rFonts w:hint="default" w:ascii="HYShuSongErKW" w:hAnsi="HYShuSongErKW" w:eastAsia="HYShuSongErKW" w:cs="HYShuSongErKW"/>
                <w:color w:val="auto"/>
                <w:sz w:val="21"/>
                <w:szCs w:val="21"/>
                <w:highlight w:val="none"/>
                <w:lang w:val="en-US" w:eastAsia="zh-CN" w:bidi="ar"/>
              </w:rPr>
              <w:t>投标报价）</w:t>
            </w:r>
            <w:r>
              <w:rPr>
                <w:rFonts w:hint="default" w:ascii="Arial" w:hAnsi="Arial" w:eastAsia="宋体" w:cs="Arial"/>
                <w:color w:val="auto"/>
                <w:sz w:val="21"/>
                <w:szCs w:val="21"/>
                <w:highlight w:val="none"/>
                <w:lang w:val="en-US" w:eastAsia="zh-CN" w:bidi="ar"/>
              </w:rPr>
              <w:t>×30</w:t>
            </w:r>
            <w:r>
              <w:rPr>
                <w:rFonts w:hint="default" w:ascii="HYShuSongErKW" w:hAnsi="HYShuSongErKW" w:eastAsia="HYShuSongErKW" w:cs="HYShuSongErKW"/>
                <w:color w:val="auto"/>
                <w:sz w:val="21"/>
                <w:szCs w:val="21"/>
                <w:highlight w:val="none"/>
                <w:lang w:val="en-US" w:eastAsia="zh-CN" w:bidi="ar"/>
              </w:rPr>
              <w:t>。</w:t>
            </w:r>
          </w:p>
          <w:p w14:paraId="27464B02">
            <w:pPr>
              <w:spacing w:line="360" w:lineRule="exact"/>
              <w:jc w:val="center"/>
              <w:rPr>
                <w:rFonts w:hint="eastAsia" w:asciiTheme="minorEastAsia" w:hAnsiTheme="minorEastAsia" w:eastAsiaTheme="minorEastAsia" w:cstheme="minorEastAsia"/>
                <w:b/>
                <w:color w:val="auto"/>
                <w:sz w:val="21"/>
                <w:szCs w:val="21"/>
                <w:highlight w:val="none"/>
              </w:rPr>
            </w:pPr>
          </w:p>
        </w:tc>
        <w:tc>
          <w:tcPr>
            <w:tcW w:w="763" w:type="dxa"/>
            <w:noWrap w:val="0"/>
            <w:vAlign w:val="center"/>
          </w:tcPr>
          <w:p w14:paraId="48B362AC">
            <w:pPr>
              <w:spacing w:line="360" w:lineRule="exact"/>
              <w:jc w:val="center"/>
              <w:rPr>
                <w:rFonts w:hint="default" w:ascii="Arial" w:hAnsi="Arial" w:cs="Arial" w:eastAsiaTheme="minorEastAsia"/>
                <w:b/>
                <w:color w:val="auto"/>
                <w:sz w:val="21"/>
                <w:szCs w:val="21"/>
                <w:highlight w:val="none"/>
                <w:lang w:val="en-US" w:eastAsia="zh-CN"/>
              </w:rPr>
            </w:pPr>
            <w:r>
              <w:rPr>
                <w:rFonts w:hint="eastAsia" w:ascii="Arial" w:hAnsi="Arial" w:cs="Arial"/>
                <w:b w:val="0"/>
                <w:bCs/>
                <w:color w:val="auto"/>
                <w:sz w:val="21"/>
                <w:szCs w:val="21"/>
                <w:highlight w:val="none"/>
                <w:lang w:val="en-US" w:eastAsia="zh-CN"/>
              </w:rPr>
              <w:t>0-30</w:t>
            </w:r>
          </w:p>
        </w:tc>
        <w:tc>
          <w:tcPr>
            <w:tcW w:w="2201" w:type="dxa"/>
            <w:noWrap w:val="0"/>
            <w:vAlign w:val="center"/>
          </w:tcPr>
          <w:p w14:paraId="7A3AB828">
            <w:pPr>
              <w:keepNext w:val="0"/>
              <w:keepLines w:val="0"/>
              <w:widowControl/>
              <w:suppressLineNumbers w:val="0"/>
              <w:jc w:val="center"/>
              <w:rPr>
                <w:rFonts w:hint="eastAsia" w:asciiTheme="minorEastAsia" w:hAnsiTheme="minorEastAsia" w:eastAsiaTheme="minorEastAsia" w:cstheme="minorEastAsia"/>
                <w:b/>
                <w:color w:val="auto"/>
                <w:sz w:val="21"/>
                <w:szCs w:val="21"/>
                <w:highlight w:val="none"/>
              </w:rPr>
            </w:pPr>
            <w:r>
              <w:rPr>
                <w:rFonts w:ascii="HYShuSongErKW" w:hAnsi="HYShuSongErKW" w:eastAsia="HYShuSongErKW" w:cs="HYShuSongErKW"/>
                <w:color w:val="auto"/>
                <w:sz w:val="21"/>
                <w:szCs w:val="21"/>
                <w:highlight w:val="none"/>
                <w:lang w:val="en-US" w:eastAsia="zh-CN" w:bidi="ar"/>
              </w:rPr>
              <w:t>投标报价计算时均为</w:t>
            </w:r>
            <w:r>
              <w:rPr>
                <w:rFonts w:hint="default" w:ascii="HYShuSongErKW" w:hAnsi="HYShuSongErKW" w:eastAsia="HYShuSongErKW" w:cs="HYShuSongErKW"/>
                <w:color w:val="auto"/>
                <w:sz w:val="21"/>
                <w:szCs w:val="21"/>
                <w:highlight w:val="none"/>
                <w:lang w:val="en-US" w:eastAsia="zh-CN" w:bidi="ar"/>
              </w:rPr>
              <w:t>供应商的实际投标报价进行政策性扣除后的价格，最终中标金额＝投标报价。政策性扣除 计算方法见后。</w:t>
            </w:r>
          </w:p>
        </w:tc>
      </w:tr>
      <w:tr w14:paraId="7785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08A6D4F4">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Cs w:val="21"/>
                <w:highlight w:val="none"/>
                <w:lang w:val="en-US" w:eastAsia="zh-CN"/>
              </w:rPr>
              <w:t>2</w:t>
            </w:r>
          </w:p>
        </w:tc>
        <w:tc>
          <w:tcPr>
            <w:tcW w:w="564" w:type="dxa"/>
            <w:noWrap w:val="0"/>
            <w:vAlign w:val="center"/>
          </w:tcPr>
          <w:p w14:paraId="0ECA4E5F">
            <w:pPr>
              <w:spacing w:line="360" w:lineRule="exact"/>
              <w:jc w:val="center"/>
              <w:rPr>
                <w:rFonts w:ascii="Arial" w:hAnsi="Arial" w:cs="Arial"/>
                <w:color w:val="auto"/>
                <w:sz w:val="21"/>
                <w:szCs w:val="21"/>
                <w:highlight w:val="none"/>
              </w:rPr>
            </w:pPr>
            <w:r>
              <w:rPr>
                <w:rFonts w:ascii="Arial" w:hAnsi="Arial" w:cs="Arial"/>
                <w:color w:val="auto"/>
                <w:szCs w:val="21"/>
                <w:highlight w:val="none"/>
              </w:rPr>
              <w:t>技术</w:t>
            </w:r>
            <w:r>
              <w:rPr>
                <w:rFonts w:hint="eastAsia" w:ascii="Arial" w:hAnsi="Arial" w:cs="Arial"/>
                <w:color w:val="auto"/>
                <w:szCs w:val="21"/>
                <w:highlight w:val="none"/>
                <w:lang w:eastAsia="zh-CN"/>
              </w:rPr>
              <w:t>分</w:t>
            </w:r>
          </w:p>
        </w:tc>
        <w:tc>
          <w:tcPr>
            <w:tcW w:w="1080" w:type="dxa"/>
            <w:noWrap w:val="0"/>
            <w:vAlign w:val="center"/>
          </w:tcPr>
          <w:p w14:paraId="71E58F37">
            <w:pPr>
              <w:spacing w:line="360" w:lineRule="exact"/>
              <w:jc w:val="center"/>
              <w:rPr>
                <w:rFonts w:ascii="Arial" w:hAnsi="Arial" w:cs="Arial"/>
                <w:color w:val="auto"/>
                <w:sz w:val="21"/>
                <w:szCs w:val="21"/>
                <w:highlight w:val="none"/>
              </w:rPr>
            </w:pPr>
            <w:r>
              <w:rPr>
                <w:rFonts w:hint="eastAsia" w:ascii="宋体" w:hAnsi="宋体" w:eastAsia="宋体" w:cs="宋体"/>
                <w:b w:val="0"/>
                <w:bCs/>
                <w:color w:val="auto"/>
                <w:spacing w:val="-2"/>
                <w:sz w:val="21"/>
                <w:szCs w:val="21"/>
                <w:highlight w:val="none"/>
              </w:rPr>
              <w:t>设备性能分</w:t>
            </w:r>
            <w:r>
              <w:rPr>
                <w:rFonts w:hint="eastAsia" w:ascii="Arial" w:hAnsi="Arial" w:cs="Arial"/>
                <w:color w:val="auto"/>
                <w:highlight w:val="none"/>
              </w:rPr>
              <w:t>（客观分）</w:t>
            </w:r>
          </w:p>
        </w:tc>
        <w:tc>
          <w:tcPr>
            <w:tcW w:w="5506" w:type="dxa"/>
            <w:noWrap w:val="0"/>
            <w:vAlign w:val="center"/>
          </w:tcPr>
          <w:p w14:paraId="57768859">
            <w:pPr>
              <w:pStyle w:val="225"/>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jc w:val="left"/>
              <w:textAlignment w:val="auto"/>
              <w:outlineLvl w:val="9"/>
              <w:rPr>
                <w:rFonts w:hint="eastAsia"/>
                <w:highlight w:val="none"/>
              </w:rPr>
            </w:pPr>
            <w:r>
              <w:rPr>
                <w:rFonts w:hint="eastAsia" w:ascii="宋体" w:hAnsi="宋体" w:eastAsia="宋体" w:cs="宋体"/>
                <w:b w:val="0"/>
                <w:bCs/>
                <w:color w:val="auto"/>
                <w:sz w:val="21"/>
                <w:szCs w:val="21"/>
                <w:highlight w:val="none"/>
                <w:lang w:eastAsia="zh-CN"/>
              </w:rPr>
              <w:t>投标人的投标文件满足招标文件要求（即：通过资格性和符合性审查的）的，得基本分3</w:t>
            </w:r>
            <w:r>
              <w:rPr>
                <w:rFonts w:hint="eastAsia"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eastAsia="zh-CN"/>
              </w:rPr>
              <w:t>分；投标人对“货物采购需求”的“技术指标要求”中非实质性要求（未标注“▲”的技术参数）的技术参数响应存在负偏离的，不带“●”号项的，每有一项扣基本分1分；带“●”号项的，每有一项扣基本分2分；扣完为止。</w:t>
            </w:r>
          </w:p>
        </w:tc>
        <w:tc>
          <w:tcPr>
            <w:tcW w:w="763" w:type="dxa"/>
            <w:noWrap w:val="0"/>
            <w:vAlign w:val="center"/>
          </w:tcPr>
          <w:p w14:paraId="4EF1F443">
            <w:pPr>
              <w:spacing w:line="360" w:lineRule="exact"/>
              <w:jc w:val="center"/>
              <w:rPr>
                <w:rFonts w:hint="default" w:ascii="Arial" w:hAnsi="Arial" w:cs="Arial" w:eastAsiaTheme="minorEastAsia"/>
                <w:color w:val="auto"/>
                <w:sz w:val="21"/>
                <w:szCs w:val="21"/>
                <w:highlight w:val="none"/>
                <w:lang w:val="en-US" w:eastAsia="zh-CN"/>
              </w:rPr>
            </w:pPr>
            <w:r>
              <w:rPr>
                <w:rFonts w:ascii="Arial" w:hAnsi="Arial" w:cs="Arial"/>
                <w:color w:val="auto"/>
                <w:szCs w:val="21"/>
                <w:highlight w:val="none"/>
              </w:rPr>
              <w:t>0-</w:t>
            </w:r>
            <w:r>
              <w:rPr>
                <w:rFonts w:hint="eastAsia" w:ascii="Arial" w:hAnsi="Arial" w:cs="Arial"/>
                <w:color w:val="auto"/>
                <w:szCs w:val="21"/>
                <w:highlight w:val="none"/>
                <w:lang w:val="en-US" w:eastAsia="zh-CN"/>
              </w:rPr>
              <w:t>38</w:t>
            </w:r>
          </w:p>
        </w:tc>
        <w:tc>
          <w:tcPr>
            <w:tcW w:w="2201" w:type="dxa"/>
            <w:noWrap w:val="0"/>
            <w:vAlign w:val="center"/>
          </w:tcPr>
          <w:p w14:paraId="4C055307">
            <w:pPr>
              <w:pStyle w:val="225"/>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jc w:val="left"/>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（1）货物采购需求中“标的名称”不作为扣分项。</w:t>
            </w:r>
          </w:p>
          <w:p w14:paraId="38103A77">
            <w:pPr>
              <w:spacing w:line="360" w:lineRule="exact"/>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（2）如招标文件“</w:t>
            </w:r>
            <w:r>
              <w:rPr>
                <w:color w:val="auto"/>
                <w:szCs w:val="21"/>
                <w:highlight w:val="none"/>
              </w:rPr>
              <w:t>技术</w:t>
            </w:r>
            <w:r>
              <w:rPr>
                <w:rFonts w:hint="eastAsia"/>
                <w:color w:val="auto"/>
                <w:szCs w:val="21"/>
                <w:highlight w:val="none"/>
              </w:rPr>
              <w:t>指标要求</w:t>
            </w:r>
            <w:r>
              <w:rPr>
                <w:rFonts w:hint="eastAsia" w:ascii="宋体" w:hAnsi="宋体" w:eastAsia="宋体" w:cs="宋体"/>
                <w:b w:val="0"/>
                <w:bCs/>
                <w:color w:val="auto"/>
                <w:sz w:val="21"/>
                <w:szCs w:val="21"/>
                <w:highlight w:val="none"/>
                <w:lang w:eastAsia="zh-CN"/>
              </w:rPr>
              <w:t>”中要求提供相关有效证明材料，投标人未按要求提供或所提供的证明材料不满足（或不能证明）相应技术参数要求的，视为负偏离；投标人投标文件中的响应承诺与证明材料不一致的，以证明材料为准。</w:t>
            </w:r>
          </w:p>
          <w:p w14:paraId="3565D8AF">
            <w:pPr>
              <w:spacing w:line="360" w:lineRule="exact"/>
              <w:jc w:val="center"/>
              <w:rPr>
                <w:rFonts w:hint="eastAsia" w:asciiTheme="minorEastAsia" w:hAnsiTheme="minorEastAsia" w:eastAsiaTheme="minorEastAsia" w:cstheme="minorEastAsia"/>
                <w:bCs/>
                <w:color w:val="auto"/>
                <w:spacing w:val="10"/>
                <w:sz w:val="21"/>
                <w:szCs w:val="21"/>
                <w:highlight w:val="none"/>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eastAsia="zh-CN"/>
              </w:rPr>
              <w:t>）</w:t>
            </w:r>
            <w:r>
              <w:rPr>
                <w:rFonts w:hint="eastAsia" w:ascii="宋体" w:hAnsi="宋体" w:eastAsia="宋体" w:cs="宋体"/>
                <w:color w:val="auto"/>
                <w:szCs w:val="21"/>
                <w:highlight w:val="none"/>
              </w:rPr>
              <w:t>标记“</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color w:val="auto"/>
                <w:szCs w:val="21"/>
                <w:highlight w:val="none"/>
              </w:rPr>
              <w:t>”的条款必须提供</w:t>
            </w:r>
            <w:r>
              <w:rPr>
                <w:rFonts w:hint="eastAsia" w:ascii="宋体" w:hAnsi="宋体" w:eastAsia="宋体" w:cs="宋体"/>
                <w:color w:val="000000"/>
                <w:szCs w:val="21"/>
                <w:highlight w:val="none"/>
              </w:rPr>
              <w:t>相应产品技术参数证明材料【对外公开的产品彩页或说明书（体现技术参数，可以是从生产厂家网页下载的 PDF 或 HTM 文件）或在药品监督管理部门备案的技术参数或具有检测资质</w:t>
            </w:r>
            <w:r>
              <w:rPr>
                <w:rFonts w:hint="eastAsia" w:ascii="宋体" w:hAnsi="宋体" w:eastAsia="宋体" w:cs="宋体"/>
                <w:color w:val="000000"/>
                <w:szCs w:val="21"/>
                <w:highlight w:val="none"/>
                <w:lang w:val="en-US" w:eastAsia="zh-CN"/>
              </w:rPr>
              <w:t>机构出具的</w:t>
            </w:r>
            <w:r>
              <w:rPr>
                <w:rFonts w:hint="eastAsia" w:ascii="宋体" w:hAnsi="宋体" w:eastAsia="宋体" w:cs="宋体"/>
                <w:color w:val="000000"/>
                <w:szCs w:val="21"/>
                <w:highlight w:val="none"/>
              </w:rPr>
              <w:t>检测</w:t>
            </w:r>
            <w:r>
              <w:rPr>
                <w:rFonts w:hint="eastAsia" w:ascii="宋体" w:hAnsi="宋体" w:eastAsia="宋体" w:cs="宋体"/>
                <w:color w:val="000000"/>
                <w:szCs w:val="21"/>
                <w:highlight w:val="none"/>
                <w:lang w:val="en-US" w:eastAsia="zh-CN"/>
              </w:rPr>
              <w:t>报告</w:t>
            </w:r>
            <w:r>
              <w:rPr>
                <w:rFonts w:hint="eastAsia" w:ascii="宋体" w:hAnsi="宋体" w:eastAsia="宋体" w:cs="宋体"/>
                <w:color w:val="000000"/>
                <w:szCs w:val="21"/>
                <w:highlight w:val="none"/>
              </w:rPr>
              <w:t>。</w:t>
            </w:r>
          </w:p>
        </w:tc>
      </w:tr>
      <w:tr w14:paraId="1B05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23" w:type="dxa"/>
            <w:noWrap w:val="0"/>
            <w:vAlign w:val="center"/>
          </w:tcPr>
          <w:p w14:paraId="328914D6">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 w:val="21"/>
                <w:szCs w:val="21"/>
                <w:highlight w:val="none"/>
                <w:lang w:val="en-US" w:eastAsia="zh-CN"/>
              </w:rPr>
              <w:t>3</w:t>
            </w:r>
          </w:p>
        </w:tc>
        <w:tc>
          <w:tcPr>
            <w:tcW w:w="564" w:type="dxa"/>
            <w:noWrap w:val="0"/>
            <w:vAlign w:val="center"/>
          </w:tcPr>
          <w:p w14:paraId="4A1B7651">
            <w:pPr>
              <w:spacing w:line="360" w:lineRule="exact"/>
              <w:jc w:val="center"/>
              <w:rPr>
                <w:rFonts w:hint="eastAsia" w:ascii="Arial" w:hAnsi="Arial" w:eastAsia="宋体" w:cs="Arial"/>
                <w:color w:val="auto"/>
                <w:sz w:val="21"/>
                <w:szCs w:val="21"/>
                <w:highlight w:val="none"/>
                <w:lang w:eastAsia="zh-CN"/>
              </w:rPr>
            </w:pPr>
            <w:r>
              <w:rPr>
                <w:rFonts w:ascii="Arial" w:hAnsi="Arial" w:cs="Arial"/>
                <w:color w:val="auto"/>
                <w:sz w:val="21"/>
                <w:szCs w:val="21"/>
                <w:highlight w:val="none"/>
              </w:rPr>
              <w:t>技术</w:t>
            </w:r>
            <w:r>
              <w:rPr>
                <w:rFonts w:hint="eastAsia" w:ascii="Arial" w:hAnsi="Arial" w:cs="Arial"/>
                <w:color w:val="auto"/>
                <w:sz w:val="21"/>
                <w:szCs w:val="21"/>
                <w:highlight w:val="none"/>
                <w:lang w:eastAsia="zh-CN"/>
              </w:rPr>
              <w:t>分</w:t>
            </w:r>
          </w:p>
        </w:tc>
        <w:tc>
          <w:tcPr>
            <w:tcW w:w="1080" w:type="dxa"/>
            <w:noWrap w:val="0"/>
            <w:vAlign w:val="center"/>
          </w:tcPr>
          <w:p w14:paraId="69953DA6">
            <w:pPr>
              <w:spacing w:line="360" w:lineRule="exact"/>
              <w:jc w:val="center"/>
              <w:rPr>
                <w:rFonts w:ascii="Arial" w:hAnsi="Arial" w:cs="Arial"/>
                <w:color w:val="auto"/>
                <w:sz w:val="21"/>
                <w:szCs w:val="21"/>
                <w:highlight w:val="none"/>
              </w:rPr>
            </w:pPr>
            <w:r>
              <w:rPr>
                <w:rFonts w:hint="eastAsia" w:ascii="宋体" w:hAnsi="宋体" w:eastAsia="宋体" w:cs="宋体"/>
                <w:b w:val="0"/>
                <w:bCs/>
                <w:color w:val="auto"/>
                <w:sz w:val="21"/>
                <w:szCs w:val="21"/>
                <w:highlight w:val="none"/>
              </w:rPr>
              <w:t>实施方案</w:t>
            </w:r>
            <w:r>
              <w:rPr>
                <w:rFonts w:hint="eastAsia" w:ascii="Arial" w:hAnsi="Arial" w:cs="Arial"/>
                <w:color w:val="auto"/>
                <w:sz w:val="21"/>
                <w:szCs w:val="21"/>
                <w:highlight w:val="none"/>
              </w:rPr>
              <w:t>（主观分）</w:t>
            </w:r>
          </w:p>
        </w:tc>
        <w:tc>
          <w:tcPr>
            <w:tcW w:w="5506" w:type="dxa"/>
            <w:noWrap w:val="0"/>
            <w:vAlign w:val="center"/>
          </w:tcPr>
          <w:p w14:paraId="4FE98C65">
            <w:pPr>
              <w:pStyle w:val="20"/>
              <w:keepNext w:val="0"/>
              <w:keepLines w:val="0"/>
              <w:pageBreakBefore w:val="0"/>
              <w:widowControl/>
              <w:suppressLineNumbers w:val="0"/>
              <w:kinsoku/>
              <w:wordWrap/>
              <w:overflowPunct/>
              <w:topLinePunct w:val="0"/>
              <w:bidi w:val="0"/>
              <w:snapToGrid/>
              <w:spacing w:before="0" w:beforeAutospacing="0" w:after="0" w:afterAutospacing="0" w:line="360" w:lineRule="auto"/>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val="0"/>
                <w:bCs/>
                <w:color w:val="auto"/>
                <w:spacing w:val="-2"/>
                <w:sz w:val="21"/>
                <w:szCs w:val="21"/>
                <w:highlight w:val="none"/>
              </w:rPr>
              <w:t>由评标委员会根据各投标人投标文件的</w:t>
            </w:r>
            <w:r>
              <w:rPr>
                <w:rFonts w:hint="eastAsia" w:ascii="宋体" w:hAnsi="宋体" w:eastAsia="宋体" w:cs="宋体"/>
                <w:b w:val="0"/>
                <w:bCs/>
                <w:color w:val="auto"/>
                <w:spacing w:val="-2"/>
                <w:sz w:val="21"/>
                <w:szCs w:val="21"/>
                <w:highlight w:val="none"/>
                <w:lang w:val="en-US" w:eastAsia="zh-CN"/>
              </w:rPr>
              <w:t>项目</w:t>
            </w:r>
            <w:r>
              <w:rPr>
                <w:rFonts w:hint="eastAsia" w:ascii="宋体" w:hAnsi="宋体" w:eastAsia="宋体" w:cs="宋体"/>
                <w:b w:val="0"/>
                <w:bCs/>
                <w:color w:val="auto"/>
                <w:spacing w:val="-2"/>
                <w:sz w:val="21"/>
                <w:szCs w:val="21"/>
                <w:highlight w:val="none"/>
              </w:rPr>
              <w:t>实施方案中的“组织机构、</w:t>
            </w:r>
            <w:r>
              <w:rPr>
                <w:rFonts w:hint="eastAsia" w:ascii="宋体" w:hAnsi="宋体" w:eastAsia="宋体" w:cs="宋体"/>
                <w:b w:val="0"/>
                <w:bCs/>
                <w:color w:val="auto"/>
                <w:spacing w:val="-2"/>
                <w:sz w:val="21"/>
                <w:szCs w:val="21"/>
                <w:highlight w:val="none"/>
                <w:lang w:val="en-US" w:eastAsia="zh-CN"/>
              </w:rPr>
              <w:t>管理措施</w:t>
            </w:r>
            <w:r>
              <w:rPr>
                <w:rFonts w:hint="eastAsia" w:ascii="宋体" w:hAnsi="宋体" w:eastAsia="宋体" w:cs="宋体"/>
                <w:b w:val="0"/>
                <w:bCs/>
                <w:color w:val="auto"/>
                <w:spacing w:val="-2"/>
                <w:sz w:val="21"/>
                <w:szCs w:val="21"/>
                <w:highlight w:val="none"/>
              </w:rPr>
              <w:t>、实施流程</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进度</w:t>
            </w:r>
            <w:r>
              <w:rPr>
                <w:rFonts w:hint="eastAsia" w:ascii="宋体" w:hAnsi="宋体" w:eastAsia="宋体" w:cs="宋体"/>
                <w:b w:val="0"/>
                <w:bCs/>
                <w:color w:val="auto"/>
                <w:spacing w:val="-2"/>
                <w:sz w:val="21"/>
                <w:szCs w:val="21"/>
                <w:highlight w:val="none"/>
                <w:lang w:val="en-US" w:eastAsia="zh-CN"/>
              </w:rPr>
              <w:t>计划</w:t>
            </w:r>
            <w:r>
              <w:rPr>
                <w:rFonts w:hint="eastAsia" w:ascii="宋体" w:hAnsi="宋体" w:eastAsia="宋体" w:cs="宋体"/>
                <w:b w:val="0"/>
                <w:bCs/>
                <w:color w:val="auto"/>
                <w:spacing w:val="-2"/>
                <w:sz w:val="21"/>
                <w:szCs w:val="21"/>
                <w:highlight w:val="none"/>
              </w:rPr>
              <w:t>安排</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配送</w:t>
            </w:r>
            <w:r>
              <w:rPr>
                <w:rFonts w:hint="eastAsia" w:ascii="宋体" w:hAnsi="宋体" w:eastAsia="宋体" w:cs="宋体"/>
                <w:b w:val="0"/>
                <w:bCs/>
                <w:color w:val="auto"/>
                <w:spacing w:val="-2"/>
                <w:sz w:val="21"/>
                <w:szCs w:val="21"/>
                <w:highlight w:val="none"/>
                <w:lang w:val="en-US" w:eastAsia="zh-CN"/>
              </w:rPr>
              <w:t>及</w:t>
            </w:r>
            <w:r>
              <w:rPr>
                <w:rFonts w:hint="eastAsia" w:ascii="宋体" w:hAnsi="宋体" w:eastAsia="宋体" w:cs="宋体"/>
                <w:b w:val="0"/>
                <w:bCs/>
                <w:color w:val="auto"/>
                <w:spacing w:val="-2"/>
                <w:sz w:val="21"/>
                <w:szCs w:val="21"/>
                <w:highlight w:val="none"/>
              </w:rPr>
              <w:t>安装实施方案、质量保证措施</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风险防范措施</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验收方案</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 xml:space="preserve">等内容进行综合评审并独立打分： </w:t>
            </w:r>
          </w:p>
          <w:p w14:paraId="08A0ED2C">
            <w:pPr>
              <w:pStyle w:val="20"/>
              <w:keepNext w:val="0"/>
              <w:keepLines w:val="0"/>
              <w:pageBreakBefore w:val="0"/>
              <w:widowControl/>
              <w:suppressLineNumbers w:val="0"/>
              <w:kinsoku/>
              <w:wordWrap/>
              <w:overflowPunct/>
              <w:topLinePunct w:val="0"/>
              <w:bidi w:val="0"/>
              <w:snapToGrid/>
              <w:spacing w:before="0" w:beforeAutospacing="0" w:after="0" w:afterAutospacing="0" w:line="360" w:lineRule="auto"/>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一档（</w:t>
            </w:r>
            <w:r>
              <w:rPr>
                <w:rFonts w:hint="eastAsia" w:ascii="宋体" w:hAnsi="宋体" w:eastAsia="宋体" w:cs="宋体"/>
                <w:b/>
                <w:bCs w:val="0"/>
                <w:color w:val="auto"/>
                <w:spacing w:val="-2"/>
                <w:sz w:val="21"/>
                <w:szCs w:val="21"/>
                <w:highlight w:val="none"/>
                <w:lang w:val="en-US" w:eastAsia="zh-CN"/>
              </w:rPr>
              <w:t>2</w:t>
            </w:r>
            <w:r>
              <w:rPr>
                <w:rFonts w:hint="eastAsia" w:ascii="宋体" w:hAnsi="宋体" w:eastAsia="宋体" w:cs="宋体"/>
                <w:b/>
                <w:bCs w:val="0"/>
                <w:color w:val="auto"/>
                <w:spacing w:val="-2"/>
                <w:sz w:val="21"/>
                <w:szCs w:val="21"/>
                <w:highlight w:val="none"/>
              </w:rPr>
              <w:t>分）：</w:t>
            </w:r>
            <w:r>
              <w:rPr>
                <w:rFonts w:hint="eastAsia" w:ascii="宋体" w:hAnsi="宋体" w:eastAsia="宋体" w:cs="宋体"/>
                <w:b w:val="0"/>
                <w:bCs/>
                <w:color w:val="auto"/>
                <w:spacing w:val="-2"/>
                <w:sz w:val="21"/>
                <w:szCs w:val="21"/>
                <w:highlight w:val="none"/>
                <w:lang w:val="en-US" w:eastAsia="zh-CN"/>
              </w:rPr>
              <w:t>项目</w:t>
            </w:r>
            <w:r>
              <w:rPr>
                <w:rFonts w:hint="eastAsia" w:ascii="宋体" w:hAnsi="宋体" w:eastAsia="宋体" w:cs="宋体"/>
                <w:b w:val="0"/>
                <w:bCs/>
                <w:color w:val="auto"/>
                <w:spacing w:val="-2"/>
                <w:sz w:val="21"/>
                <w:szCs w:val="21"/>
                <w:highlight w:val="none"/>
              </w:rPr>
              <w:t>实施方案空洞，缺乏可执行的具体计划和措施，或未能对核心要求作出明确承诺的。</w:t>
            </w:r>
          </w:p>
          <w:p w14:paraId="6BBE7AD7">
            <w:pPr>
              <w:pStyle w:val="20"/>
              <w:keepNext w:val="0"/>
              <w:keepLines w:val="0"/>
              <w:pageBreakBefore w:val="0"/>
              <w:widowControl/>
              <w:suppressLineNumbers w:val="0"/>
              <w:kinsoku/>
              <w:wordWrap/>
              <w:overflowPunct/>
              <w:topLinePunct w:val="0"/>
              <w:bidi w:val="0"/>
              <w:snapToGrid/>
              <w:spacing w:before="0" w:beforeAutospacing="0" w:after="0" w:afterAutospacing="0" w:line="360" w:lineRule="auto"/>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二档（</w:t>
            </w:r>
            <w:r>
              <w:rPr>
                <w:rFonts w:hint="eastAsia" w:ascii="宋体" w:hAnsi="宋体" w:eastAsia="宋体" w:cs="宋体"/>
                <w:b/>
                <w:bCs w:val="0"/>
                <w:color w:val="auto"/>
                <w:spacing w:val="-2"/>
                <w:sz w:val="21"/>
                <w:szCs w:val="21"/>
                <w:highlight w:val="none"/>
                <w:lang w:val="en-US" w:eastAsia="zh-CN"/>
              </w:rPr>
              <w:t>4</w:t>
            </w:r>
            <w:r>
              <w:rPr>
                <w:rFonts w:hint="eastAsia" w:ascii="宋体" w:hAnsi="宋体" w:eastAsia="宋体" w:cs="宋体"/>
                <w:b/>
                <w:bCs w:val="0"/>
                <w:color w:val="auto"/>
                <w:spacing w:val="-2"/>
                <w:sz w:val="21"/>
                <w:szCs w:val="21"/>
                <w:highlight w:val="none"/>
              </w:rPr>
              <w:t>分）：</w:t>
            </w:r>
            <w:r>
              <w:rPr>
                <w:rFonts w:hint="eastAsia" w:ascii="宋体" w:hAnsi="宋体" w:eastAsia="宋体" w:cs="宋体"/>
                <w:b w:val="0"/>
                <w:bCs/>
                <w:color w:val="auto"/>
                <w:spacing w:val="-2"/>
                <w:sz w:val="21"/>
                <w:szCs w:val="21"/>
                <w:highlight w:val="none"/>
              </w:rPr>
              <w:t>项目实施方案基本满足招标文件要求，</w:t>
            </w:r>
            <w:r>
              <w:rPr>
                <w:rFonts w:hint="eastAsia" w:ascii="宋体" w:hAnsi="宋体" w:eastAsia="宋体" w:cs="宋体"/>
                <w:b w:val="0"/>
                <w:bCs/>
                <w:color w:val="auto"/>
                <w:spacing w:val="-2"/>
                <w:sz w:val="21"/>
                <w:szCs w:val="21"/>
                <w:highlight w:val="none"/>
                <w:lang w:val="en-US" w:eastAsia="zh-CN"/>
              </w:rPr>
              <w:t>有简单</w:t>
            </w:r>
            <w:r>
              <w:rPr>
                <w:rFonts w:hint="eastAsia" w:ascii="宋体" w:hAnsi="宋体" w:eastAsia="宋体" w:cs="宋体"/>
                <w:b w:val="0"/>
                <w:bCs/>
                <w:color w:val="auto"/>
                <w:spacing w:val="-2"/>
                <w:sz w:val="21"/>
                <w:szCs w:val="21"/>
                <w:highlight w:val="none"/>
              </w:rPr>
              <w:t>的组织机构、</w:t>
            </w:r>
            <w:r>
              <w:rPr>
                <w:rFonts w:hint="eastAsia" w:ascii="宋体" w:hAnsi="宋体" w:eastAsia="宋体" w:cs="宋体"/>
                <w:b w:val="0"/>
                <w:bCs/>
                <w:color w:val="auto"/>
                <w:spacing w:val="-2"/>
                <w:sz w:val="21"/>
                <w:szCs w:val="21"/>
                <w:highlight w:val="none"/>
                <w:lang w:val="en-US" w:eastAsia="zh-CN"/>
              </w:rPr>
              <w:t>管理措施</w:t>
            </w:r>
            <w:r>
              <w:rPr>
                <w:rFonts w:hint="eastAsia" w:ascii="宋体" w:hAnsi="宋体" w:eastAsia="宋体" w:cs="宋体"/>
                <w:b w:val="0"/>
                <w:bCs/>
                <w:color w:val="auto"/>
                <w:spacing w:val="-2"/>
                <w:sz w:val="21"/>
                <w:szCs w:val="21"/>
                <w:highlight w:val="none"/>
              </w:rPr>
              <w:t>、实施流程</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进度</w:t>
            </w:r>
            <w:r>
              <w:rPr>
                <w:rFonts w:hint="eastAsia" w:ascii="宋体" w:hAnsi="宋体" w:eastAsia="宋体" w:cs="宋体"/>
                <w:b w:val="0"/>
                <w:bCs/>
                <w:color w:val="auto"/>
                <w:spacing w:val="-2"/>
                <w:sz w:val="21"/>
                <w:szCs w:val="21"/>
                <w:highlight w:val="none"/>
                <w:lang w:val="en-US" w:eastAsia="zh-CN"/>
              </w:rPr>
              <w:t>计划</w:t>
            </w:r>
            <w:r>
              <w:rPr>
                <w:rFonts w:hint="eastAsia" w:ascii="宋体" w:hAnsi="宋体" w:eastAsia="宋体" w:cs="宋体"/>
                <w:b w:val="0"/>
                <w:bCs/>
                <w:color w:val="auto"/>
                <w:spacing w:val="-2"/>
                <w:sz w:val="21"/>
                <w:szCs w:val="21"/>
                <w:highlight w:val="none"/>
              </w:rPr>
              <w:t>安排</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配送</w:t>
            </w:r>
            <w:r>
              <w:rPr>
                <w:rFonts w:hint="eastAsia" w:ascii="宋体" w:hAnsi="宋体" w:eastAsia="宋体" w:cs="宋体"/>
                <w:b w:val="0"/>
                <w:bCs/>
                <w:color w:val="auto"/>
                <w:spacing w:val="-2"/>
                <w:sz w:val="21"/>
                <w:szCs w:val="21"/>
                <w:highlight w:val="none"/>
                <w:lang w:val="en-US" w:eastAsia="zh-CN"/>
              </w:rPr>
              <w:t>及</w:t>
            </w:r>
            <w:r>
              <w:rPr>
                <w:rFonts w:hint="eastAsia" w:ascii="宋体" w:hAnsi="宋体" w:eastAsia="宋体" w:cs="宋体"/>
                <w:b w:val="0"/>
                <w:bCs/>
                <w:color w:val="auto"/>
                <w:spacing w:val="-2"/>
                <w:sz w:val="21"/>
                <w:szCs w:val="21"/>
                <w:highlight w:val="none"/>
              </w:rPr>
              <w:t>安装实施</w:t>
            </w:r>
            <w:ins w:id="109" w:author="JDZBzheng" w:date="2026-06-30T11:23:01Z">
              <w:r>
                <w:rPr>
                  <w:rFonts w:hint="eastAsia" w:ascii="宋体" w:hAnsi="宋体" w:cs="宋体"/>
                  <w:b w:val="0"/>
                  <w:bCs/>
                  <w:color w:val="auto"/>
                  <w:spacing w:val="-2"/>
                  <w:sz w:val="21"/>
                  <w:szCs w:val="21"/>
                  <w:highlight w:val="none"/>
                  <w:lang w:eastAsia="zh-CN"/>
                </w:rPr>
                <w:t>方案</w:t>
              </w:r>
            </w:ins>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质量保证措施</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验收方案等</w:t>
            </w:r>
            <w:r>
              <w:rPr>
                <w:rFonts w:hint="eastAsia" w:ascii="宋体" w:hAnsi="宋体" w:eastAsia="宋体" w:cs="宋体"/>
                <w:b w:val="0"/>
                <w:bCs/>
                <w:color w:val="auto"/>
                <w:spacing w:val="-2"/>
                <w:sz w:val="21"/>
                <w:szCs w:val="21"/>
                <w:highlight w:val="none"/>
                <w:lang w:val="en-US" w:eastAsia="zh-CN"/>
              </w:rPr>
              <w:t>内容的</w:t>
            </w:r>
            <w:r>
              <w:rPr>
                <w:rFonts w:hint="eastAsia" w:ascii="宋体" w:hAnsi="宋体" w:eastAsia="宋体" w:cs="宋体"/>
                <w:b w:val="0"/>
                <w:bCs/>
                <w:color w:val="auto"/>
                <w:spacing w:val="-2"/>
                <w:sz w:val="21"/>
                <w:szCs w:val="21"/>
                <w:highlight w:val="none"/>
              </w:rPr>
              <w:t>。</w:t>
            </w:r>
          </w:p>
          <w:p w14:paraId="3F4C5DF4">
            <w:pPr>
              <w:pStyle w:val="20"/>
              <w:keepNext w:val="0"/>
              <w:keepLines w:val="0"/>
              <w:pageBreakBefore w:val="0"/>
              <w:widowControl/>
              <w:suppressLineNumbers w:val="0"/>
              <w:kinsoku/>
              <w:wordWrap/>
              <w:overflowPunct/>
              <w:topLinePunct w:val="0"/>
              <w:bidi w:val="0"/>
              <w:snapToGrid/>
              <w:spacing w:before="0" w:beforeAutospacing="0" w:after="0" w:afterAutospacing="0" w:line="360" w:lineRule="auto"/>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三档（</w:t>
            </w:r>
            <w:r>
              <w:rPr>
                <w:rFonts w:hint="eastAsia" w:ascii="宋体" w:hAnsi="宋体" w:eastAsia="宋体" w:cs="宋体"/>
                <w:b/>
                <w:bCs w:val="0"/>
                <w:color w:val="auto"/>
                <w:spacing w:val="-2"/>
                <w:sz w:val="21"/>
                <w:szCs w:val="21"/>
                <w:highlight w:val="none"/>
                <w:lang w:val="en-US" w:eastAsia="zh-CN"/>
              </w:rPr>
              <w:t>6</w:t>
            </w:r>
            <w:r>
              <w:rPr>
                <w:rFonts w:hint="eastAsia" w:ascii="宋体" w:hAnsi="宋体" w:eastAsia="宋体" w:cs="宋体"/>
                <w:b/>
                <w:bCs w:val="0"/>
                <w:color w:val="auto"/>
                <w:spacing w:val="-2"/>
                <w:sz w:val="21"/>
                <w:szCs w:val="21"/>
                <w:highlight w:val="none"/>
              </w:rPr>
              <w:t>分）：</w:t>
            </w:r>
            <w:r>
              <w:rPr>
                <w:rFonts w:hint="eastAsia" w:ascii="宋体" w:hAnsi="宋体" w:eastAsia="宋体" w:cs="宋体"/>
                <w:b w:val="0"/>
                <w:bCs/>
                <w:color w:val="auto"/>
                <w:spacing w:val="-2"/>
                <w:sz w:val="21"/>
                <w:szCs w:val="21"/>
                <w:highlight w:val="none"/>
              </w:rPr>
              <w:t>项目实施方案详细、表述清晰，包含完整的组织机构、</w:t>
            </w:r>
            <w:r>
              <w:rPr>
                <w:rFonts w:hint="eastAsia" w:ascii="宋体" w:hAnsi="宋体" w:eastAsia="宋体" w:cs="宋体"/>
                <w:b w:val="0"/>
                <w:bCs/>
                <w:color w:val="auto"/>
                <w:spacing w:val="-2"/>
                <w:sz w:val="21"/>
                <w:szCs w:val="21"/>
                <w:highlight w:val="none"/>
                <w:lang w:val="en-US" w:eastAsia="zh-CN"/>
              </w:rPr>
              <w:t>管理措施、有</w:t>
            </w:r>
            <w:r>
              <w:rPr>
                <w:rFonts w:hint="eastAsia" w:ascii="宋体" w:hAnsi="宋体" w:eastAsia="宋体" w:cs="宋体"/>
                <w:b w:val="0"/>
                <w:bCs/>
                <w:color w:val="auto"/>
                <w:spacing w:val="-2"/>
                <w:sz w:val="21"/>
                <w:szCs w:val="21"/>
                <w:highlight w:val="none"/>
              </w:rPr>
              <w:t>具体实施流程、进度</w:t>
            </w:r>
            <w:r>
              <w:rPr>
                <w:rFonts w:hint="eastAsia" w:ascii="宋体" w:hAnsi="宋体" w:eastAsia="宋体" w:cs="宋体"/>
                <w:b w:val="0"/>
                <w:bCs/>
                <w:color w:val="auto"/>
                <w:spacing w:val="-2"/>
                <w:sz w:val="21"/>
                <w:szCs w:val="21"/>
                <w:highlight w:val="none"/>
                <w:lang w:val="en-US" w:eastAsia="zh-CN"/>
              </w:rPr>
              <w:t>计划</w:t>
            </w:r>
            <w:r>
              <w:rPr>
                <w:rFonts w:hint="eastAsia" w:ascii="宋体" w:hAnsi="宋体" w:eastAsia="宋体" w:cs="宋体"/>
                <w:b w:val="0"/>
                <w:bCs/>
                <w:color w:val="auto"/>
                <w:spacing w:val="-2"/>
                <w:sz w:val="21"/>
                <w:szCs w:val="21"/>
                <w:highlight w:val="none"/>
              </w:rPr>
              <w:t>安排</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配送</w:t>
            </w:r>
            <w:r>
              <w:rPr>
                <w:rFonts w:hint="eastAsia" w:ascii="宋体" w:hAnsi="宋体" w:eastAsia="宋体" w:cs="宋体"/>
                <w:b w:val="0"/>
                <w:bCs/>
                <w:color w:val="auto"/>
                <w:spacing w:val="-2"/>
                <w:sz w:val="21"/>
                <w:szCs w:val="21"/>
                <w:highlight w:val="none"/>
                <w:lang w:val="en-US" w:eastAsia="zh-CN"/>
              </w:rPr>
              <w:t>及</w:t>
            </w:r>
            <w:r>
              <w:rPr>
                <w:rFonts w:hint="eastAsia" w:ascii="宋体" w:hAnsi="宋体" w:eastAsia="宋体" w:cs="宋体"/>
                <w:b w:val="0"/>
                <w:bCs/>
                <w:color w:val="auto"/>
                <w:spacing w:val="-2"/>
                <w:sz w:val="21"/>
                <w:szCs w:val="21"/>
                <w:highlight w:val="none"/>
              </w:rPr>
              <w:t>安装实施</w:t>
            </w:r>
            <w:ins w:id="110" w:author="JDZBzheng" w:date="2026-06-30T11:23:09Z">
              <w:r>
                <w:rPr>
                  <w:rFonts w:hint="eastAsia" w:ascii="宋体" w:hAnsi="宋体" w:cs="宋体"/>
                  <w:b w:val="0"/>
                  <w:bCs/>
                  <w:color w:val="auto"/>
                  <w:spacing w:val="-2"/>
                  <w:sz w:val="21"/>
                  <w:szCs w:val="21"/>
                  <w:highlight w:val="none"/>
                  <w:lang w:eastAsia="zh-CN"/>
                </w:rPr>
                <w:t>方案</w:t>
              </w:r>
            </w:ins>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质量保证措施</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验收方案等</w:t>
            </w:r>
            <w:r>
              <w:rPr>
                <w:rFonts w:hint="eastAsia" w:ascii="宋体" w:hAnsi="宋体" w:eastAsia="宋体" w:cs="宋体"/>
                <w:b w:val="0"/>
                <w:bCs/>
                <w:color w:val="auto"/>
                <w:spacing w:val="-2"/>
                <w:sz w:val="21"/>
                <w:szCs w:val="21"/>
                <w:highlight w:val="none"/>
                <w:lang w:val="en-US" w:eastAsia="zh-CN"/>
              </w:rPr>
              <w:t>内容，能保证项目正常实施</w:t>
            </w:r>
            <w:r>
              <w:rPr>
                <w:rFonts w:hint="eastAsia" w:ascii="宋体" w:hAnsi="宋体" w:eastAsia="宋体" w:cs="宋体"/>
                <w:b w:val="0"/>
                <w:bCs/>
                <w:color w:val="auto"/>
                <w:spacing w:val="-2"/>
                <w:sz w:val="21"/>
                <w:szCs w:val="21"/>
                <w:highlight w:val="none"/>
              </w:rPr>
              <w:t>。</w:t>
            </w:r>
          </w:p>
          <w:p w14:paraId="5CABD8B5">
            <w:pPr>
              <w:pStyle w:val="20"/>
              <w:keepNext w:val="0"/>
              <w:keepLines w:val="0"/>
              <w:pageBreakBefore w:val="0"/>
              <w:widowControl/>
              <w:suppressLineNumbers w:val="0"/>
              <w:kinsoku/>
              <w:wordWrap/>
              <w:overflowPunct/>
              <w:topLinePunct w:val="0"/>
              <w:bidi w:val="0"/>
              <w:snapToGrid/>
              <w:spacing w:before="0" w:beforeAutospacing="0" w:after="0" w:afterAutospacing="0" w:line="360" w:lineRule="auto"/>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lang w:val="en-US" w:eastAsia="zh-CN"/>
              </w:rPr>
              <w:t>四</w:t>
            </w:r>
            <w:r>
              <w:rPr>
                <w:rFonts w:hint="eastAsia" w:ascii="宋体" w:hAnsi="宋体" w:eastAsia="宋体" w:cs="宋体"/>
                <w:b/>
                <w:bCs w:val="0"/>
                <w:color w:val="auto"/>
                <w:spacing w:val="-2"/>
                <w:sz w:val="21"/>
                <w:szCs w:val="21"/>
                <w:highlight w:val="none"/>
              </w:rPr>
              <w:t>档（</w:t>
            </w:r>
            <w:r>
              <w:rPr>
                <w:rFonts w:hint="eastAsia" w:ascii="宋体" w:hAnsi="宋体" w:eastAsia="宋体" w:cs="宋体"/>
                <w:b/>
                <w:bCs w:val="0"/>
                <w:color w:val="auto"/>
                <w:spacing w:val="-2"/>
                <w:sz w:val="21"/>
                <w:szCs w:val="21"/>
                <w:highlight w:val="none"/>
                <w:lang w:val="en-US" w:eastAsia="zh-CN"/>
              </w:rPr>
              <w:t>8</w:t>
            </w:r>
            <w:r>
              <w:rPr>
                <w:rFonts w:hint="eastAsia" w:ascii="宋体" w:hAnsi="宋体" w:eastAsia="宋体" w:cs="宋体"/>
                <w:b/>
                <w:bCs w:val="0"/>
                <w:color w:val="auto"/>
                <w:spacing w:val="-2"/>
                <w:sz w:val="21"/>
                <w:szCs w:val="21"/>
                <w:highlight w:val="none"/>
              </w:rPr>
              <w:t>分）：</w:t>
            </w:r>
            <w:r>
              <w:rPr>
                <w:rFonts w:hint="eastAsia" w:ascii="宋体" w:hAnsi="宋体" w:eastAsia="宋体" w:cs="宋体"/>
                <w:b w:val="0"/>
                <w:bCs/>
                <w:color w:val="auto"/>
                <w:spacing w:val="-2"/>
                <w:sz w:val="21"/>
                <w:szCs w:val="21"/>
                <w:highlight w:val="none"/>
              </w:rPr>
              <w:t>项目实施方案详细、逻辑清晰</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具有合理性、可行性</w:t>
            </w:r>
            <w:r>
              <w:rPr>
                <w:rFonts w:hint="eastAsia" w:ascii="宋体" w:hAnsi="宋体" w:eastAsia="宋体" w:cs="宋体"/>
                <w:b w:val="0"/>
                <w:bCs/>
                <w:color w:val="auto"/>
                <w:spacing w:val="-2"/>
                <w:sz w:val="21"/>
                <w:szCs w:val="21"/>
                <w:highlight w:val="none"/>
              </w:rPr>
              <w:t>，</w:t>
            </w:r>
            <w:r>
              <w:rPr>
                <w:rFonts w:hint="eastAsia" w:ascii="宋体" w:hAnsi="宋体" w:eastAsia="宋体" w:cs="宋体"/>
                <w:b w:val="0"/>
                <w:bCs/>
                <w:color w:val="auto"/>
                <w:spacing w:val="-2"/>
                <w:sz w:val="21"/>
                <w:szCs w:val="21"/>
                <w:highlight w:val="none"/>
                <w:lang w:val="en-US" w:eastAsia="zh-CN"/>
              </w:rPr>
              <w:t>有</w:t>
            </w:r>
            <w:r>
              <w:rPr>
                <w:rFonts w:hint="eastAsia" w:ascii="宋体" w:hAnsi="宋体" w:eastAsia="宋体" w:cs="宋体"/>
                <w:b w:val="0"/>
                <w:bCs/>
                <w:color w:val="auto"/>
                <w:spacing w:val="-2"/>
                <w:sz w:val="21"/>
                <w:szCs w:val="21"/>
                <w:highlight w:val="none"/>
              </w:rPr>
              <w:t>健全</w:t>
            </w:r>
            <w:r>
              <w:rPr>
                <w:rFonts w:hint="eastAsia" w:ascii="宋体" w:hAnsi="宋体" w:eastAsia="宋体" w:cs="宋体"/>
                <w:b w:val="0"/>
                <w:bCs/>
                <w:color w:val="auto"/>
                <w:spacing w:val="-2"/>
                <w:sz w:val="21"/>
                <w:szCs w:val="21"/>
                <w:highlight w:val="none"/>
                <w:lang w:val="en-US" w:eastAsia="zh-CN"/>
              </w:rPr>
              <w:t>的</w:t>
            </w:r>
            <w:r>
              <w:rPr>
                <w:rFonts w:hint="eastAsia" w:ascii="宋体" w:hAnsi="宋体" w:eastAsia="宋体" w:cs="宋体"/>
                <w:b w:val="0"/>
                <w:bCs/>
                <w:color w:val="auto"/>
                <w:spacing w:val="-2"/>
                <w:sz w:val="21"/>
                <w:szCs w:val="21"/>
                <w:highlight w:val="none"/>
              </w:rPr>
              <w:t>组织机构</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有完善、具体</w:t>
            </w:r>
            <w:r>
              <w:rPr>
                <w:rFonts w:hint="eastAsia" w:ascii="宋体" w:hAnsi="宋体" w:eastAsia="宋体" w:cs="宋体"/>
                <w:b w:val="0"/>
                <w:bCs/>
                <w:color w:val="auto"/>
                <w:spacing w:val="-2"/>
                <w:sz w:val="21"/>
                <w:szCs w:val="21"/>
                <w:highlight w:val="none"/>
              </w:rPr>
              <w:t>的管理措施</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w:t>
            </w:r>
            <w:r>
              <w:rPr>
                <w:rFonts w:hint="eastAsia" w:ascii="宋体" w:hAnsi="宋体" w:eastAsia="宋体" w:cs="宋体"/>
                <w:b w:val="0"/>
                <w:bCs/>
                <w:color w:val="auto"/>
                <w:spacing w:val="-2"/>
                <w:sz w:val="21"/>
                <w:szCs w:val="21"/>
                <w:highlight w:val="none"/>
              </w:rPr>
              <w:t>具体详细</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完整</w:t>
            </w:r>
            <w:r>
              <w:rPr>
                <w:rFonts w:hint="eastAsia" w:ascii="宋体" w:hAnsi="宋体" w:eastAsia="宋体" w:cs="宋体"/>
                <w:b w:val="0"/>
                <w:bCs/>
                <w:color w:val="auto"/>
                <w:spacing w:val="-2"/>
                <w:sz w:val="21"/>
                <w:szCs w:val="21"/>
                <w:highlight w:val="none"/>
              </w:rPr>
              <w:t>的实施流程</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有具体的</w:t>
            </w:r>
            <w:r>
              <w:rPr>
                <w:rFonts w:hint="eastAsia" w:ascii="宋体" w:hAnsi="宋体" w:eastAsia="宋体" w:cs="宋体"/>
                <w:b w:val="0"/>
                <w:bCs/>
                <w:color w:val="auto"/>
                <w:spacing w:val="-2"/>
                <w:sz w:val="21"/>
                <w:szCs w:val="21"/>
                <w:highlight w:val="none"/>
              </w:rPr>
              <w:t>进度</w:t>
            </w:r>
            <w:r>
              <w:rPr>
                <w:rFonts w:hint="eastAsia" w:ascii="宋体" w:hAnsi="宋体" w:eastAsia="宋体" w:cs="宋体"/>
                <w:b w:val="0"/>
                <w:bCs/>
                <w:color w:val="auto"/>
                <w:spacing w:val="-2"/>
                <w:sz w:val="21"/>
                <w:szCs w:val="21"/>
                <w:highlight w:val="none"/>
                <w:lang w:val="en-US" w:eastAsia="zh-CN"/>
              </w:rPr>
              <w:t>计划</w:t>
            </w:r>
            <w:r>
              <w:rPr>
                <w:rFonts w:hint="eastAsia" w:ascii="宋体" w:hAnsi="宋体" w:eastAsia="宋体" w:cs="宋体"/>
                <w:b w:val="0"/>
                <w:bCs/>
                <w:color w:val="auto"/>
                <w:spacing w:val="-2"/>
                <w:sz w:val="21"/>
                <w:szCs w:val="21"/>
                <w:highlight w:val="none"/>
              </w:rPr>
              <w:t>安排</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设备采购、配送、安装、调试、验收时间进度安排</w:t>
            </w:r>
            <w:r>
              <w:rPr>
                <w:rFonts w:hint="eastAsia" w:ascii="宋体" w:hAnsi="宋体" w:eastAsia="宋体" w:cs="宋体"/>
                <w:b w:val="0"/>
                <w:bCs/>
                <w:color w:val="auto"/>
                <w:spacing w:val="-2"/>
                <w:sz w:val="21"/>
                <w:szCs w:val="21"/>
                <w:highlight w:val="none"/>
                <w:lang w:eastAsia="zh-CN"/>
              </w:rPr>
              <w:t>），配送</w:t>
            </w:r>
            <w:r>
              <w:rPr>
                <w:rFonts w:hint="eastAsia" w:ascii="宋体" w:hAnsi="宋体" w:eastAsia="宋体" w:cs="宋体"/>
                <w:b w:val="0"/>
                <w:bCs/>
                <w:color w:val="auto"/>
                <w:spacing w:val="-2"/>
                <w:sz w:val="21"/>
                <w:szCs w:val="21"/>
                <w:highlight w:val="none"/>
                <w:lang w:val="en-US" w:eastAsia="zh-CN"/>
              </w:rPr>
              <w:t>及</w:t>
            </w:r>
            <w:r>
              <w:rPr>
                <w:rFonts w:hint="eastAsia" w:ascii="宋体" w:hAnsi="宋体" w:eastAsia="宋体" w:cs="宋体"/>
                <w:b w:val="0"/>
                <w:bCs/>
                <w:color w:val="auto"/>
                <w:spacing w:val="-2"/>
                <w:sz w:val="21"/>
                <w:szCs w:val="21"/>
                <w:highlight w:val="none"/>
                <w:lang w:eastAsia="zh-CN"/>
              </w:rPr>
              <w:t>安装实施方（具体的配送方案、安装方法、安装流程</w:t>
            </w:r>
            <w:r>
              <w:rPr>
                <w:rFonts w:hint="eastAsia" w:ascii="宋体" w:hAnsi="宋体" w:eastAsia="宋体" w:cs="宋体"/>
                <w:b w:val="0"/>
                <w:bCs/>
                <w:color w:val="auto"/>
                <w:spacing w:val="-2"/>
                <w:sz w:val="21"/>
                <w:szCs w:val="21"/>
                <w:highlight w:val="none"/>
                <w:lang w:val="en-US" w:eastAsia="zh-CN"/>
              </w:rPr>
              <w:t>等</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有完整的</w:t>
            </w:r>
            <w:r>
              <w:rPr>
                <w:rFonts w:hint="eastAsia" w:ascii="宋体" w:hAnsi="宋体" w:eastAsia="宋体" w:cs="宋体"/>
                <w:b w:val="0"/>
                <w:bCs/>
                <w:color w:val="auto"/>
                <w:spacing w:val="-2"/>
                <w:sz w:val="21"/>
                <w:szCs w:val="21"/>
                <w:highlight w:val="none"/>
              </w:rPr>
              <w:t>质量保证措施、风险防范措施（包括设备运输安装保障、应急方案等）、验收方案</w:t>
            </w:r>
            <w:r>
              <w:rPr>
                <w:rFonts w:hint="eastAsia" w:ascii="宋体" w:hAnsi="宋体" w:eastAsia="宋体" w:cs="宋体"/>
                <w:b w:val="0"/>
                <w:bCs/>
                <w:color w:val="auto"/>
                <w:spacing w:val="-2"/>
                <w:sz w:val="21"/>
                <w:szCs w:val="21"/>
                <w:highlight w:val="none"/>
                <w:lang w:val="en-US" w:eastAsia="zh-CN"/>
              </w:rPr>
              <w:t>等内容，能保证项目顺利实施</w:t>
            </w:r>
            <w:r>
              <w:rPr>
                <w:rFonts w:hint="eastAsia" w:ascii="宋体" w:hAnsi="宋体" w:eastAsia="宋体" w:cs="宋体"/>
                <w:b w:val="0"/>
                <w:bCs/>
                <w:color w:val="auto"/>
                <w:spacing w:val="-2"/>
                <w:sz w:val="21"/>
                <w:szCs w:val="21"/>
                <w:highlight w:val="none"/>
              </w:rPr>
              <w:t>。</w:t>
            </w:r>
          </w:p>
          <w:p w14:paraId="0BDB7B25">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b/>
                <w:bCs w:val="0"/>
                <w:color w:val="auto"/>
                <w:spacing w:val="-2"/>
                <w:sz w:val="21"/>
                <w:szCs w:val="21"/>
                <w:highlight w:val="none"/>
                <w:lang w:val="en-US" w:eastAsia="zh-CN"/>
              </w:rPr>
              <w:t>五</w:t>
            </w:r>
            <w:r>
              <w:rPr>
                <w:rFonts w:hint="eastAsia" w:ascii="宋体" w:hAnsi="宋体" w:eastAsia="宋体" w:cs="宋体"/>
                <w:b/>
                <w:bCs w:val="0"/>
                <w:color w:val="auto"/>
                <w:spacing w:val="-2"/>
                <w:sz w:val="21"/>
                <w:szCs w:val="21"/>
                <w:highlight w:val="none"/>
              </w:rPr>
              <w:t>档（10分）：</w:t>
            </w:r>
            <w:r>
              <w:rPr>
                <w:rFonts w:hint="eastAsia" w:ascii="宋体" w:hAnsi="宋体" w:eastAsia="宋体" w:cs="宋体"/>
                <w:b w:val="0"/>
                <w:bCs/>
                <w:color w:val="auto"/>
                <w:spacing w:val="-2"/>
                <w:sz w:val="21"/>
                <w:szCs w:val="21"/>
                <w:highlight w:val="none"/>
              </w:rPr>
              <w:t>项目实施方案详细、逻辑清晰</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具有合理性、可行性</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针对性</w:t>
            </w:r>
            <w:r>
              <w:rPr>
                <w:rFonts w:hint="eastAsia" w:ascii="宋体" w:hAnsi="宋体" w:eastAsia="宋体" w:cs="宋体"/>
                <w:b w:val="0"/>
                <w:bCs/>
                <w:color w:val="auto"/>
                <w:spacing w:val="-2"/>
                <w:sz w:val="21"/>
                <w:szCs w:val="21"/>
                <w:highlight w:val="none"/>
              </w:rPr>
              <w:t>，</w:t>
            </w:r>
            <w:r>
              <w:rPr>
                <w:rFonts w:hint="eastAsia" w:ascii="宋体" w:hAnsi="宋体" w:eastAsia="宋体" w:cs="宋体"/>
                <w:b w:val="0"/>
                <w:bCs/>
                <w:color w:val="auto"/>
                <w:spacing w:val="-2"/>
                <w:sz w:val="21"/>
                <w:szCs w:val="21"/>
                <w:highlight w:val="none"/>
                <w:lang w:val="en-US" w:eastAsia="zh-CN"/>
              </w:rPr>
              <w:t>有</w:t>
            </w:r>
            <w:r>
              <w:rPr>
                <w:rFonts w:hint="eastAsia" w:ascii="宋体" w:hAnsi="宋体" w:eastAsia="宋体" w:cs="宋体"/>
                <w:b w:val="0"/>
                <w:bCs/>
                <w:color w:val="auto"/>
                <w:spacing w:val="-2"/>
                <w:sz w:val="21"/>
                <w:szCs w:val="21"/>
                <w:highlight w:val="none"/>
              </w:rPr>
              <w:t>健全</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完善的</w:t>
            </w:r>
            <w:r>
              <w:rPr>
                <w:rFonts w:hint="eastAsia" w:ascii="宋体" w:hAnsi="宋体" w:eastAsia="宋体" w:cs="宋体"/>
                <w:b w:val="0"/>
                <w:bCs/>
                <w:color w:val="auto"/>
                <w:spacing w:val="-2"/>
                <w:sz w:val="21"/>
                <w:szCs w:val="21"/>
                <w:highlight w:val="none"/>
              </w:rPr>
              <w:t>组织机构</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具备完整的管理措施</w:t>
            </w:r>
            <w:r>
              <w:rPr>
                <w:rFonts w:hint="eastAsia" w:ascii="宋体" w:hAnsi="宋体" w:eastAsia="宋体" w:cs="宋体"/>
                <w:b w:val="0"/>
                <w:bCs/>
                <w:color w:val="auto"/>
                <w:spacing w:val="-2"/>
                <w:sz w:val="21"/>
                <w:szCs w:val="21"/>
                <w:highlight w:val="none"/>
                <w:lang w:eastAsia="zh-CN"/>
              </w:rPr>
              <w:t>（信息管理、质量控制、追溯体系、</w:t>
            </w:r>
            <w:r>
              <w:rPr>
                <w:rFonts w:hint="eastAsia" w:ascii="宋体" w:hAnsi="宋体" w:eastAsia="宋体" w:cs="宋体"/>
                <w:b w:val="0"/>
                <w:bCs/>
                <w:color w:val="auto"/>
                <w:spacing w:val="-2"/>
                <w:sz w:val="21"/>
                <w:szCs w:val="21"/>
                <w:highlight w:val="none"/>
                <w:lang w:val="en-US" w:eastAsia="zh-CN"/>
              </w:rPr>
              <w:t>产品</w:t>
            </w:r>
            <w:r>
              <w:rPr>
                <w:rFonts w:hint="eastAsia" w:ascii="宋体" w:hAnsi="宋体" w:eastAsia="宋体" w:cs="宋体"/>
                <w:b w:val="0"/>
                <w:bCs/>
                <w:color w:val="auto"/>
                <w:spacing w:val="-2"/>
                <w:sz w:val="21"/>
                <w:szCs w:val="21"/>
                <w:highlight w:val="none"/>
                <w:lang w:eastAsia="zh-CN"/>
              </w:rPr>
              <w:t>合规性管理</w:t>
            </w:r>
            <w:r>
              <w:rPr>
                <w:rFonts w:hint="eastAsia" w:ascii="宋体" w:hAnsi="宋体" w:eastAsia="宋体" w:cs="宋体"/>
                <w:b w:val="0"/>
                <w:bCs/>
                <w:color w:val="auto"/>
                <w:spacing w:val="-2"/>
                <w:sz w:val="21"/>
                <w:szCs w:val="21"/>
                <w:highlight w:val="none"/>
                <w:lang w:val="en-US" w:eastAsia="zh-CN"/>
              </w:rPr>
              <w:t>等内容</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w:t>
            </w:r>
            <w:r>
              <w:rPr>
                <w:rFonts w:hint="eastAsia" w:ascii="宋体" w:hAnsi="宋体" w:eastAsia="宋体" w:cs="宋体"/>
                <w:b w:val="0"/>
                <w:bCs/>
                <w:color w:val="auto"/>
                <w:spacing w:val="-2"/>
                <w:sz w:val="21"/>
                <w:szCs w:val="21"/>
                <w:highlight w:val="none"/>
              </w:rPr>
              <w:t>具体详细</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完整</w:t>
            </w:r>
            <w:r>
              <w:rPr>
                <w:rFonts w:hint="eastAsia" w:ascii="宋体" w:hAnsi="宋体" w:eastAsia="宋体" w:cs="宋体"/>
                <w:b w:val="0"/>
                <w:bCs/>
                <w:color w:val="auto"/>
                <w:spacing w:val="-2"/>
                <w:sz w:val="21"/>
                <w:szCs w:val="21"/>
                <w:highlight w:val="none"/>
              </w:rPr>
              <w:t>的实施流程</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w:t>
            </w:r>
            <w:r>
              <w:rPr>
                <w:rFonts w:hint="eastAsia" w:ascii="宋体" w:hAnsi="宋体" w:eastAsia="宋体" w:cs="宋体"/>
                <w:b w:val="0"/>
                <w:bCs/>
                <w:color w:val="auto"/>
                <w:spacing w:val="-2"/>
                <w:sz w:val="21"/>
                <w:szCs w:val="21"/>
                <w:highlight w:val="none"/>
              </w:rPr>
              <w:t>切实</w:t>
            </w:r>
            <w:r>
              <w:rPr>
                <w:rFonts w:hint="eastAsia" w:ascii="宋体" w:hAnsi="宋体" w:eastAsia="宋体" w:cs="宋体"/>
                <w:b w:val="0"/>
                <w:bCs/>
                <w:color w:val="auto"/>
                <w:spacing w:val="-2"/>
                <w:sz w:val="21"/>
                <w:szCs w:val="21"/>
                <w:highlight w:val="none"/>
                <w:lang w:val="en-US" w:eastAsia="zh-CN"/>
              </w:rPr>
              <w:t>的</w:t>
            </w:r>
            <w:r>
              <w:rPr>
                <w:rFonts w:hint="eastAsia" w:ascii="宋体" w:hAnsi="宋体" w:eastAsia="宋体" w:cs="宋体"/>
                <w:b w:val="0"/>
                <w:bCs/>
                <w:color w:val="auto"/>
                <w:spacing w:val="-2"/>
                <w:sz w:val="21"/>
                <w:szCs w:val="21"/>
                <w:highlight w:val="none"/>
              </w:rPr>
              <w:t>进度</w:t>
            </w:r>
            <w:r>
              <w:rPr>
                <w:rFonts w:hint="eastAsia" w:ascii="宋体" w:hAnsi="宋体" w:eastAsia="宋体" w:cs="宋体"/>
                <w:b w:val="0"/>
                <w:bCs/>
                <w:color w:val="auto"/>
                <w:spacing w:val="-2"/>
                <w:sz w:val="21"/>
                <w:szCs w:val="21"/>
                <w:highlight w:val="none"/>
                <w:lang w:val="en-US" w:eastAsia="zh-CN"/>
              </w:rPr>
              <w:t>计划</w:t>
            </w:r>
            <w:r>
              <w:rPr>
                <w:rFonts w:hint="eastAsia" w:ascii="宋体" w:hAnsi="宋体" w:eastAsia="宋体" w:cs="宋体"/>
                <w:b w:val="0"/>
                <w:bCs/>
                <w:color w:val="auto"/>
                <w:spacing w:val="-2"/>
                <w:sz w:val="21"/>
                <w:szCs w:val="21"/>
                <w:highlight w:val="none"/>
              </w:rPr>
              <w:t>安排（</w:t>
            </w:r>
            <w:r>
              <w:rPr>
                <w:rFonts w:hint="eastAsia" w:ascii="宋体" w:hAnsi="宋体" w:eastAsia="宋体" w:cs="宋体"/>
                <w:b w:val="0"/>
                <w:bCs/>
                <w:color w:val="auto"/>
                <w:spacing w:val="-2"/>
                <w:sz w:val="21"/>
                <w:szCs w:val="21"/>
                <w:highlight w:val="none"/>
                <w:lang w:val="en-US" w:eastAsia="zh-CN"/>
              </w:rPr>
              <w:t>设备采购、配送、安装、调试、验收等</w:t>
            </w:r>
            <w:r>
              <w:rPr>
                <w:rFonts w:hint="eastAsia" w:ascii="宋体" w:hAnsi="宋体" w:eastAsia="宋体" w:cs="宋体"/>
                <w:b w:val="0"/>
                <w:bCs/>
                <w:color w:val="auto"/>
                <w:spacing w:val="-2"/>
                <w:sz w:val="21"/>
                <w:szCs w:val="21"/>
                <w:highlight w:val="none"/>
              </w:rPr>
              <w:t>各阶段</w:t>
            </w:r>
            <w:r>
              <w:rPr>
                <w:rFonts w:hint="eastAsia" w:ascii="宋体" w:hAnsi="宋体" w:eastAsia="宋体" w:cs="宋体"/>
                <w:b w:val="0"/>
                <w:bCs/>
                <w:color w:val="auto"/>
                <w:spacing w:val="-2"/>
                <w:sz w:val="21"/>
                <w:szCs w:val="21"/>
                <w:highlight w:val="none"/>
                <w:lang w:val="en-US" w:eastAsia="zh-CN"/>
              </w:rPr>
              <w:t>时间</w:t>
            </w:r>
            <w:r>
              <w:rPr>
                <w:rFonts w:hint="eastAsia" w:ascii="宋体" w:hAnsi="宋体" w:eastAsia="宋体" w:cs="宋体"/>
                <w:b w:val="0"/>
                <w:bCs/>
                <w:color w:val="auto"/>
                <w:spacing w:val="-2"/>
                <w:sz w:val="21"/>
                <w:szCs w:val="21"/>
                <w:highlight w:val="none"/>
              </w:rPr>
              <w:t>进度安排</w:t>
            </w:r>
            <w:r>
              <w:rPr>
                <w:rFonts w:hint="eastAsia" w:ascii="宋体" w:hAnsi="宋体" w:eastAsia="宋体" w:cs="宋体"/>
                <w:b w:val="0"/>
                <w:bCs/>
                <w:color w:val="auto"/>
                <w:spacing w:val="-2"/>
                <w:sz w:val="21"/>
                <w:szCs w:val="21"/>
                <w:highlight w:val="none"/>
                <w:lang w:val="en-US" w:eastAsia="zh-CN"/>
              </w:rPr>
              <w:t>及对应的</w:t>
            </w:r>
            <w:r>
              <w:rPr>
                <w:rFonts w:hint="eastAsia" w:ascii="宋体" w:hAnsi="宋体" w:eastAsia="宋体" w:cs="宋体"/>
                <w:b w:val="0"/>
                <w:bCs/>
                <w:color w:val="auto"/>
                <w:spacing w:val="-2"/>
                <w:sz w:val="21"/>
                <w:szCs w:val="21"/>
                <w:highlight w:val="none"/>
              </w:rPr>
              <w:t>措施内容完整</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详细）</w:t>
            </w:r>
            <w:r>
              <w:rPr>
                <w:rFonts w:hint="eastAsia" w:ascii="宋体" w:hAnsi="宋体" w:eastAsia="宋体" w:cs="宋体"/>
                <w:b w:val="0"/>
                <w:bCs/>
                <w:color w:val="auto"/>
                <w:spacing w:val="-2"/>
                <w:sz w:val="21"/>
                <w:szCs w:val="21"/>
                <w:highlight w:val="none"/>
                <w:lang w:eastAsia="zh-CN"/>
              </w:rPr>
              <w:t>，配送</w:t>
            </w:r>
            <w:r>
              <w:rPr>
                <w:rFonts w:hint="eastAsia" w:ascii="宋体" w:hAnsi="宋体" w:eastAsia="宋体" w:cs="宋体"/>
                <w:b w:val="0"/>
                <w:bCs/>
                <w:color w:val="auto"/>
                <w:spacing w:val="-2"/>
                <w:sz w:val="21"/>
                <w:szCs w:val="21"/>
                <w:highlight w:val="none"/>
                <w:lang w:val="en-US" w:eastAsia="zh-CN"/>
              </w:rPr>
              <w:t>及</w:t>
            </w:r>
            <w:r>
              <w:rPr>
                <w:rFonts w:hint="eastAsia" w:ascii="宋体" w:hAnsi="宋体" w:eastAsia="宋体" w:cs="宋体"/>
                <w:b w:val="0"/>
                <w:bCs/>
                <w:color w:val="auto"/>
                <w:spacing w:val="-2"/>
                <w:sz w:val="21"/>
                <w:szCs w:val="21"/>
                <w:highlight w:val="none"/>
                <w:lang w:eastAsia="zh-CN"/>
              </w:rPr>
              <w:t>安装实施</w:t>
            </w:r>
            <w:ins w:id="111" w:author="JDZBzheng" w:date="2026-06-30T11:23:11Z">
              <w:r>
                <w:rPr>
                  <w:rFonts w:hint="eastAsia" w:ascii="宋体" w:hAnsi="宋体" w:cs="宋体"/>
                  <w:b w:val="0"/>
                  <w:bCs/>
                  <w:color w:val="auto"/>
                  <w:spacing w:val="-2"/>
                  <w:sz w:val="21"/>
                  <w:szCs w:val="21"/>
                  <w:highlight w:val="none"/>
                  <w:lang w:eastAsia="zh-CN"/>
                </w:rPr>
                <w:t>方案</w:t>
              </w:r>
            </w:ins>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详细、</w:t>
            </w:r>
            <w:r>
              <w:rPr>
                <w:rFonts w:hint="eastAsia" w:ascii="宋体" w:hAnsi="宋体" w:eastAsia="宋体" w:cs="宋体"/>
                <w:b w:val="0"/>
                <w:bCs/>
                <w:color w:val="auto"/>
                <w:spacing w:val="-2"/>
                <w:sz w:val="21"/>
                <w:szCs w:val="21"/>
                <w:highlight w:val="none"/>
                <w:lang w:eastAsia="zh-CN"/>
              </w:rPr>
              <w:t>具体的配送方案、安装方法、安装流程</w:t>
            </w:r>
            <w:r>
              <w:rPr>
                <w:rFonts w:hint="eastAsia" w:ascii="宋体" w:hAnsi="宋体" w:eastAsia="宋体" w:cs="宋体"/>
                <w:b w:val="0"/>
                <w:bCs/>
                <w:color w:val="auto"/>
                <w:spacing w:val="-2"/>
                <w:sz w:val="21"/>
                <w:szCs w:val="21"/>
                <w:highlight w:val="none"/>
                <w:lang w:val="en-US" w:eastAsia="zh-CN"/>
              </w:rPr>
              <w:t>等内容，且方案合理、有针对性</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质量保证措施（具备履约期内全程可实施的详细、完善的措施方案）</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风险防范措施详尽（包括设备运输安装保障、应急方案等）</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详细可实施的验收方案</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实施方案资料齐全、完善、有针对性、</w:t>
            </w:r>
            <w:ins w:id="112" w:author="JDZBzheng" w:date="2026-06-30T11:23:19Z">
              <w:r>
                <w:rPr>
                  <w:rFonts w:hint="eastAsia" w:ascii="宋体" w:hAnsi="宋体" w:cs="宋体"/>
                  <w:b w:val="0"/>
                  <w:bCs/>
                  <w:color w:val="auto"/>
                  <w:spacing w:val="-2"/>
                  <w:sz w:val="21"/>
                  <w:szCs w:val="21"/>
                  <w:highlight w:val="none"/>
                  <w:lang w:val="en-US" w:eastAsia="zh-CN"/>
                </w:rPr>
                <w:t>能够</w:t>
              </w:r>
            </w:ins>
            <w:r>
              <w:rPr>
                <w:rFonts w:hint="eastAsia" w:ascii="宋体" w:hAnsi="宋体" w:eastAsia="宋体" w:cs="宋体"/>
                <w:b w:val="0"/>
                <w:bCs/>
                <w:color w:val="auto"/>
                <w:spacing w:val="-2"/>
                <w:sz w:val="21"/>
                <w:szCs w:val="21"/>
                <w:highlight w:val="none"/>
                <w:lang w:val="en-US" w:eastAsia="zh-CN"/>
              </w:rPr>
              <w:t>保证项目顺利实施或提前完善交付使用</w:t>
            </w:r>
            <w:r>
              <w:rPr>
                <w:rFonts w:hint="eastAsia" w:ascii="宋体" w:hAnsi="宋体" w:eastAsia="宋体" w:cs="宋体"/>
                <w:b w:val="0"/>
                <w:bCs/>
                <w:color w:val="auto"/>
                <w:spacing w:val="-2"/>
                <w:sz w:val="21"/>
                <w:szCs w:val="21"/>
                <w:highlight w:val="none"/>
              </w:rPr>
              <w:t>。</w:t>
            </w:r>
          </w:p>
        </w:tc>
        <w:tc>
          <w:tcPr>
            <w:tcW w:w="763" w:type="dxa"/>
            <w:noWrap w:val="0"/>
            <w:vAlign w:val="center"/>
          </w:tcPr>
          <w:p w14:paraId="51410CBB">
            <w:pPr>
              <w:spacing w:line="360" w:lineRule="exact"/>
              <w:jc w:val="center"/>
              <w:rPr>
                <w:rFonts w:hint="default" w:ascii="Arial" w:hAnsi="Arial" w:cs="Arial" w:eastAsiaTheme="minorEastAsia"/>
                <w:color w:val="auto"/>
                <w:sz w:val="21"/>
                <w:szCs w:val="21"/>
                <w:highlight w:val="none"/>
                <w:lang w:val="en-US" w:eastAsia="zh-CN"/>
              </w:rPr>
            </w:pPr>
            <w:r>
              <w:rPr>
                <w:rFonts w:hint="default" w:ascii="Arial" w:hAnsi="Arial" w:cs="Arial" w:eastAsiaTheme="minorEastAsia"/>
                <w:color w:val="auto"/>
                <w:sz w:val="21"/>
                <w:szCs w:val="21"/>
                <w:highlight w:val="none"/>
              </w:rPr>
              <w:t>0-</w:t>
            </w:r>
            <w:r>
              <w:rPr>
                <w:rFonts w:hint="eastAsia" w:ascii="Arial" w:hAnsi="Arial" w:cs="Arial" w:eastAsiaTheme="minorEastAsia"/>
                <w:color w:val="auto"/>
                <w:sz w:val="21"/>
                <w:szCs w:val="21"/>
                <w:highlight w:val="none"/>
                <w:lang w:val="en-US" w:eastAsia="zh-CN"/>
              </w:rPr>
              <w:t>10</w:t>
            </w:r>
          </w:p>
        </w:tc>
        <w:tc>
          <w:tcPr>
            <w:tcW w:w="2201" w:type="dxa"/>
            <w:noWrap w:val="0"/>
            <w:vAlign w:val="center"/>
          </w:tcPr>
          <w:p w14:paraId="53C7E06E">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未提供方案不得分。</w:t>
            </w:r>
          </w:p>
          <w:p w14:paraId="61E5DDF1">
            <w:pPr>
              <w:spacing w:line="360" w:lineRule="exact"/>
              <w:jc w:val="center"/>
              <w:rPr>
                <w:rFonts w:hint="eastAsia" w:asciiTheme="minorEastAsia" w:hAnsiTheme="minorEastAsia" w:eastAsiaTheme="minorEastAsia" w:cstheme="minorEastAsia"/>
                <w:bCs/>
                <w:color w:val="auto"/>
                <w:spacing w:val="10"/>
                <w:sz w:val="21"/>
                <w:szCs w:val="21"/>
                <w:highlight w:val="none"/>
              </w:rPr>
            </w:pPr>
          </w:p>
        </w:tc>
      </w:tr>
      <w:tr w14:paraId="45A9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23" w:type="dxa"/>
            <w:noWrap w:val="0"/>
            <w:vAlign w:val="center"/>
          </w:tcPr>
          <w:p w14:paraId="5C0B8C17">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4</w:t>
            </w:r>
          </w:p>
        </w:tc>
        <w:tc>
          <w:tcPr>
            <w:tcW w:w="564" w:type="dxa"/>
            <w:noWrap w:val="0"/>
            <w:vAlign w:val="center"/>
          </w:tcPr>
          <w:p w14:paraId="385B87C8">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技术</w:t>
            </w:r>
            <w:r>
              <w:rPr>
                <w:rFonts w:hint="eastAsia" w:ascii="Arial" w:hAnsi="Arial" w:cs="Arial"/>
                <w:color w:val="auto"/>
                <w:sz w:val="21"/>
                <w:szCs w:val="21"/>
                <w:highlight w:val="none"/>
                <w:lang w:eastAsia="zh-CN"/>
              </w:rPr>
              <w:t>分</w:t>
            </w:r>
          </w:p>
        </w:tc>
        <w:tc>
          <w:tcPr>
            <w:tcW w:w="1080" w:type="dxa"/>
            <w:noWrap w:val="0"/>
            <w:vAlign w:val="center"/>
          </w:tcPr>
          <w:p w14:paraId="0F4DA579">
            <w:pPr>
              <w:spacing w:line="36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培训计划</w:t>
            </w:r>
            <w:r>
              <w:rPr>
                <w:rFonts w:hint="eastAsia" w:ascii="Arial" w:hAnsi="Arial" w:cs="Arial"/>
                <w:color w:val="auto"/>
                <w:sz w:val="21"/>
                <w:szCs w:val="21"/>
                <w:highlight w:val="none"/>
              </w:rPr>
              <w:t>（主观分）</w:t>
            </w:r>
          </w:p>
        </w:tc>
        <w:tc>
          <w:tcPr>
            <w:tcW w:w="5506" w:type="dxa"/>
            <w:noWrap w:val="0"/>
            <w:vAlign w:val="center"/>
          </w:tcPr>
          <w:p w14:paraId="67EBF724">
            <w:pPr>
              <w:pStyle w:val="27"/>
              <w:keepNext w:val="0"/>
              <w:keepLines w:val="0"/>
              <w:pageBreakBefore w:val="0"/>
              <w:widowControl/>
              <w:suppressLineNumbers w:val="0"/>
              <w:kinsoku/>
              <w:wordWrap/>
              <w:overflowPunct/>
              <w:topLinePunct w:val="0"/>
              <w:bidi w:val="0"/>
              <w:snapToGrid/>
              <w:spacing w:before="0" w:beforeAutospacing="0" w:after="0" w:afterAutospacing="0" w:line="360" w:lineRule="auto"/>
              <w:ind w:right="0"/>
              <w:jc w:val="left"/>
              <w:rPr>
                <w:rFonts w:hint="eastAsia" w:ascii="宋体" w:hAnsi="宋体" w:eastAsia="宋体" w:cs="宋体"/>
                <w:b w:val="0"/>
                <w:bCs/>
                <w:color w:val="auto"/>
                <w:sz w:val="21"/>
                <w:szCs w:val="21"/>
                <w:highlight w:val="none"/>
                <w:lang w:eastAsia="zh-CN"/>
              </w:rPr>
            </w:pPr>
            <w:r>
              <w:rPr>
                <w:rFonts w:hint="eastAsia" w:ascii="宋体" w:hAnsi="宋体" w:eastAsia="宋体" w:cs="宋体"/>
                <w:b/>
                <w:bCs w:val="0"/>
                <w:color w:val="auto"/>
                <w:sz w:val="21"/>
                <w:szCs w:val="21"/>
                <w:highlight w:val="none"/>
              </w:rPr>
              <w:t>一档（</w:t>
            </w:r>
            <w:r>
              <w:rPr>
                <w:rFonts w:hint="eastAsia" w:hAnsi="宋体" w:eastAsia="宋体" w:cs="宋体"/>
                <w:b/>
                <w:bCs w:val="0"/>
                <w:color w:val="auto"/>
                <w:sz w:val="21"/>
                <w:szCs w:val="21"/>
                <w:highlight w:val="none"/>
                <w:lang w:val="en-US" w:eastAsia="zh-CN"/>
              </w:rPr>
              <w:t>1</w:t>
            </w:r>
            <w:r>
              <w:rPr>
                <w:rFonts w:hint="eastAsia" w:ascii="宋体" w:hAnsi="宋体" w:eastAsia="宋体" w:cs="宋体"/>
                <w:b/>
                <w:bCs w:val="0"/>
                <w:color w:val="auto"/>
                <w:sz w:val="21"/>
                <w:szCs w:val="21"/>
                <w:highlight w:val="none"/>
              </w:rPr>
              <w:t>分）：</w:t>
            </w:r>
            <w:r>
              <w:rPr>
                <w:rFonts w:hint="eastAsia" w:ascii="宋体" w:hAnsi="宋体" w:eastAsia="宋体" w:cs="宋体"/>
                <w:b w:val="0"/>
                <w:bCs/>
                <w:color w:val="auto"/>
                <w:sz w:val="21"/>
                <w:szCs w:val="21"/>
                <w:highlight w:val="none"/>
              </w:rPr>
              <w:t>培训方案包含的要点有缺漏或内容与要点相符但仅有纲要、内容简略，未展开详细阐述</w:t>
            </w:r>
            <w:r>
              <w:rPr>
                <w:rFonts w:hint="eastAsia" w:hAnsi="宋体" w:eastAsia="宋体" w:cs="宋体"/>
                <w:b w:val="0"/>
                <w:bCs/>
                <w:color w:val="auto"/>
                <w:sz w:val="21"/>
                <w:szCs w:val="21"/>
                <w:highlight w:val="none"/>
                <w:lang w:eastAsia="zh-CN"/>
              </w:rPr>
              <w:t>。</w:t>
            </w:r>
          </w:p>
          <w:p w14:paraId="26905CF3">
            <w:pPr>
              <w:pStyle w:val="27"/>
              <w:keepNext w:val="0"/>
              <w:keepLines w:val="0"/>
              <w:pageBreakBefore w:val="0"/>
              <w:widowControl/>
              <w:suppressLineNumbers w:val="0"/>
              <w:kinsoku/>
              <w:wordWrap/>
              <w:overflowPunct/>
              <w:topLinePunct w:val="0"/>
              <w:bidi w:val="0"/>
              <w:snapToGrid/>
              <w:spacing w:before="0" w:beforeAutospacing="0" w:after="0" w:afterAutospacing="0" w:line="360" w:lineRule="auto"/>
              <w:ind w:right="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rPr>
              <w:t>二档（</w:t>
            </w:r>
            <w:r>
              <w:rPr>
                <w:rFonts w:hint="eastAsia" w:hAnsi="宋体" w:eastAsia="宋体" w:cs="宋体"/>
                <w:b/>
                <w:bCs w:val="0"/>
                <w:color w:val="auto"/>
                <w:sz w:val="21"/>
                <w:szCs w:val="21"/>
                <w:highlight w:val="none"/>
                <w:lang w:val="en-US" w:eastAsia="zh-CN"/>
              </w:rPr>
              <w:t>2</w:t>
            </w:r>
            <w:r>
              <w:rPr>
                <w:rFonts w:hint="eastAsia" w:ascii="宋体" w:hAnsi="宋体" w:eastAsia="宋体" w:cs="宋体"/>
                <w:b/>
                <w:bCs w:val="0"/>
                <w:color w:val="auto"/>
                <w:sz w:val="21"/>
                <w:szCs w:val="21"/>
                <w:highlight w:val="none"/>
              </w:rPr>
              <w:t>分）：</w:t>
            </w:r>
            <w:r>
              <w:rPr>
                <w:rFonts w:hint="eastAsia" w:hAnsi="宋体" w:eastAsia="宋体" w:cs="宋体"/>
                <w:b w:val="0"/>
                <w:bCs/>
                <w:color w:val="auto"/>
                <w:sz w:val="21"/>
                <w:szCs w:val="21"/>
                <w:highlight w:val="none"/>
                <w:lang w:val="en-US" w:eastAsia="zh-CN"/>
              </w:rPr>
              <w:t>提供设备操作、使用及维护培训方案，方案内容具有简单的设备操作、使用及维护培训计划，包含招标文件要求的设备使用培训内容，提供专业技术人员对招标人进行培训，产品交付使用时对招标人进行1次设备操作、使用及维护培训，验收合格后对招标人进行2次设备操作、使用及维护培训，每次培训时长不低于20分钟，培训内容有简单的设备标准操作方法、设备使用注意事项，满足采购需求</w:t>
            </w:r>
            <w:r>
              <w:rPr>
                <w:rFonts w:hint="eastAsia" w:hAnsi="宋体" w:eastAsia="宋体" w:cs="宋体"/>
                <w:b w:val="0"/>
                <w:bCs/>
                <w:color w:val="auto"/>
                <w:sz w:val="21"/>
                <w:szCs w:val="21"/>
                <w:highlight w:val="none"/>
                <w:lang w:eastAsia="zh-CN"/>
              </w:rPr>
              <w:t>。</w:t>
            </w:r>
          </w:p>
          <w:p w14:paraId="77BFF269">
            <w:pPr>
              <w:pStyle w:val="27"/>
              <w:keepNext w:val="0"/>
              <w:keepLines w:val="0"/>
              <w:pageBreakBefore w:val="0"/>
              <w:widowControl/>
              <w:suppressLineNumbers w:val="0"/>
              <w:kinsoku/>
              <w:wordWrap/>
              <w:overflowPunct/>
              <w:topLinePunct w:val="0"/>
              <w:bidi w:val="0"/>
              <w:snapToGrid/>
              <w:spacing w:before="0" w:beforeAutospacing="0" w:after="0" w:afterAutospacing="0" w:line="360" w:lineRule="auto"/>
              <w:ind w:right="0"/>
              <w:jc w:val="left"/>
              <w:rPr>
                <w:rFonts w:hint="eastAsia" w:ascii="宋体" w:hAnsi="宋体" w:eastAsia="宋体" w:cs="宋体"/>
                <w:b w:val="0"/>
                <w:bCs/>
                <w:color w:val="auto"/>
                <w:sz w:val="21"/>
                <w:szCs w:val="21"/>
                <w:highlight w:val="none"/>
                <w:lang w:eastAsia="zh-CN"/>
              </w:rPr>
            </w:pPr>
            <w:r>
              <w:rPr>
                <w:rFonts w:hint="eastAsia" w:hAnsi="宋体" w:eastAsia="宋体" w:cs="宋体"/>
                <w:b/>
                <w:bCs w:val="0"/>
                <w:color w:val="auto"/>
                <w:sz w:val="21"/>
                <w:szCs w:val="21"/>
                <w:highlight w:val="none"/>
                <w:lang w:val="en-US" w:eastAsia="zh-CN"/>
              </w:rPr>
              <w:t>三档（3分）：</w:t>
            </w:r>
            <w:r>
              <w:rPr>
                <w:rFonts w:hint="eastAsia" w:ascii="宋体" w:hAnsi="宋体" w:eastAsia="宋体" w:cs="宋体"/>
                <w:b w:val="0"/>
                <w:bCs/>
                <w:color w:val="auto"/>
                <w:sz w:val="21"/>
                <w:szCs w:val="21"/>
                <w:highlight w:val="none"/>
              </w:rPr>
              <w:t>提供设备操作、使用及维护培训方案，方案内容具有详细的设备操作、使用及维护培训计划，包含招标文件要求的设备使用培训内容，提供专业技术人员对招标人进行培训，产品交付使用时对招标人进行至少1次设备操作、使用及维护培训，验收合格后对招标人进行至少3次设备操作、使用及维护培训，每次培训时长不低于20分钟，培训内容有详细的设备标准操作方法、设备使用注意事项、设备基础维护知识，满足采购需求</w:t>
            </w:r>
            <w:r>
              <w:rPr>
                <w:rFonts w:hint="eastAsia" w:hAnsi="宋体" w:eastAsia="宋体" w:cs="宋体"/>
                <w:b w:val="0"/>
                <w:bCs/>
                <w:color w:val="auto"/>
                <w:sz w:val="21"/>
                <w:szCs w:val="21"/>
                <w:highlight w:val="none"/>
                <w:lang w:eastAsia="zh-CN"/>
              </w:rPr>
              <w:t>。</w:t>
            </w:r>
          </w:p>
          <w:p w14:paraId="35419DA5">
            <w:pPr>
              <w:pStyle w:val="27"/>
              <w:keepNext w:val="0"/>
              <w:keepLines w:val="0"/>
              <w:pageBreakBefore w:val="0"/>
              <w:widowControl/>
              <w:suppressLineNumbers w:val="0"/>
              <w:kinsoku/>
              <w:wordWrap/>
              <w:overflowPunct/>
              <w:topLinePunct w:val="0"/>
              <w:bidi w:val="0"/>
              <w:snapToGrid/>
              <w:spacing w:before="0" w:beforeAutospacing="0" w:after="0" w:afterAutospacing="0" w:line="360" w:lineRule="auto"/>
              <w:ind w:right="0"/>
              <w:jc w:val="left"/>
              <w:rPr>
                <w:rFonts w:hint="eastAsia" w:ascii="宋体" w:hAnsi="宋体" w:eastAsia="宋体" w:cs="宋体"/>
                <w:b w:val="0"/>
                <w:bCs/>
                <w:color w:val="auto"/>
                <w:sz w:val="21"/>
                <w:szCs w:val="21"/>
                <w:highlight w:val="none"/>
              </w:rPr>
            </w:pPr>
            <w:r>
              <w:rPr>
                <w:rFonts w:hint="eastAsia" w:hAnsi="宋体" w:eastAsia="宋体" w:cs="宋体"/>
                <w:b/>
                <w:bCs w:val="0"/>
                <w:color w:val="auto"/>
                <w:sz w:val="21"/>
                <w:szCs w:val="21"/>
                <w:highlight w:val="none"/>
                <w:lang w:val="en-US" w:eastAsia="zh-CN"/>
              </w:rPr>
              <w:t>四档（4分）：</w:t>
            </w:r>
            <w:r>
              <w:rPr>
                <w:rFonts w:hint="eastAsia" w:ascii="宋体" w:hAnsi="宋体" w:eastAsia="宋体" w:cs="宋体"/>
                <w:b w:val="0"/>
                <w:bCs/>
                <w:color w:val="auto"/>
                <w:sz w:val="21"/>
                <w:szCs w:val="21"/>
                <w:highlight w:val="none"/>
              </w:rPr>
              <w:t>提供设备操作、使用及维护培训方案，方案内容具有设备操作、使用及维护培训计划，包含招标文件要求的设备使用培训内容，提供专业技术人员对招标人进行培训，产品交付使用时对招标人进行至少1次设备操作、使用及维护培训，验收合格后对招标人进行至少3次设备操作、使用及维护培训，每次培训时长不低于25分钟，培训内容有完善的设备标准操作方法、设备使用注意事项、设备基础维护知识、设备一般故障处理方法、设备重大故障处理方法、设备维护保养细则，满足采购需求。</w:t>
            </w:r>
          </w:p>
          <w:p w14:paraId="26E60EE8">
            <w:pPr>
              <w:keepNext w:val="0"/>
              <w:keepLines w:val="0"/>
              <w:widowControl/>
              <w:suppressLineNumbers w:val="0"/>
              <w:spacing w:line="360" w:lineRule="auto"/>
              <w:jc w:val="left"/>
              <w:rPr>
                <w:rFonts w:hint="eastAsia" w:ascii="宋体" w:hAnsi="宋体" w:eastAsia="宋体" w:cs="宋体"/>
                <w:b/>
                <w:bCs w:val="0"/>
                <w:color w:val="auto"/>
                <w:spacing w:val="-2"/>
                <w:sz w:val="21"/>
                <w:szCs w:val="21"/>
                <w:highlight w:val="none"/>
                <w:lang w:val="en-US" w:eastAsia="zh-CN"/>
              </w:rPr>
            </w:pPr>
            <w:r>
              <w:rPr>
                <w:rFonts w:hint="eastAsia" w:hAnsi="宋体" w:eastAsia="宋体" w:cs="宋体"/>
                <w:b/>
                <w:bCs w:val="0"/>
                <w:color w:val="auto"/>
                <w:sz w:val="21"/>
                <w:szCs w:val="21"/>
                <w:highlight w:val="none"/>
                <w:lang w:val="en-US" w:eastAsia="zh-CN"/>
              </w:rPr>
              <w:t>五档（5分）：</w:t>
            </w:r>
            <w:r>
              <w:rPr>
                <w:rFonts w:hint="eastAsia" w:ascii="宋体" w:hAnsi="宋体" w:eastAsia="宋体" w:cs="宋体"/>
                <w:b w:val="0"/>
                <w:bCs/>
                <w:color w:val="auto"/>
                <w:sz w:val="21"/>
                <w:szCs w:val="21"/>
                <w:highlight w:val="none"/>
              </w:rPr>
              <w:t>提供设备操作、使用及维护培训方案，方案内容具有设备操作、使用及维护培训计划，包含招标文件要求的设备使用培训内容，提供专业技术人员对招标人进行培训，产品交付使用时对招标人进行至少1次设备操作、使用及维护培训，验收合格后对招标人进行至少4次设备操作、使用及维护培训，每次培训时长不低于30分钟，培训内容有详细完善的设备标准操作方法、设备使用注意事项、设备基础维护知识、设备一般故障处理方法、设备重大故障处理方法、设备维护保养细则、设备使用技术指导，完全满足采购需求。</w:t>
            </w:r>
          </w:p>
        </w:tc>
        <w:tc>
          <w:tcPr>
            <w:tcW w:w="763" w:type="dxa"/>
            <w:noWrap w:val="0"/>
            <w:vAlign w:val="center"/>
          </w:tcPr>
          <w:p w14:paraId="4C2038A3">
            <w:pPr>
              <w:spacing w:line="360" w:lineRule="exact"/>
              <w:jc w:val="center"/>
              <w:rPr>
                <w:rFonts w:hint="default" w:ascii="Arial" w:hAnsi="Arial" w:cs="Arial" w:eastAsiaTheme="minorEastAsia"/>
                <w:color w:val="auto"/>
                <w:sz w:val="21"/>
                <w:szCs w:val="21"/>
                <w:highlight w:val="none"/>
              </w:rPr>
            </w:pPr>
            <w:r>
              <w:rPr>
                <w:rFonts w:hint="default" w:ascii="Arial" w:hAnsi="Arial" w:cs="Arial" w:eastAsiaTheme="minorEastAsia"/>
                <w:color w:val="auto"/>
                <w:sz w:val="21"/>
                <w:szCs w:val="21"/>
                <w:highlight w:val="none"/>
              </w:rPr>
              <w:t>0-</w:t>
            </w:r>
            <w:r>
              <w:rPr>
                <w:rFonts w:hint="eastAsia" w:ascii="Arial" w:hAnsi="Arial" w:cs="Arial" w:eastAsiaTheme="minorEastAsia"/>
                <w:color w:val="auto"/>
                <w:sz w:val="21"/>
                <w:szCs w:val="21"/>
                <w:highlight w:val="none"/>
                <w:lang w:val="en-US" w:eastAsia="zh-CN"/>
              </w:rPr>
              <w:t>5</w:t>
            </w:r>
          </w:p>
        </w:tc>
        <w:tc>
          <w:tcPr>
            <w:tcW w:w="2201" w:type="dxa"/>
            <w:noWrap w:val="0"/>
            <w:vAlign w:val="center"/>
          </w:tcPr>
          <w:p w14:paraId="52916129">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未提供方案不得分。</w:t>
            </w:r>
          </w:p>
          <w:p w14:paraId="56E9B62B">
            <w:pPr>
              <w:spacing w:line="360" w:lineRule="exact"/>
              <w:jc w:val="center"/>
              <w:rPr>
                <w:rFonts w:hint="eastAsia" w:asciiTheme="minorEastAsia" w:hAnsiTheme="minorEastAsia" w:eastAsiaTheme="minorEastAsia" w:cstheme="minorEastAsia"/>
                <w:bCs/>
                <w:color w:val="auto"/>
                <w:spacing w:val="10"/>
                <w:sz w:val="21"/>
                <w:szCs w:val="21"/>
                <w:highlight w:val="none"/>
              </w:rPr>
            </w:pPr>
          </w:p>
        </w:tc>
      </w:tr>
      <w:tr w14:paraId="2495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523" w:type="dxa"/>
            <w:noWrap w:val="0"/>
            <w:vAlign w:val="center"/>
          </w:tcPr>
          <w:p w14:paraId="309839C5">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5</w:t>
            </w:r>
          </w:p>
        </w:tc>
        <w:tc>
          <w:tcPr>
            <w:tcW w:w="564" w:type="dxa"/>
            <w:noWrap w:val="0"/>
            <w:vAlign w:val="center"/>
          </w:tcPr>
          <w:p w14:paraId="4AE115EA">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080" w:type="dxa"/>
            <w:noWrap w:val="0"/>
            <w:vAlign w:val="center"/>
          </w:tcPr>
          <w:p w14:paraId="5D746A59">
            <w:pPr>
              <w:spacing w:line="360" w:lineRule="exact"/>
              <w:jc w:val="center"/>
              <w:rPr>
                <w:rFonts w:ascii="Arial" w:hAnsi="Arial" w:cs="Arial"/>
                <w:color w:val="auto"/>
                <w:sz w:val="21"/>
                <w:szCs w:val="21"/>
                <w:highlight w:val="none"/>
              </w:rPr>
            </w:pPr>
            <w:r>
              <w:rPr>
                <w:rFonts w:hint="eastAsia" w:ascii="宋体" w:hAnsi="宋体" w:eastAsia="宋体" w:cs="宋体"/>
                <w:b w:val="0"/>
                <w:bCs/>
                <w:color w:val="auto"/>
                <w:spacing w:val="-2"/>
                <w:sz w:val="21"/>
                <w:szCs w:val="21"/>
                <w:highlight w:val="none"/>
              </w:rPr>
              <w:t>售后服务方案</w:t>
            </w:r>
            <w:r>
              <w:rPr>
                <w:rFonts w:hint="eastAsia" w:ascii="Arial" w:hAnsi="Arial" w:cs="Arial"/>
                <w:color w:val="auto"/>
                <w:sz w:val="21"/>
                <w:szCs w:val="21"/>
                <w:highlight w:val="none"/>
              </w:rPr>
              <w:t>（</w:t>
            </w:r>
            <w:r>
              <w:rPr>
                <w:rFonts w:hint="eastAsia" w:ascii="Arial" w:hAnsi="Arial" w:cs="Arial"/>
                <w:color w:val="auto"/>
                <w:sz w:val="21"/>
                <w:szCs w:val="21"/>
                <w:highlight w:val="none"/>
                <w:lang w:val="en-US" w:eastAsia="zh-CN"/>
              </w:rPr>
              <w:t>主观</w:t>
            </w:r>
            <w:r>
              <w:rPr>
                <w:rFonts w:hint="eastAsia" w:ascii="Arial" w:hAnsi="Arial" w:cs="Arial"/>
                <w:color w:val="auto"/>
                <w:sz w:val="21"/>
                <w:szCs w:val="21"/>
                <w:highlight w:val="none"/>
              </w:rPr>
              <w:t xml:space="preserve">分） </w:t>
            </w:r>
          </w:p>
        </w:tc>
        <w:tc>
          <w:tcPr>
            <w:tcW w:w="5506" w:type="dxa"/>
            <w:noWrap w:val="0"/>
            <w:vAlign w:val="center"/>
          </w:tcPr>
          <w:p w14:paraId="71367EC3">
            <w:pPr>
              <w:pStyle w:val="20"/>
              <w:keepNext w:val="0"/>
              <w:keepLines w:val="0"/>
              <w:pageBreakBefore w:val="0"/>
              <w:widowControl/>
              <w:suppressLineNumbers w:val="0"/>
              <w:kinsoku/>
              <w:wordWrap/>
              <w:overflowPunct/>
              <w:topLinePunct w:val="0"/>
              <w:bidi w:val="0"/>
              <w:snapToGrid/>
              <w:spacing w:before="0" w:beforeAutospacing="0" w:after="0" w:afterAutospacing="0" w:line="360" w:lineRule="auto"/>
              <w:ind w:right="0"/>
              <w:jc w:val="left"/>
              <w:rPr>
                <w:rFonts w:hint="eastAsia" w:ascii="宋体" w:hAnsi="宋体" w:eastAsia="宋体" w:cs="宋体"/>
                <w:b w:val="0"/>
                <w:bCs/>
                <w:color w:val="auto"/>
                <w:spacing w:val="-2"/>
                <w:sz w:val="21"/>
                <w:szCs w:val="21"/>
                <w:highlight w:val="none"/>
              </w:rPr>
            </w:pPr>
            <w:r>
              <w:rPr>
                <w:rFonts w:hint="eastAsia" w:ascii="宋体" w:hAnsi="宋体" w:eastAsia="宋体" w:cs="宋体"/>
                <w:b w:val="0"/>
                <w:bCs/>
                <w:color w:val="auto"/>
                <w:spacing w:val="-2"/>
                <w:sz w:val="21"/>
                <w:szCs w:val="21"/>
                <w:highlight w:val="none"/>
              </w:rPr>
              <w:t>评委根据招标文件售后服务要求并结合</w:t>
            </w:r>
            <w:r>
              <w:rPr>
                <w:rFonts w:hint="eastAsia" w:ascii="宋体" w:hAnsi="宋体" w:eastAsia="宋体" w:cs="宋体"/>
                <w:b w:val="0"/>
                <w:bCs/>
                <w:color w:val="auto"/>
                <w:spacing w:val="-2"/>
                <w:sz w:val="21"/>
                <w:szCs w:val="21"/>
                <w:highlight w:val="none"/>
                <w:lang w:val="en-US" w:eastAsia="zh-CN"/>
              </w:rPr>
              <w:t>投标人</w:t>
            </w:r>
            <w:r>
              <w:rPr>
                <w:rFonts w:hint="eastAsia" w:ascii="宋体" w:hAnsi="宋体" w:eastAsia="宋体" w:cs="宋体"/>
                <w:b w:val="0"/>
                <w:bCs/>
                <w:color w:val="auto"/>
                <w:spacing w:val="-2"/>
                <w:sz w:val="21"/>
                <w:szCs w:val="21"/>
                <w:highlight w:val="none"/>
              </w:rPr>
              <w:t>售后服务方案内容的完整性、可行性、到达故障现场时间、故障出现解决方案、免费保修期外维修维护方案（含零配件的优惠供应等内容）、是否具备故障时的替代产品</w:t>
            </w:r>
            <w:ins w:id="113" w:author="JDZBzheng" w:date="2026-06-30T11:23:22Z">
              <w:r>
                <w:rPr>
                  <w:rFonts w:hint="eastAsia" w:ascii="宋体" w:hAnsi="宋体" w:cs="宋体"/>
                  <w:b w:val="0"/>
                  <w:bCs/>
                  <w:color w:val="auto"/>
                  <w:spacing w:val="-2"/>
                  <w:sz w:val="21"/>
                  <w:szCs w:val="21"/>
                  <w:highlight w:val="none"/>
                  <w:lang w:eastAsia="zh-CN"/>
                </w:rPr>
                <w:t>等</w:t>
              </w:r>
            </w:ins>
            <w:r>
              <w:rPr>
                <w:rFonts w:hint="eastAsia" w:ascii="宋体" w:hAnsi="宋体" w:eastAsia="宋体" w:cs="宋体"/>
                <w:b w:val="0"/>
                <w:bCs/>
                <w:color w:val="auto"/>
                <w:spacing w:val="-2"/>
                <w:sz w:val="21"/>
                <w:szCs w:val="21"/>
                <w:highlight w:val="none"/>
              </w:rPr>
              <w:t>内容进行综合评审并独立打分。</w:t>
            </w:r>
          </w:p>
          <w:p w14:paraId="312764C7">
            <w:pPr>
              <w:pStyle w:val="20"/>
              <w:keepNext w:val="0"/>
              <w:keepLines w:val="0"/>
              <w:pageBreakBefore w:val="0"/>
              <w:widowControl/>
              <w:suppressLineNumbers w:val="0"/>
              <w:kinsoku/>
              <w:wordWrap/>
              <w:overflowPunct/>
              <w:topLinePunct w:val="0"/>
              <w:bidi w:val="0"/>
              <w:snapToGrid/>
              <w:spacing w:before="0" w:beforeAutospacing="0" w:after="0" w:afterAutospacing="0" w:line="360" w:lineRule="auto"/>
              <w:ind w:right="61"/>
              <w:jc w:val="left"/>
              <w:rPr>
                <w:rFonts w:hint="eastAsia"/>
                <w:highlight w:val="none"/>
              </w:rPr>
            </w:pPr>
            <w:r>
              <w:rPr>
                <w:rFonts w:hint="eastAsia" w:ascii="宋体" w:hAnsi="宋体" w:eastAsia="宋体" w:cs="宋体"/>
                <w:b/>
                <w:bCs w:val="0"/>
                <w:color w:val="auto"/>
                <w:spacing w:val="-2"/>
                <w:sz w:val="21"/>
                <w:szCs w:val="21"/>
                <w:highlight w:val="none"/>
              </w:rPr>
              <w:t>一档（</w:t>
            </w:r>
            <w:r>
              <w:rPr>
                <w:rFonts w:hint="eastAsia" w:ascii="宋体" w:hAnsi="宋体" w:eastAsia="宋体" w:cs="宋体"/>
                <w:b/>
                <w:bCs w:val="0"/>
                <w:color w:val="auto"/>
                <w:spacing w:val="-2"/>
                <w:sz w:val="21"/>
                <w:szCs w:val="21"/>
                <w:highlight w:val="none"/>
                <w:lang w:val="en-US" w:eastAsia="zh-CN"/>
              </w:rPr>
              <w:t>2</w:t>
            </w:r>
            <w:r>
              <w:rPr>
                <w:rFonts w:hint="eastAsia" w:ascii="宋体" w:hAnsi="宋体" w:eastAsia="宋体" w:cs="宋体"/>
                <w:b/>
                <w:bCs w:val="0"/>
                <w:color w:val="auto"/>
                <w:spacing w:val="-2"/>
                <w:sz w:val="21"/>
                <w:szCs w:val="21"/>
                <w:highlight w:val="none"/>
              </w:rPr>
              <w:t>分）：</w:t>
            </w:r>
            <w:r>
              <w:rPr>
                <w:rFonts w:hint="eastAsia" w:ascii="宋体" w:hAnsi="宋体" w:eastAsia="宋体" w:cs="宋体"/>
                <w:b w:val="0"/>
                <w:bCs/>
                <w:color w:val="auto"/>
                <w:spacing w:val="-2"/>
                <w:sz w:val="21"/>
                <w:szCs w:val="21"/>
                <w:highlight w:val="none"/>
                <w:lang w:val="en-US" w:eastAsia="zh-CN"/>
              </w:rPr>
              <w:t>售后服务方案简单，仅是简单的复制采购需求的相关内容，无具体落地实施措施</w:t>
            </w:r>
            <w:r>
              <w:rPr>
                <w:rFonts w:hint="eastAsia" w:ascii="宋体" w:hAnsi="宋体" w:eastAsia="宋体" w:cs="宋体"/>
                <w:b w:val="0"/>
                <w:bCs/>
                <w:color w:val="auto"/>
                <w:spacing w:val="-2"/>
                <w:sz w:val="21"/>
                <w:szCs w:val="21"/>
                <w:highlight w:val="none"/>
              </w:rPr>
              <w:t>。</w:t>
            </w:r>
          </w:p>
          <w:p w14:paraId="0FA57347">
            <w:pPr>
              <w:pStyle w:val="20"/>
              <w:keepNext w:val="0"/>
              <w:keepLines w:val="0"/>
              <w:pageBreakBefore w:val="0"/>
              <w:widowControl/>
              <w:suppressLineNumbers w:val="0"/>
              <w:kinsoku/>
              <w:wordWrap/>
              <w:overflowPunct/>
              <w:topLinePunct w:val="0"/>
              <w:bidi w:val="0"/>
              <w:snapToGrid/>
              <w:spacing w:before="0" w:beforeAutospacing="0" w:after="0" w:afterAutospacing="0" w:line="360" w:lineRule="auto"/>
              <w:ind w:right="0"/>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lang w:val="en-US" w:eastAsia="zh-CN"/>
              </w:rPr>
              <w:t>二</w:t>
            </w:r>
            <w:r>
              <w:rPr>
                <w:rFonts w:hint="eastAsia" w:ascii="宋体" w:hAnsi="宋体" w:eastAsia="宋体" w:cs="宋体"/>
                <w:b/>
                <w:bCs w:val="0"/>
                <w:color w:val="auto"/>
                <w:spacing w:val="-2"/>
                <w:sz w:val="21"/>
                <w:szCs w:val="21"/>
                <w:highlight w:val="none"/>
              </w:rPr>
              <w:t>档（</w:t>
            </w:r>
            <w:r>
              <w:rPr>
                <w:rFonts w:hint="eastAsia" w:ascii="宋体" w:hAnsi="宋体" w:eastAsia="宋体" w:cs="宋体"/>
                <w:b/>
                <w:bCs w:val="0"/>
                <w:color w:val="auto"/>
                <w:spacing w:val="-2"/>
                <w:sz w:val="21"/>
                <w:szCs w:val="21"/>
                <w:highlight w:val="none"/>
                <w:lang w:val="en-US" w:eastAsia="zh-CN"/>
              </w:rPr>
              <w:t>4</w:t>
            </w:r>
            <w:r>
              <w:rPr>
                <w:rFonts w:hint="eastAsia" w:ascii="宋体" w:hAnsi="宋体" w:eastAsia="宋体" w:cs="宋体"/>
                <w:b/>
                <w:bCs w:val="0"/>
                <w:color w:val="auto"/>
                <w:spacing w:val="-2"/>
                <w:sz w:val="21"/>
                <w:szCs w:val="21"/>
                <w:highlight w:val="none"/>
              </w:rPr>
              <w:t>分）：</w:t>
            </w:r>
            <w:r>
              <w:rPr>
                <w:rFonts w:hint="eastAsia" w:ascii="宋体" w:hAnsi="宋体" w:eastAsia="宋体" w:cs="宋体"/>
                <w:b w:val="0"/>
                <w:bCs/>
                <w:color w:val="auto"/>
                <w:spacing w:val="-2"/>
                <w:sz w:val="21"/>
                <w:szCs w:val="21"/>
                <w:highlight w:val="none"/>
                <w:lang w:eastAsia="zh-CN"/>
              </w:rPr>
              <w:t>售后服务承诺较简单；售后响应时间不及时或较慢，承诺解决故障时间为48个小时以内，无具体承诺或不适用，服务内容、保障措施不能满足采购人需求</w:t>
            </w:r>
            <w:r>
              <w:rPr>
                <w:rFonts w:hint="eastAsia" w:ascii="宋体" w:hAnsi="宋体" w:eastAsia="宋体" w:cs="宋体"/>
                <w:b w:val="0"/>
                <w:bCs/>
                <w:color w:val="auto"/>
                <w:spacing w:val="-2"/>
                <w:sz w:val="21"/>
                <w:szCs w:val="21"/>
                <w:highlight w:val="none"/>
              </w:rPr>
              <w:t>。</w:t>
            </w:r>
            <w:r>
              <w:rPr>
                <w:rFonts w:hint="eastAsia" w:ascii="宋体" w:hAnsi="宋体" w:eastAsia="宋体" w:cs="宋体"/>
                <w:b w:val="0"/>
                <w:bCs/>
                <w:color w:val="auto"/>
                <w:spacing w:val="-11"/>
                <w:kern w:val="0"/>
                <w:sz w:val="21"/>
                <w:szCs w:val="21"/>
                <w:highlight w:val="none"/>
              </w:rPr>
              <w:t>在原厂质保期基础上，增加半年的</w:t>
            </w:r>
            <w:r>
              <w:rPr>
                <w:rFonts w:hint="eastAsia" w:ascii="宋体" w:hAnsi="宋体" w:eastAsia="宋体" w:cs="宋体"/>
                <w:b w:val="0"/>
                <w:bCs/>
                <w:color w:val="auto"/>
                <w:spacing w:val="-11"/>
                <w:kern w:val="0"/>
                <w:sz w:val="21"/>
                <w:szCs w:val="21"/>
                <w:highlight w:val="none"/>
                <w:lang w:val="en-US" w:eastAsia="zh-CN"/>
              </w:rPr>
              <w:t>承诺书。</w:t>
            </w:r>
          </w:p>
          <w:p w14:paraId="24FF4D10">
            <w:pPr>
              <w:pStyle w:val="20"/>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360" w:lineRule="auto"/>
              <w:ind w:right="0"/>
              <w:jc w:val="left"/>
              <w:textAlignment w:val="bottom"/>
              <w:rPr>
                <w:rFonts w:hint="eastAsia" w:ascii="宋体" w:hAnsi="宋体" w:eastAsia="宋体" w:cs="宋体"/>
                <w:b w:val="0"/>
                <w:bCs/>
                <w:color w:val="auto"/>
                <w:spacing w:val="-2"/>
                <w:sz w:val="21"/>
                <w:szCs w:val="21"/>
                <w:highlight w:val="none"/>
                <w:lang w:val="en-US" w:eastAsia="zh-CN"/>
              </w:rPr>
            </w:pPr>
            <w:r>
              <w:rPr>
                <w:rFonts w:hint="eastAsia" w:ascii="宋体" w:hAnsi="宋体" w:eastAsia="宋体" w:cs="宋体"/>
                <w:b/>
                <w:bCs w:val="0"/>
                <w:color w:val="auto"/>
                <w:spacing w:val="-2"/>
                <w:sz w:val="21"/>
                <w:szCs w:val="21"/>
                <w:highlight w:val="none"/>
                <w:lang w:val="en-US" w:eastAsia="zh-CN"/>
              </w:rPr>
              <w:t>三</w:t>
            </w:r>
            <w:r>
              <w:rPr>
                <w:rFonts w:hint="eastAsia" w:ascii="宋体" w:hAnsi="宋体" w:eastAsia="宋体" w:cs="宋体"/>
                <w:b/>
                <w:bCs w:val="0"/>
                <w:color w:val="auto"/>
                <w:spacing w:val="-2"/>
                <w:sz w:val="21"/>
                <w:szCs w:val="21"/>
                <w:highlight w:val="none"/>
              </w:rPr>
              <w:t>档（</w:t>
            </w:r>
            <w:r>
              <w:rPr>
                <w:rFonts w:hint="eastAsia" w:ascii="宋体" w:hAnsi="宋体" w:eastAsia="宋体" w:cs="宋体"/>
                <w:b/>
                <w:bCs w:val="0"/>
                <w:color w:val="auto"/>
                <w:spacing w:val="-2"/>
                <w:sz w:val="21"/>
                <w:szCs w:val="21"/>
                <w:highlight w:val="none"/>
                <w:lang w:val="en-US" w:eastAsia="zh-CN"/>
              </w:rPr>
              <w:t>6</w:t>
            </w:r>
            <w:r>
              <w:rPr>
                <w:rFonts w:hint="eastAsia" w:ascii="宋体" w:hAnsi="宋体" w:eastAsia="宋体" w:cs="宋体"/>
                <w:b/>
                <w:bCs w:val="0"/>
                <w:color w:val="auto"/>
                <w:spacing w:val="-2"/>
                <w:sz w:val="21"/>
                <w:szCs w:val="21"/>
                <w:highlight w:val="none"/>
              </w:rPr>
              <w:t>分）：</w:t>
            </w:r>
            <w:r>
              <w:rPr>
                <w:rFonts w:hint="eastAsia" w:ascii="宋体" w:hAnsi="宋体" w:eastAsia="宋体" w:cs="宋体"/>
                <w:b w:val="0"/>
                <w:bCs/>
                <w:color w:val="auto"/>
                <w:spacing w:val="-2"/>
                <w:sz w:val="21"/>
                <w:szCs w:val="21"/>
                <w:highlight w:val="none"/>
              </w:rPr>
              <w:t>售后服务承诺满足招标文件要求，安排较具体，内容较完整、可行，售后响应时间满足招标文件要求，承诺解决问题时间为24个小时以内，有具体承诺，服务内容、保障措施能满足采购人需求</w:t>
            </w:r>
            <w:r>
              <w:rPr>
                <w:rFonts w:hint="eastAsia" w:ascii="宋体" w:hAnsi="宋体" w:eastAsia="宋体" w:cs="宋体"/>
                <w:b w:val="0"/>
                <w:bCs/>
                <w:color w:val="auto"/>
                <w:spacing w:val="-11"/>
                <w:kern w:val="0"/>
                <w:sz w:val="21"/>
                <w:szCs w:val="21"/>
                <w:highlight w:val="none"/>
              </w:rPr>
              <w:t>。在原厂质保期基础上，增加</w:t>
            </w:r>
            <w:r>
              <w:rPr>
                <w:rFonts w:hint="eastAsia" w:ascii="宋体" w:hAnsi="宋体" w:eastAsia="宋体" w:cs="宋体"/>
                <w:b w:val="0"/>
                <w:bCs/>
                <w:color w:val="auto"/>
                <w:spacing w:val="-11"/>
                <w:kern w:val="0"/>
                <w:sz w:val="21"/>
                <w:szCs w:val="21"/>
                <w:highlight w:val="none"/>
                <w:lang w:val="en-US" w:eastAsia="zh-CN"/>
              </w:rPr>
              <w:t>一</w:t>
            </w:r>
            <w:r>
              <w:rPr>
                <w:rFonts w:hint="eastAsia" w:ascii="宋体" w:hAnsi="宋体" w:eastAsia="宋体" w:cs="宋体"/>
                <w:b w:val="0"/>
                <w:bCs/>
                <w:color w:val="auto"/>
                <w:spacing w:val="-11"/>
                <w:kern w:val="0"/>
                <w:sz w:val="21"/>
                <w:szCs w:val="21"/>
                <w:highlight w:val="none"/>
              </w:rPr>
              <w:t>年的</w:t>
            </w:r>
            <w:r>
              <w:rPr>
                <w:rFonts w:hint="eastAsia" w:ascii="宋体" w:hAnsi="宋体" w:eastAsia="宋体" w:cs="宋体"/>
                <w:b w:val="0"/>
                <w:bCs/>
                <w:color w:val="auto"/>
                <w:spacing w:val="-11"/>
                <w:kern w:val="0"/>
                <w:sz w:val="21"/>
                <w:szCs w:val="21"/>
                <w:highlight w:val="none"/>
                <w:lang w:val="en-US" w:eastAsia="zh-CN"/>
              </w:rPr>
              <w:t>承诺书。</w:t>
            </w:r>
          </w:p>
          <w:p w14:paraId="0487C574">
            <w:pPr>
              <w:pStyle w:val="20"/>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360" w:lineRule="auto"/>
              <w:ind w:right="0"/>
              <w:jc w:val="left"/>
              <w:textAlignment w:val="bottom"/>
              <w:rPr>
                <w:rFonts w:hint="eastAsia" w:ascii="宋体" w:hAnsi="宋体" w:eastAsia="宋体" w:cs="宋体"/>
                <w:b w:val="0"/>
                <w:bCs/>
                <w:color w:val="00B050"/>
                <w:spacing w:val="-2"/>
                <w:sz w:val="21"/>
                <w:szCs w:val="21"/>
                <w:highlight w:val="none"/>
              </w:rPr>
            </w:pPr>
            <w:r>
              <w:rPr>
                <w:rFonts w:hint="eastAsia" w:ascii="宋体" w:hAnsi="宋体" w:eastAsia="宋体" w:cs="宋体"/>
                <w:b/>
                <w:bCs w:val="0"/>
                <w:color w:val="auto"/>
                <w:spacing w:val="-2"/>
                <w:sz w:val="21"/>
                <w:szCs w:val="21"/>
                <w:highlight w:val="none"/>
                <w:lang w:val="en-US" w:eastAsia="zh-CN"/>
              </w:rPr>
              <w:t>四</w:t>
            </w:r>
            <w:r>
              <w:rPr>
                <w:rFonts w:hint="eastAsia" w:ascii="宋体" w:hAnsi="宋体" w:eastAsia="宋体" w:cs="宋体"/>
                <w:b/>
                <w:bCs w:val="0"/>
                <w:color w:val="auto"/>
                <w:spacing w:val="-2"/>
                <w:sz w:val="21"/>
                <w:szCs w:val="21"/>
                <w:highlight w:val="none"/>
              </w:rPr>
              <w:t>档（</w:t>
            </w:r>
            <w:r>
              <w:rPr>
                <w:rFonts w:hint="eastAsia" w:ascii="宋体" w:hAnsi="宋体" w:eastAsia="宋体" w:cs="宋体"/>
                <w:b/>
                <w:bCs w:val="0"/>
                <w:color w:val="auto"/>
                <w:spacing w:val="-2"/>
                <w:sz w:val="21"/>
                <w:szCs w:val="21"/>
                <w:highlight w:val="none"/>
                <w:lang w:val="en-US" w:eastAsia="zh-CN"/>
              </w:rPr>
              <w:t>8</w:t>
            </w:r>
            <w:r>
              <w:rPr>
                <w:rFonts w:hint="eastAsia" w:ascii="宋体" w:hAnsi="宋体" w:eastAsia="宋体" w:cs="宋体"/>
                <w:b/>
                <w:bCs w:val="0"/>
                <w:color w:val="auto"/>
                <w:spacing w:val="-2"/>
                <w:sz w:val="21"/>
                <w:szCs w:val="21"/>
                <w:highlight w:val="none"/>
              </w:rPr>
              <w:t>分）：</w:t>
            </w:r>
            <w:r>
              <w:rPr>
                <w:rFonts w:hint="eastAsia" w:ascii="宋体" w:hAnsi="宋体" w:eastAsia="宋体" w:cs="宋体"/>
                <w:b w:val="0"/>
                <w:bCs/>
                <w:color w:val="auto"/>
                <w:spacing w:val="-2"/>
                <w:sz w:val="21"/>
                <w:szCs w:val="21"/>
                <w:highlight w:val="none"/>
              </w:rPr>
              <w:t>在</w:t>
            </w:r>
            <w:r>
              <w:rPr>
                <w:rFonts w:hint="eastAsia" w:ascii="宋体" w:hAnsi="宋体" w:eastAsia="宋体" w:cs="宋体"/>
                <w:b w:val="0"/>
                <w:bCs/>
                <w:color w:val="auto"/>
                <w:spacing w:val="-2"/>
                <w:sz w:val="21"/>
                <w:szCs w:val="21"/>
                <w:highlight w:val="none"/>
                <w:lang w:val="en-US" w:eastAsia="zh-CN"/>
              </w:rPr>
              <w:t>满足三</w:t>
            </w:r>
            <w:r>
              <w:rPr>
                <w:rFonts w:hint="eastAsia" w:ascii="宋体" w:hAnsi="宋体" w:eastAsia="宋体" w:cs="宋体"/>
                <w:b w:val="0"/>
                <w:bCs/>
                <w:color w:val="auto"/>
                <w:spacing w:val="-2"/>
                <w:sz w:val="21"/>
                <w:szCs w:val="21"/>
                <w:highlight w:val="none"/>
              </w:rPr>
              <w:t>档的基础上，售后服务承诺完善，安排详细具体，内容完整，售后响应时间满足招标文件要求，响应程度较好，承诺接到故障通知后1小时内响应，一般问题在1小时内通过远程方式解决，遇到大的问题12小时内派技术人员到达现场维修，12小时内维修完毕。维修不需更换零配件的，每次维修时间不超过12小时维修；维修需更换配件的，每次维修时间不超过8个工作日，有具体承诺，服务内容、保障措施能满足采购人需求</w:t>
            </w:r>
            <w:r>
              <w:rPr>
                <w:rFonts w:hint="eastAsia" w:ascii="宋体" w:hAnsi="宋体" w:eastAsia="宋体" w:cs="宋体"/>
                <w:b w:val="0"/>
                <w:bCs/>
                <w:color w:val="00B050"/>
                <w:spacing w:val="-2"/>
                <w:sz w:val="21"/>
                <w:szCs w:val="21"/>
                <w:highlight w:val="none"/>
              </w:rPr>
              <w:t>。</w:t>
            </w:r>
            <w:r>
              <w:rPr>
                <w:rFonts w:hint="eastAsia" w:ascii="宋体" w:hAnsi="宋体" w:eastAsia="宋体" w:cs="宋体"/>
                <w:b w:val="0"/>
                <w:bCs/>
                <w:color w:val="auto"/>
                <w:spacing w:val="-11"/>
                <w:kern w:val="0"/>
                <w:sz w:val="21"/>
                <w:szCs w:val="21"/>
                <w:highlight w:val="none"/>
              </w:rPr>
              <w:t>在原厂质保期基础上，增加</w:t>
            </w:r>
            <w:r>
              <w:rPr>
                <w:rFonts w:hint="eastAsia" w:ascii="宋体" w:hAnsi="宋体" w:eastAsia="宋体" w:cs="宋体"/>
                <w:b w:val="0"/>
                <w:bCs/>
                <w:color w:val="auto"/>
                <w:spacing w:val="-11"/>
                <w:kern w:val="0"/>
                <w:sz w:val="21"/>
                <w:szCs w:val="21"/>
                <w:highlight w:val="none"/>
                <w:lang w:val="en-US" w:eastAsia="zh-CN"/>
              </w:rPr>
              <w:t>一</w:t>
            </w:r>
            <w:r>
              <w:rPr>
                <w:rFonts w:hint="eastAsia" w:ascii="宋体" w:hAnsi="宋体" w:eastAsia="宋体" w:cs="宋体"/>
                <w:b w:val="0"/>
                <w:bCs/>
                <w:color w:val="auto"/>
                <w:spacing w:val="-11"/>
                <w:kern w:val="0"/>
                <w:sz w:val="21"/>
                <w:szCs w:val="21"/>
                <w:highlight w:val="none"/>
              </w:rPr>
              <w:t>年</w:t>
            </w:r>
            <w:r>
              <w:rPr>
                <w:rFonts w:hint="eastAsia" w:ascii="宋体" w:hAnsi="宋体" w:eastAsia="宋体" w:cs="宋体"/>
                <w:b w:val="0"/>
                <w:bCs/>
                <w:color w:val="auto"/>
                <w:spacing w:val="-11"/>
                <w:kern w:val="0"/>
                <w:sz w:val="21"/>
                <w:szCs w:val="21"/>
                <w:highlight w:val="none"/>
                <w:lang w:val="en-US" w:eastAsia="zh-CN"/>
              </w:rPr>
              <w:t>半</w:t>
            </w:r>
            <w:r>
              <w:rPr>
                <w:rFonts w:hint="eastAsia" w:ascii="宋体" w:hAnsi="宋体" w:eastAsia="宋体" w:cs="宋体"/>
                <w:b w:val="0"/>
                <w:bCs/>
                <w:color w:val="auto"/>
                <w:spacing w:val="-11"/>
                <w:kern w:val="0"/>
                <w:sz w:val="21"/>
                <w:szCs w:val="21"/>
                <w:highlight w:val="none"/>
              </w:rPr>
              <w:t>的</w:t>
            </w:r>
            <w:r>
              <w:rPr>
                <w:rFonts w:hint="eastAsia" w:ascii="宋体" w:hAnsi="宋体" w:eastAsia="宋体" w:cs="宋体"/>
                <w:b w:val="0"/>
                <w:bCs/>
                <w:color w:val="auto"/>
                <w:spacing w:val="-11"/>
                <w:kern w:val="0"/>
                <w:sz w:val="21"/>
                <w:szCs w:val="21"/>
                <w:highlight w:val="none"/>
                <w:lang w:val="en-US" w:eastAsia="zh-CN"/>
              </w:rPr>
              <w:t>承诺书。</w:t>
            </w:r>
          </w:p>
          <w:p w14:paraId="08B28D98">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宋体" w:hAnsi="宋体" w:eastAsia="宋体" w:cs="宋体"/>
                <w:b/>
                <w:bCs w:val="0"/>
                <w:color w:val="auto"/>
                <w:spacing w:val="-2"/>
                <w:sz w:val="21"/>
                <w:szCs w:val="21"/>
                <w:highlight w:val="none"/>
                <w:lang w:val="en-US" w:eastAsia="zh-CN"/>
              </w:rPr>
              <w:t>五</w:t>
            </w:r>
            <w:r>
              <w:rPr>
                <w:rFonts w:hint="eastAsia" w:ascii="宋体" w:hAnsi="宋体" w:eastAsia="宋体" w:cs="宋体"/>
                <w:b/>
                <w:bCs w:val="0"/>
                <w:color w:val="auto"/>
                <w:spacing w:val="-2"/>
                <w:sz w:val="21"/>
                <w:szCs w:val="21"/>
                <w:highlight w:val="none"/>
              </w:rPr>
              <w:t>档（</w:t>
            </w:r>
            <w:r>
              <w:rPr>
                <w:rFonts w:hint="eastAsia" w:ascii="宋体" w:hAnsi="宋体" w:eastAsia="宋体" w:cs="宋体"/>
                <w:b/>
                <w:bCs w:val="0"/>
                <w:color w:val="auto"/>
                <w:spacing w:val="-2"/>
                <w:sz w:val="21"/>
                <w:szCs w:val="21"/>
                <w:highlight w:val="none"/>
                <w:lang w:val="en-US" w:eastAsia="zh-CN"/>
              </w:rPr>
              <w:t>10</w:t>
            </w:r>
            <w:r>
              <w:rPr>
                <w:rFonts w:hint="eastAsia" w:ascii="宋体" w:hAnsi="宋体" w:eastAsia="宋体" w:cs="宋体"/>
                <w:b/>
                <w:bCs w:val="0"/>
                <w:color w:val="auto"/>
                <w:spacing w:val="-2"/>
                <w:sz w:val="21"/>
                <w:szCs w:val="21"/>
                <w:highlight w:val="none"/>
              </w:rPr>
              <w:t>分）：</w:t>
            </w:r>
            <w:r>
              <w:rPr>
                <w:rFonts w:hint="eastAsia" w:ascii="宋体" w:hAnsi="宋体" w:eastAsia="宋体" w:cs="宋体"/>
                <w:b w:val="0"/>
                <w:bCs/>
                <w:color w:val="auto"/>
                <w:spacing w:val="-2"/>
                <w:sz w:val="21"/>
                <w:szCs w:val="21"/>
                <w:highlight w:val="none"/>
              </w:rPr>
              <w:t>在</w:t>
            </w:r>
            <w:r>
              <w:rPr>
                <w:rFonts w:hint="eastAsia" w:ascii="宋体" w:hAnsi="宋体" w:eastAsia="宋体" w:cs="宋体"/>
                <w:b w:val="0"/>
                <w:bCs/>
                <w:color w:val="auto"/>
                <w:spacing w:val="-2"/>
                <w:sz w:val="21"/>
                <w:szCs w:val="21"/>
                <w:highlight w:val="none"/>
                <w:lang w:val="en-US" w:eastAsia="zh-CN"/>
              </w:rPr>
              <w:t>满足四</w:t>
            </w:r>
            <w:r>
              <w:rPr>
                <w:rFonts w:hint="eastAsia" w:ascii="宋体" w:hAnsi="宋体" w:eastAsia="宋体" w:cs="宋体"/>
                <w:b w:val="0"/>
                <w:bCs/>
                <w:color w:val="auto"/>
                <w:spacing w:val="-2"/>
                <w:sz w:val="21"/>
                <w:szCs w:val="21"/>
                <w:highlight w:val="none"/>
              </w:rPr>
              <w:t>档的基础上，售后服务承诺充分满足招标文件要求，安排详细具体，内容完整、齐全、可行，有针对性，售后响应时间充分优于招标文件要求，响应程度高，承诺接到故障通知后0.5小时内响应，一般问题在1小时内通过远程方式解决，遇到大的问题8小时内派技术人员到达现场维修，8小时内维修完毕。维修不需更换零配件的，每次维修时间不超过8小时维修；维修需更换配件的，每次维修时间不超过5个工作日，有具体承诺且优于采购要求，服务内容、保障措施等，符合项目实际</w:t>
            </w:r>
            <w:r>
              <w:rPr>
                <w:rFonts w:hint="eastAsia" w:ascii="宋体" w:hAnsi="宋体" w:eastAsia="宋体" w:cs="宋体"/>
                <w:b w:val="0"/>
                <w:bCs/>
                <w:color w:val="00B050"/>
                <w:spacing w:val="-2"/>
                <w:sz w:val="21"/>
                <w:szCs w:val="21"/>
                <w:highlight w:val="none"/>
              </w:rPr>
              <w:t>。</w:t>
            </w:r>
            <w:r>
              <w:rPr>
                <w:rFonts w:hint="eastAsia" w:ascii="宋体" w:hAnsi="宋体" w:eastAsia="宋体" w:cs="宋体"/>
                <w:b w:val="0"/>
                <w:bCs/>
                <w:color w:val="auto"/>
                <w:spacing w:val="-11"/>
                <w:kern w:val="0"/>
                <w:sz w:val="21"/>
                <w:szCs w:val="21"/>
                <w:highlight w:val="none"/>
              </w:rPr>
              <w:t>在原厂质保期基础上，增加</w:t>
            </w:r>
            <w:r>
              <w:rPr>
                <w:rFonts w:hint="eastAsia" w:ascii="宋体" w:hAnsi="宋体" w:eastAsia="宋体" w:cs="宋体"/>
                <w:b w:val="0"/>
                <w:bCs/>
                <w:color w:val="auto"/>
                <w:spacing w:val="-11"/>
                <w:kern w:val="0"/>
                <w:sz w:val="21"/>
                <w:szCs w:val="21"/>
                <w:highlight w:val="none"/>
                <w:lang w:val="en-US" w:eastAsia="zh-CN"/>
              </w:rPr>
              <w:t>两</w:t>
            </w:r>
            <w:r>
              <w:rPr>
                <w:rFonts w:hint="eastAsia" w:ascii="宋体" w:hAnsi="宋体" w:eastAsia="宋体" w:cs="宋体"/>
                <w:b w:val="0"/>
                <w:bCs/>
                <w:color w:val="auto"/>
                <w:spacing w:val="-11"/>
                <w:kern w:val="0"/>
                <w:sz w:val="21"/>
                <w:szCs w:val="21"/>
                <w:highlight w:val="none"/>
              </w:rPr>
              <w:t>年的</w:t>
            </w:r>
            <w:r>
              <w:rPr>
                <w:rFonts w:hint="eastAsia" w:ascii="宋体" w:hAnsi="宋体" w:eastAsia="宋体" w:cs="宋体"/>
                <w:b w:val="0"/>
                <w:bCs/>
                <w:color w:val="auto"/>
                <w:spacing w:val="-11"/>
                <w:kern w:val="0"/>
                <w:sz w:val="21"/>
                <w:szCs w:val="21"/>
                <w:highlight w:val="none"/>
                <w:lang w:val="en-US" w:eastAsia="zh-CN"/>
              </w:rPr>
              <w:t>承诺书。</w:t>
            </w:r>
          </w:p>
        </w:tc>
        <w:tc>
          <w:tcPr>
            <w:tcW w:w="763" w:type="dxa"/>
            <w:noWrap w:val="0"/>
            <w:vAlign w:val="center"/>
          </w:tcPr>
          <w:p w14:paraId="1702A725">
            <w:pPr>
              <w:spacing w:line="360" w:lineRule="exact"/>
              <w:jc w:val="center"/>
              <w:rPr>
                <w:rFonts w:hint="default" w:ascii="Arial" w:hAnsi="Arial" w:cs="Arial" w:eastAsiaTheme="minorEastAsia"/>
                <w:color w:val="auto"/>
                <w:sz w:val="18"/>
                <w:szCs w:val="18"/>
                <w:highlight w:val="none"/>
                <w:lang w:val="en-US" w:eastAsia="zh-CN"/>
              </w:rPr>
            </w:pPr>
            <w:r>
              <w:rPr>
                <w:rFonts w:hint="default" w:ascii="Arial" w:hAnsi="Arial" w:cs="Arial" w:eastAsiaTheme="minorEastAsia"/>
                <w:color w:val="auto"/>
                <w:sz w:val="21"/>
                <w:szCs w:val="21"/>
                <w:highlight w:val="none"/>
                <w:lang w:val="en-US" w:eastAsia="zh-CN"/>
              </w:rPr>
              <w:t>0-</w:t>
            </w:r>
            <w:r>
              <w:rPr>
                <w:rFonts w:hint="eastAsia" w:ascii="Arial" w:hAnsi="Arial" w:cs="Arial" w:eastAsiaTheme="minorEastAsia"/>
                <w:color w:val="auto"/>
                <w:sz w:val="21"/>
                <w:szCs w:val="21"/>
                <w:highlight w:val="none"/>
                <w:lang w:val="en-US" w:eastAsia="zh-CN"/>
              </w:rPr>
              <w:t>10</w:t>
            </w:r>
          </w:p>
        </w:tc>
        <w:tc>
          <w:tcPr>
            <w:tcW w:w="2201" w:type="dxa"/>
            <w:noWrap w:val="0"/>
            <w:vAlign w:val="center"/>
          </w:tcPr>
          <w:p w14:paraId="11DC29D2">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未提供方案不得分。</w:t>
            </w:r>
          </w:p>
          <w:p w14:paraId="44C9DC14">
            <w:pPr>
              <w:spacing w:line="360" w:lineRule="exact"/>
              <w:jc w:val="left"/>
              <w:rPr>
                <w:rFonts w:hint="eastAsia" w:asciiTheme="minorEastAsia" w:hAnsiTheme="minorEastAsia" w:eastAsiaTheme="minorEastAsia" w:cstheme="minorEastAsia"/>
                <w:bCs/>
                <w:color w:val="auto"/>
                <w:spacing w:val="10"/>
                <w:sz w:val="21"/>
                <w:szCs w:val="21"/>
                <w:highlight w:val="none"/>
              </w:rPr>
            </w:pPr>
          </w:p>
        </w:tc>
      </w:tr>
      <w:tr w14:paraId="5378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523" w:type="dxa"/>
            <w:noWrap w:val="0"/>
            <w:vAlign w:val="center"/>
          </w:tcPr>
          <w:p w14:paraId="35D52AF3">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6</w:t>
            </w:r>
          </w:p>
        </w:tc>
        <w:tc>
          <w:tcPr>
            <w:tcW w:w="564" w:type="dxa"/>
            <w:noWrap w:val="0"/>
            <w:vAlign w:val="center"/>
          </w:tcPr>
          <w:p w14:paraId="74D9769C">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080" w:type="dxa"/>
            <w:noWrap w:val="0"/>
            <w:vAlign w:val="center"/>
          </w:tcPr>
          <w:p w14:paraId="38B4E838">
            <w:pPr>
              <w:spacing w:line="360" w:lineRule="exact"/>
              <w:jc w:val="center"/>
              <w:rPr>
                <w:rFonts w:hint="eastAsia" w:ascii="Arial" w:hAnsi="Arial" w:eastAsia="宋体" w:cs="Arial"/>
                <w:color w:val="auto"/>
                <w:sz w:val="21"/>
                <w:szCs w:val="21"/>
                <w:highlight w:val="none"/>
                <w:lang w:eastAsia="zh-CN"/>
              </w:rPr>
            </w:pPr>
            <w:r>
              <w:rPr>
                <w:rFonts w:hint="eastAsia" w:ascii="宋体" w:hAnsi="宋体" w:eastAsia="宋体" w:cs="宋体"/>
                <w:b w:val="0"/>
                <w:bCs/>
                <w:color w:val="auto"/>
                <w:spacing w:val="-2"/>
                <w:sz w:val="21"/>
                <w:szCs w:val="21"/>
                <w:highlight w:val="none"/>
                <w:lang w:val="en-US" w:eastAsia="zh-CN"/>
              </w:rPr>
              <w:t>信誉业绩</w:t>
            </w:r>
            <w:r>
              <w:rPr>
                <w:rFonts w:hint="eastAsia" w:ascii="宋体" w:hAnsi="宋体" w:eastAsia="宋体" w:cs="宋体"/>
                <w:b w:val="0"/>
                <w:bCs/>
                <w:color w:val="auto"/>
                <w:spacing w:val="-2"/>
                <w:sz w:val="21"/>
                <w:szCs w:val="21"/>
                <w:highlight w:val="none"/>
              </w:rPr>
              <w:t>分</w:t>
            </w: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lang w:val="en-US" w:eastAsia="zh-CN"/>
              </w:rPr>
              <w:t>客观分</w:t>
            </w:r>
            <w:r>
              <w:rPr>
                <w:rFonts w:hint="eastAsia" w:ascii="Arial" w:hAnsi="Arial" w:cs="Arial"/>
                <w:color w:val="auto"/>
                <w:sz w:val="21"/>
                <w:szCs w:val="21"/>
                <w:highlight w:val="none"/>
                <w:lang w:eastAsia="zh-CN"/>
              </w:rPr>
              <w:t>）</w:t>
            </w:r>
          </w:p>
        </w:tc>
        <w:tc>
          <w:tcPr>
            <w:tcW w:w="5506" w:type="dxa"/>
            <w:noWrap w:val="0"/>
            <w:vAlign w:val="center"/>
          </w:tcPr>
          <w:p w14:paraId="4893B9AC">
            <w:pPr>
              <w:pStyle w:val="18"/>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firstLine="412" w:firstLineChars="200"/>
              <w:jc w:val="left"/>
              <w:rPr>
                <w:rFonts w:hint="eastAsia" w:ascii="宋体" w:hAnsi="宋体" w:eastAsia="宋体" w:cs="宋体"/>
                <w:b w:val="0"/>
                <w:bCs/>
                <w:color w:val="auto"/>
                <w:spacing w:val="-2"/>
                <w:sz w:val="21"/>
                <w:szCs w:val="21"/>
                <w:highlight w:val="none"/>
                <w:lang w:eastAsia="zh-CN"/>
              </w:rPr>
            </w:pP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1</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自202</w:t>
            </w:r>
            <w:r>
              <w:rPr>
                <w:rFonts w:hint="eastAsia" w:hAnsi="宋体" w:eastAsia="宋体" w:cs="宋体"/>
                <w:b w:val="0"/>
                <w:bCs/>
                <w:color w:val="auto"/>
                <w:spacing w:val="-2"/>
                <w:sz w:val="21"/>
                <w:szCs w:val="21"/>
                <w:highlight w:val="none"/>
                <w:lang w:val="en-US" w:eastAsia="zh-CN"/>
              </w:rPr>
              <w:t>3</w:t>
            </w:r>
            <w:r>
              <w:rPr>
                <w:rFonts w:hint="eastAsia" w:ascii="宋体" w:hAnsi="宋体" w:eastAsia="宋体" w:cs="宋体"/>
                <w:b w:val="0"/>
                <w:bCs/>
                <w:color w:val="auto"/>
                <w:spacing w:val="-2"/>
                <w:sz w:val="21"/>
                <w:szCs w:val="21"/>
                <w:highlight w:val="none"/>
              </w:rPr>
              <w:t>年1月1日以来</w:t>
            </w:r>
            <w:r>
              <w:rPr>
                <w:rFonts w:hint="eastAsia" w:hAnsi="宋体" w:eastAsia="宋体" w:cs="宋体"/>
                <w:b w:val="0"/>
                <w:bCs/>
                <w:color w:val="auto"/>
                <w:spacing w:val="-2"/>
                <w:sz w:val="21"/>
                <w:szCs w:val="21"/>
                <w:highlight w:val="none"/>
                <w:lang w:val="en-US" w:eastAsia="zh-CN"/>
              </w:rPr>
              <w:t>投标人</w:t>
            </w:r>
            <w:r>
              <w:rPr>
                <w:rFonts w:hint="eastAsia" w:ascii="宋体" w:hAnsi="宋体" w:eastAsia="宋体" w:cs="宋体"/>
                <w:b w:val="0"/>
                <w:bCs/>
                <w:color w:val="auto"/>
                <w:spacing w:val="-2"/>
                <w:sz w:val="21"/>
                <w:szCs w:val="21"/>
                <w:highlight w:val="none"/>
              </w:rPr>
              <w:t>有</w:t>
            </w:r>
            <w:r>
              <w:rPr>
                <w:rFonts w:hint="eastAsia" w:hAnsi="宋体" w:eastAsia="宋体" w:cs="宋体"/>
                <w:b w:val="0"/>
                <w:bCs/>
                <w:color w:val="auto"/>
                <w:spacing w:val="-2"/>
                <w:sz w:val="21"/>
                <w:szCs w:val="21"/>
                <w:highlight w:val="none"/>
                <w:lang w:val="en-US" w:eastAsia="zh-CN"/>
              </w:rPr>
              <w:t>同类产品</w:t>
            </w:r>
            <w:r>
              <w:rPr>
                <w:rFonts w:hint="eastAsia" w:ascii="宋体" w:hAnsi="宋体" w:eastAsia="宋体" w:cs="宋体"/>
                <w:b w:val="0"/>
                <w:bCs/>
                <w:color w:val="auto"/>
                <w:spacing w:val="-2"/>
                <w:sz w:val="21"/>
                <w:szCs w:val="21"/>
                <w:highlight w:val="none"/>
              </w:rPr>
              <w:t>项目业绩的，每个得1分，满分</w:t>
            </w:r>
            <w:r>
              <w:rPr>
                <w:rFonts w:hint="eastAsia" w:hAnsi="宋体" w:eastAsia="宋体" w:cs="宋体"/>
                <w:b w:val="0"/>
                <w:bCs/>
                <w:color w:val="auto"/>
                <w:spacing w:val="-2"/>
                <w:sz w:val="21"/>
                <w:szCs w:val="21"/>
                <w:highlight w:val="none"/>
                <w:lang w:val="en-US" w:eastAsia="zh-CN"/>
              </w:rPr>
              <w:t>3</w:t>
            </w:r>
            <w:r>
              <w:rPr>
                <w:rFonts w:hint="eastAsia" w:ascii="宋体" w:hAnsi="宋体" w:eastAsia="宋体" w:cs="宋体"/>
                <w:b w:val="0"/>
                <w:bCs/>
                <w:color w:val="auto"/>
                <w:spacing w:val="-2"/>
                <w:sz w:val="21"/>
                <w:szCs w:val="21"/>
                <w:highlight w:val="none"/>
              </w:rPr>
              <w:t>分</w:t>
            </w:r>
            <w:r>
              <w:rPr>
                <w:rFonts w:hint="eastAsia" w:ascii="宋体" w:hAnsi="宋体" w:cs="宋体"/>
                <w:b w:val="0"/>
                <w:bCs/>
                <w:color w:val="auto"/>
                <w:spacing w:val="-2"/>
                <w:sz w:val="21"/>
                <w:szCs w:val="21"/>
                <w:highlight w:val="none"/>
                <w:lang w:eastAsia="zh-CN"/>
              </w:rPr>
              <w:t>。</w:t>
            </w:r>
          </w:p>
          <w:p w14:paraId="6C99B9C3">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宋体" w:hAnsi="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2）</w:t>
            </w:r>
            <w:r>
              <w:rPr>
                <w:rFonts w:hint="eastAsia" w:ascii="宋体" w:hAnsi="宋体" w:eastAsia="宋体" w:cs="宋体"/>
                <w:b w:val="0"/>
                <w:bCs/>
                <w:color w:val="auto"/>
                <w:spacing w:val="-2"/>
                <w:sz w:val="21"/>
                <w:szCs w:val="21"/>
                <w:highlight w:val="none"/>
                <w:lang w:val="en-US" w:eastAsia="zh-CN"/>
              </w:rPr>
              <w:t>投标人</w:t>
            </w:r>
            <w:r>
              <w:rPr>
                <w:rFonts w:hint="eastAsia" w:ascii="宋体" w:hAnsi="宋体" w:eastAsia="宋体" w:cs="宋体"/>
                <w:b w:val="0"/>
                <w:bCs/>
                <w:color w:val="auto"/>
                <w:spacing w:val="-2"/>
                <w:sz w:val="21"/>
                <w:szCs w:val="21"/>
                <w:highlight w:val="none"/>
              </w:rPr>
              <w:t>或</w:t>
            </w:r>
            <w:r>
              <w:rPr>
                <w:rFonts w:hint="eastAsia" w:ascii="宋体" w:hAnsi="宋体" w:eastAsia="宋体" w:cs="宋体"/>
                <w:b w:val="0"/>
                <w:bCs/>
                <w:color w:val="auto"/>
                <w:spacing w:val="-2"/>
                <w:sz w:val="21"/>
                <w:szCs w:val="21"/>
                <w:highlight w:val="none"/>
                <w:lang w:val="en-US" w:eastAsia="zh-CN"/>
              </w:rPr>
              <w:t>核心产品所生产厂家</w:t>
            </w:r>
            <w:r>
              <w:rPr>
                <w:rFonts w:hint="eastAsia" w:ascii="宋体" w:hAnsi="宋体" w:eastAsia="宋体" w:cs="宋体"/>
                <w:b w:val="0"/>
                <w:bCs/>
                <w:color w:val="auto"/>
                <w:spacing w:val="-2"/>
                <w:sz w:val="21"/>
                <w:szCs w:val="21"/>
                <w:highlight w:val="none"/>
              </w:rPr>
              <w:t>通过ISO质量管理体系认证、ISO13485医疗器械质量体系认证</w:t>
            </w:r>
            <w:r>
              <w:rPr>
                <w:rFonts w:hint="eastAsia" w:ascii="宋体" w:hAnsi="宋体" w:eastAsia="宋体" w:cs="宋体"/>
                <w:b w:val="0"/>
                <w:bCs/>
                <w:color w:val="auto"/>
                <w:spacing w:val="-2"/>
                <w:sz w:val="21"/>
                <w:szCs w:val="21"/>
                <w:highlight w:val="none"/>
                <w:lang w:val="en-US" w:eastAsia="zh-CN"/>
              </w:rPr>
              <w:t>的</w:t>
            </w:r>
            <w:r>
              <w:rPr>
                <w:rFonts w:hint="eastAsia" w:ascii="宋体" w:hAnsi="宋体" w:eastAsia="宋体" w:cs="宋体"/>
                <w:b w:val="0"/>
                <w:bCs/>
                <w:color w:val="auto"/>
                <w:spacing w:val="-2"/>
                <w:sz w:val="21"/>
                <w:szCs w:val="21"/>
                <w:highlight w:val="none"/>
              </w:rPr>
              <w:t>，每个证书得1</w:t>
            </w:r>
            <w:r>
              <w:rPr>
                <w:rFonts w:hint="eastAsia" w:ascii="宋体" w:hAnsi="宋体" w:eastAsia="宋体" w:cs="宋体"/>
                <w:b w:val="0"/>
                <w:bCs/>
                <w:color w:val="auto"/>
                <w:spacing w:val="-2"/>
                <w:sz w:val="21"/>
                <w:szCs w:val="21"/>
                <w:highlight w:val="none"/>
                <w:lang w:val="en-US" w:eastAsia="zh-CN"/>
              </w:rPr>
              <w:t>.5</w:t>
            </w:r>
            <w:r>
              <w:rPr>
                <w:rFonts w:hint="eastAsia" w:ascii="宋体" w:hAnsi="宋体" w:eastAsia="宋体" w:cs="宋体"/>
                <w:b w:val="0"/>
                <w:bCs/>
                <w:color w:val="auto"/>
                <w:spacing w:val="-2"/>
                <w:sz w:val="21"/>
                <w:szCs w:val="21"/>
                <w:highlight w:val="none"/>
              </w:rPr>
              <w:t>分，满分</w:t>
            </w:r>
            <w:r>
              <w:rPr>
                <w:rFonts w:hint="eastAsia" w:ascii="宋体" w:hAnsi="宋体" w:eastAsia="宋体" w:cs="宋体"/>
                <w:b w:val="0"/>
                <w:bCs/>
                <w:color w:val="auto"/>
                <w:spacing w:val="-2"/>
                <w:sz w:val="21"/>
                <w:szCs w:val="21"/>
                <w:highlight w:val="none"/>
                <w:lang w:val="en-US" w:eastAsia="zh-CN"/>
              </w:rPr>
              <w:t>3</w:t>
            </w:r>
            <w:r>
              <w:rPr>
                <w:rFonts w:hint="eastAsia" w:ascii="宋体" w:hAnsi="宋体" w:eastAsia="宋体" w:cs="宋体"/>
                <w:b w:val="0"/>
                <w:bCs/>
                <w:color w:val="auto"/>
                <w:spacing w:val="-2"/>
                <w:sz w:val="21"/>
                <w:szCs w:val="21"/>
                <w:highlight w:val="none"/>
              </w:rPr>
              <w:t>分</w:t>
            </w:r>
            <w:r>
              <w:rPr>
                <w:rFonts w:hint="eastAsia" w:ascii="宋体" w:hAnsi="宋体" w:eastAsia="宋体" w:cs="宋体"/>
                <w:b w:val="0"/>
                <w:bCs/>
                <w:color w:val="auto"/>
                <w:spacing w:val="-2"/>
                <w:sz w:val="21"/>
                <w:szCs w:val="21"/>
                <w:highlight w:val="none"/>
                <w:lang w:eastAsia="zh-CN"/>
              </w:rPr>
              <w:t>。</w:t>
            </w:r>
          </w:p>
        </w:tc>
        <w:tc>
          <w:tcPr>
            <w:tcW w:w="763" w:type="dxa"/>
            <w:noWrap w:val="0"/>
            <w:vAlign w:val="center"/>
          </w:tcPr>
          <w:p w14:paraId="150D58BC">
            <w:pPr>
              <w:spacing w:line="360" w:lineRule="exact"/>
              <w:jc w:val="center"/>
              <w:rPr>
                <w:rFonts w:hint="default" w:ascii="Arial" w:hAnsi="Arial" w:cs="Arial" w:eastAsiaTheme="minorEastAsia"/>
                <w:color w:val="auto"/>
                <w:sz w:val="18"/>
                <w:szCs w:val="18"/>
                <w:highlight w:val="none"/>
                <w:lang w:val="en-US" w:eastAsia="zh-CN"/>
              </w:rPr>
            </w:pPr>
            <w:r>
              <w:rPr>
                <w:rFonts w:hint="eastAsia" w:ascii="Arial" w:hAnsi="Arial" w:cs="Arial" w:eastAsiaTheme="minorEastAsia"/>
                <w:color w:val="auto"/>
                <w:sz w:val="21"/>
                <w:szCs w:val="21"/>
                <w:highlight w:val="none"/>
                <w:lang w:val="en-US" w:eastAsia="zh-CN"/>
              </w:rPr>
              <w:t>0-6</w:t>
            </w:r>
          </w:p>
        </w:tc>
        <w:tc>
          <w:tcPr>
            <w:tcW w:w="2201" w:type="dxa"/>
            <w:noWrap w:val="0"/>
            <w:vAlign w:val="center"/>
          </w:tcPr>
          <w:p w14:paraId="22059617">
            <w:pPr>
              <w:spacing w:line="360" w:lineRule="exact"/>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US" w:eastAsia="zh-CN" w:bidi="ar"/>
              </w:rPr>
              <w:t>（1）</w:t>
            </w:r>
            <w:r>
              <w:rPr>
                <w:rFonts w:hint="eastAsia" w:hAnsi="宋体" w:eastAsia="宋体" w:cs="宋体"/>
                <w:b w:val="0"/>
                <w:bCs/>
                <w:color w:val="auto"/>
                <w:spacing w:val="-2"/>
                <w:sz w:val="21"/>
                <w:szCs w:val="21"/>
                <w:highlight w:val="none"/>
                <w:lang w:val="en-US" w:eastAsia="zh-CN"/>
              </w:rPr>
              <w:t>同类产品项目业绩是指医疗设备销售业绩，以在</w:t>
            </w:r>
            <w:r>
              <w:rPr>
                <w:rFonts w:hint="eastAsia" w:ascii="宋体" w:hAnsi="宋体" w:eastAsia="宋体" w:cs="宋体"/>
                <w:b w:val="0"/>
                <w:bCs/>
                <w:color w:val="auto"/>
                <w:spacing w:val="-2"/>
                <w:sz w:val="21"/>
                <w:szCs w:val="21"/>
                <w:highlight w:val="none"/>
              </w:rPr>
              <w:t>投标文件中提供</w:t>
            </w:r>
            <w:r>
              <w:rPr>
                <w:rFonts w:hint="eastAsia" w:hAnsi="宋体" w:eastAsia="宋体" w:cs="宋体"/>
                <w:b w:val="0"/>
                <w:bCs/>
                <w:color w:val="auto"/>
                <w:spacing w:val="-2"/>
                <w:sz w:val="21"/>
                <w:szCs w:val="21"/>
                <w:highlight w:val="none"/>
                <w:lang w:val="en-US" w:eastAsia="zh-CN"/>
              </w:rPr>
              <w:t>销售</w:t>
            </w:r>
            <w:r>
              <w:rPr>
                <w:rFonts w:hint="eastAsia" w:ascii="宋体" w:hAnsi="宋体" w:eastAsia="宋体" w:cs="宋体"/>
                <w:b w:val="0"/>
                <w:bCs/>
                <w:color w:val="auto"/>
                <w:spacing w:val="-2"/>
                <w:sz w:val="21"/>
                <w:szCs w:val="21"/>
                <w:highlight w:val="none"/>
              </w:rPr>
              <w:t>合同</w:t>
            </w:r>
            <w:r>
              <w:rPr>
                <w:rFonts w:hint="eastAsia" w:ascii="宋体" w:hAnsi="宋体" w:eastAsia="宋体" w:cs="宋体"/>
                <w:b w:val="0"/>
                <w:bCs/>
                <w:color w:val="auto"/>
                <w:spacing w:val="-2"/>
                <w:sz w:val="21"/>
                <w:szCs w:val="21"/>
                <w:highlight w:val="none"/>
                <w:lang w:val="en-US" w:eastAsia="zh-CN"/>
              </w:rPr>
              <w:t>和</w:t>
            </w:r>
            <w:r>
              <w:rPr>
                <w:rFonts w:hint="eastAsia" w:hAnsi="宋体" w:eastAsia="宋体" w:cs="宋体"/>
                <w:b w:val="0"/>
                <w:bCs/>
                <w:color w:val="auto"/>
                <w:spacing w:val="-2"/>
                <w:sz w:val="21"/>
                <w:szCs w:val="21"/>
                <w:highlight w:val="none"/>
                <w:lang w:val="en-US" w:eastAsia="zh-CN"/>
              </w:rPr>
              <w:t>销售发票</w:t>
            </w:r>
            <w:r>
              <w:rPr>
                <w:rFonts w:hint="eastAsia" w:ascii="宋体" w:hAnsi="宋体" w:eastAsia="宋体" w:cs="宋体"/>
                <w:b w:val="0"/>
                <w:bCs/>
                <w:color w:val="auto"/>
                <w:spacing w:val="-2"/>
                <w:sz w:val="21"/>
                <w:szCs w:val="21"/>
                <w:highlight w:val="none"/>
              </w:rPr>
              <w:t>复印件并加盖</w:t>
            </w:r>
            <w:r>
              <w:rPr>
                <w:rFonts w:hint="eastAsia" w:hAnsi="宋体" w:eastAsia="宋体" w:cs="宋体"/>
                <w:b w:val="0"/>
                <w:bCs/>
                <w:color w:val="auto"/>
                <w:spacing w:val="-2"/>
                <w:sz w:val="21"/>
                <w:szCs w:val="21"/>
                <w:highlight w:val="none"/>
                <w:lang w:val="en-US" w:eastAsia="zh-CN"/>
              </w:rPr>
              <w:t>投标人</w:t>
            </w:r>
            <w:r>
              <w:rPr>
                <w:rFonts w:hint="eastAsia" w:ascii="宋体" w:hAnsi="宋体" w:eastAsia="宋体" w:cs="宋体"/>
                <w:b w:val="0"/>
                <w:bCs/>
                <w:color w:val="auto"/>
                <w:spacing w:val="-2"/>
                <w:sz w:val="21"/>
                <w:szCs w:val="21"/>
                <w:highlight w:val="none"/>
              </w:rPr>
              <w:t>公章</w:t>
            </w:r>
            <w:r>
              <w:rPr>
                <w:rFonts w:hint="eastAsia" w:hAnsi="宋体" w:eastAsia="宋体" w:cs="宋体"/>
                <w:b w:val="0"/>
                <w:bCs/>
                <w:color w:val="auto"/>
                <w:spacing w:val="-2"/>
                <w:sz w:val="21"/>
                <w:szCs w:val="21"/>
                <w:highlight w:val="none"/>
                <w:lang w:val="en-US" w:eastAsia="zh-CN"/>
              </w:rPr>
              <w:t>为准。（2）</w:t>
            </w:r>
            <w:r>
              <w:rPr>
                <w:rFonts w:hint="eastAsia" w:ascii="宋体" w:hAnsi="宋体" w:eastAsia="宋体" w:cs="宋体"/>
                <w:b w:val="0"/>
                <w:bCs/>
                <w:color w:val="auto"/>
                <w:spacing w:val="-2"/>
                <w:sz w:val="21"/>
                <w:szCs w:val="21"/>
                <w:highlight w:val="none"/>
                <w:lang w:val="en-US" w:eastAsia="zh-CN"/>
              </w:rPr>
              <w:t>以在</w:t>
            </w:r>
            <w:r>
              <w:rPr>
                <w:rFonts w:hint="eastAsia" w:ascii="宋体" w:hAnsi="宋体" w:eastAsia="宋体" w:cs="宋体"/>
                <w:b w:val="0"/>
                <w:bCs/>
                <w:color w:val="auto"/>
                <w:spacing w:val="-2"/>
                <w:sz w:val="21"/>
                <w:szCs w:val="21"/>
                <w:highlight w:val="none"/>
              </w:rPr>
              <w:t>投标文件中提</w:t>
            </w:r>
            <w:r>
              <w:rPr>
                <w:rFonts w:hint="eastAsia" w:ascii="宋体" w:hAnsi="宋体" w:eastAsia="宋体" w:cs="宋体"/>
                <w:b w:val="0"/>
                <w:bCs/>
                <w:color w:val="auto"/>
                <w:spacing w:val="-2"/>
                <w:sz w:val="21"/>
                <w:szCs w:val="21"/>
                <w:highlight w:val="none"/>
                <w:lang w:val="en-US" w:eastAsia="zh-CN"/>
              </w:rPr>
              <w:t>供相应</w:t>
            </w:r>
            <w:r>
              <w:rPr>
                <w:rFonts w:hint="eastAsia" w:ascii="宋体" w:hAnsi="宋体" w:eastAsia="宋体" w:cs="宋体"/>
                <w:b w:val="0"/>
                <w:bCs/>
                <w:color w:val="auto"/>
                <w:spacing w:val="-2"/>
                <w:sz w:val="21"/>
                <w:szCs w:val="21"/>
                <w:highlight w:val="none"/>
              </w:rPr>
              <w:t>有效的</w:t>
            </w:r>
            <w:r>
              <w:rPr>
                <w:rFonts w:hint="eastAsia" w:ascii="宋体" w:hAnsi="宋体" w:eastAsia="宋体" w:cs="宋体"/>
                <w:b w:val="0"/>
                <w:bCs/>
                <w:color w:val="auto"/>
                <w:spacing w:val="-2"/>
                <w:sz w:val="21"/>
                <w:szCs w:val="21"/>
                <w:highlight w:val="none"/>
                <w:lang w:val="en-US" w:eastAsia="zh-CN"/>
              </w:rPr>
              <w:t>认证</w:t>
            </w:r>
            <w:r>
              <w:rPr>
                <w:rFonts w:hint="eastAsia" w:ascii="宋体" w:hAnsi="宋体" w:eastAsia="宋体" w:cs="宋体"/>
                <w:b w:val="0"/>
                <w:bCs/>
                <w:color w:val="auto"/>
                <w:spacing w:val="-2"/>
                <w:sz w:val="21"/>
                <w:szCs w:val="21"/>
                <w:highlight w:val="none"/>
              </w:rPr>
              <w:t>证书</w:t>
            </w:r>
            <w:r>
              <w:rPr>
                <w:rFonts w:hint="eastAsia" w:ascii="宋体" w:hAnsi="宋体" w:eastAsia="宋体" w:cs="宋体"/>
                <w:b w:val="0"/>
                <w:bCs/>
                <w:color w:val="auto"/>
                <w:spacing w:val="-2"/>
                <w:sz w:val="21"/>
                <w:szCs w:val="21"/>
                <w:highlight w:val="none"/>
                <w:lang w:val="en-US" w:eastAsia="zh-CN"/>
              </w:rPr>
              <w:t>复印件及国家市场监督管理总局全国认证认可信息公共服务平台官网（http://cx.cnca.cn/CertECloud/index/index/page）查询截图打印页，并加盖投标人公章为准</w:t>
            </w:r>
            <w:r>
              <w:rPr>
                <w:rFonts w:hint="eastAsia" w:ascii="宋体" w:hAnsi="宋体" w:eastAsia="宋体" w:cs="宋体"/>
                <w:b w:val="0"/>
                <w:bCs/>
                <w:color w:val="auto"/>
                <w:spacing w:val="-2"/>
                <w:sz w:val="21"/>
                <w:szCs w:val="21"/>
                <w:highlight w:val="none"/>
                <w:lang w:eastAsia="zh-CN"/>
              </w:rPr>
              <w:t>。</w:t>
            </w:r>
          </w:p>
        </w:tc>
      </w:tr>
      <w:tr w14:paraId="6553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69E8407E">
            <w:pPr>
              <w:spacing w:line="360" w:lineRule="exact"/>
              <w:jc w:val="center"/>
              <w:rPr>
                <w:rFonts w:hint="default" w:ascii="Arial" w:hAnsi="Arial" w:eastAsia="宋体" w:cs="Arial"/>
                <w:b/>
                <w:color w:val="auto"/>
                <w:sz w:val="21"/>
                <w:szCs w:val="21"/>
                <w:highlight w:val="none"/>
                <w:lang w:val="en-US" w:eastAsia="zh-CN"/>
              </w:rPr>
            </w:pPr>
            <w:r>
              <w:rPr>
                <w:rFonts w:hint="eastAsia" w:ascii="Arial" w:hAnsi="Arial" w:cs="Arial"/>
                <w:b/>
                <w:color w:val="auto"/>
                <w:sz w:val="21"/>
                <w:szCs w:val="21"/>
                <w:highlight w:val="none"/>
                <w:lang w:val="en-US" w:eastAsia="zh-CN"/>
              </w:rPr>
              <w:t>7</w:t>
            </w:r>
          </w:p>
        </w:tc>
        <w:tc>
          <w:tcPr>
            <w:tcW w:w="564" w:type="dxa"/>
            <w:noWrap w:val="0"/>
            <w:vAlign w:val="center"/>
          </w:tcPr>
          <w:p w14:paraId="36197EC2">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080" w:type="dxa"/>
            <w:noWrap w:val="0"/>
            <w:vAlign w:val="center"/>
          </w:tcPr>
          <w:p w14:paraId="76808D7A">
            <w:pPr>
              <w:spacing w:line="360" w:lineRule="exact"/>
              <w:jc w:val="center"/>
              <w:rPr>
                <w:rFonts w:hint="eastAsia" w:asciiTheme="majorEastAsia" w:hAnsiTheme="majorEastAsia" w:eastAsiaTheme="majorEastAsia" w:cstheme="majorEastAsia"/>
                <w:bCs/>
                <w:color w:val="auto"/>
                <w:spacing w:val="10"/>
                <w:sz w:val="21"/>
                <w:szCs w:val="21"/>
                <w:highlight w:val="none"/>
              </w:rPr>
            </w:pPr>
            <w:r>
              <w:rPr>
                <w:rFonts w:hint="eastAsia" w:ascii="宋体" w:hAnsi="宋体" w:eastAsia="宋体" w:cs="宋体"/>
                <w:b w:val="0"/>
                <w:bCs/>
                <w:color w:val="auto"/>
                <w:spacing w:val="-2"/>
                <w:sz w:val="21"/>
                <w:szCs w:val="21"/>
                <w:highlight w:val="none"/>
              </w:rPr>
              <w:t>政策功能分</w:t>
            </w:r>
            <w:r>
              <w:rPr>
                <w:rFonts w:hint="eastAsia" w:asciiTheme="majorEastAsia" w:hAnsiTheme="majorEastAsia" w:eastAsiaTheme="majorEastAsia" w:cstheme="majorEastAsia"/>
                <w:bCs/>
                <w:color w:val="auto"/>
                <w:spacing w:val="10"/>
                <w:sz w:val="21"/>
                <w:szCs w:val="21"/>
                <w:highlight w:val="none"/>
              </w:rPr>
              <w:t>（</w:t>
            </w:r>
            <w:r>
              <w:rPr>
                <w:rFonts w:hint="eastAsia" w:asciiTheme="majorEastAsia" w:hAnsiTheme="majorEastAsia" w:cstheme="majorEastAsia"/>
                <w:bCs/>
                <w:color w:val="auto"/>
                <w:spacing w:val="10"/>
                <w:sz w:val="21"/>
                <w:szCs w:val="21"/>
                <w:highlight w:val="none"/>
                <w:lang w:val="en-US" w:eastAsia="zh-CN"/>
              </w:rPr>
              <w:t>客</w:t>
            </w:r>
            <w:r>
              <w:rPr>
                <w:rFonts w:hint="eastAsia" w:asciiTheme="majorEastAsia" w:hAnsiTheme="majorEastAsia" w:eastAsiaTheme="majorEastAsia" w:cstheme="majorEastAsia"/>
                <w:bCs/>
                <w:color w:val="auto"/>
                <w:spacing w:val="10"/>
                <w:sz w:val="21"/>
                <w:szCs w:val="21"/>
                <w:highlight w:val="none"/>
              </w:rPr>
              <w:t>观分）</w:t>
            </w:r>
          </w:p>
        </w:tc>
        <w:tc>
          <w:tcPr>
            <w:tcW w:w="5506" w:type="dxa"/>
            <w:noWrap w:val="0"/>
            <w:vAlign w:val="center"/>
          </w:tcPr>
          <w:p w14:paraId="756152CF">
            <w:pPr>
              <w:pStyle w:val="20"/>
              <w:keepNext w:val="0"/>
              <w:keepLines w:val="0"/>
              <w:pageBreakBefore w:val="0"/>
              <w:suppressLineNumbers w:val="0"/>
              <w:kinsoku/>
              <w:overflowPunct/>
              <w:topLinePunct w:val="0"/>
              <w:bidi w:val="0"/>
              <w:snapToGrid/>
              <w:spacing w:before="0" w:beforeAutospacing="0" w:after="0" w:afterAutospacing="0" w:line="360" w:lineRule="auto"/>
              <w:ind w:right="0"/>
              <w:jc w:val="left"/>
              <w:rPr>
                <w:rFonts w:hint="eastAsia" w:ascii="宋体" w:hAnsi="宋体" w:eastAsia="宋体" w:cs="宋体"/>
                <w:b w:val="0"/>
                <w:bCs/>
                <w:color w:val="auto"/>
                <w:spacing w:val="-2"/>
                <w:sz w:val="21"/>
                <w:szCs w:val="21"/>
                <w:highlight w:val="none"/>
              </w:rPr>
            </w:pP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1</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投标产品纳入《财政部发展改革委生态环境部市场监管总局关于调整优化节能产品环境标志产品政府采购执行机制的通知》（财库〔2019〕9号）中节能产品政府采购品目清单的，得0.5分。</w:t>
            </w:r>
          </w:p>
          <w:p w14:paraId="60FA937D">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2</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投标产品纳入《财政部发展改革委生态环境部市场监管总局关于调整优化节能产品环境标志产品政府采购执行机制的通知》（财库〔2019〕9号）中环境标志产品政府采购品目清单的，得0.5分。</w:t>
            </w:r>
          </w:p>
        </w:tc>
        <w:tc>
          <w:tcPr>
            <w:tcW w:w="763" w:type="dxa"/>
            <w:noWrap w:val="0"/>
            <w:vAlign w:val="center"/>
          </w:tcPr>
          <w:p w14:paraId="55322B64">
            <w:pPr>
              <w:spacing w:line="360" w:lineRule="exact"/>
              <w:jc w:val="center"/>
              <w:rPr>
                <w:rFonts w:hint="default" w:ascii="Arial" w:hAnsi="Arial" w:cs="Arial" w:eastAsiaTheme="minorEastAsia"/>
                <w:color w:val="auto"/>
                <w:sz w:val="18"/>
                <w:szCs w:val="18"/>
                <w:highlight w:val="none"/>
                <w:lang w:val="en-US" w:eastAsia="zh-CN"/>
              </w:rPr>
            </w:pPr>
            <w:r>
              <w:rPr>
                <w:rFonts w:hint="default" w:ascii="Arial" w:hAnsi="Arial" w:cs="Arial" w:eastAsiaTheme="minorEastAsia"/>
                <w:color w:val="auto"/>
                <w:sz w:val="21"/>
                <w:szCs w:val="21"/>
                <w:highlight w:val="none"/>
                <w:lang w:val="en-US" w:eastAsia="zh-CN"/>
              </w:rPr>
              <w:t>0-</w:t>
            </w:r>
            <w:r>
              <w:rPr>
                <w:rFonts w:hint="eastAsia" w:ascii="Arial" w:hAnsi="Arial" w:cs="Arial" w:eastAsiaTheme="minorEastAsia"/>
                <w:color w:val="auto"/>
                <w:sz w:val="21"/>
                <w:szCs w:val="21"/>
                <w:highlight w:val="none"/>
                <w:lang w:val="en-US" w:eastAsia="zh-CN"/>
              </w:rPr>
              <w:t>1</w:t>
            </w:r>
          </w:p>
        </w:tc>
        <w:tc>
          <w:tcPr>
            <w:tcW w:w="2201" w:type="dxa"/>
            <w:noWrap w:val="0"/>
            <w:vAlign w:val="center"/>
          </w:tcPr>
          <w:p w14:paraId="761AC49C">
            <w:pPr>
              <w:numPr>
                <w:ilvl w:val="0"/>
                <w:numId w:val="22"/>
              </w:numPr>
              <w:spacing w:line="360" w:lineRule="exact"/>
              <w:rPr>
                <w:rFonts w:hint="eastAsia" w:ascii="宋体" w:hAnsi="宋体" w:eastAsia="宋体" w:cs="宋体"/>
                <w:b w:val="0"/>
                <w:bCs/>
                <w:color w:val="auto"/>
                <w:spacing w:val="-2"/>
                <w:sz w:val="21"/>
                <w:szCs w:val="21"/>
                <w:highlight w:val="none"/>
                <w:lang w:eastAsia="zh-CN"/>
              </w:rPr>
            </w:pPr>
            <w:r>
              <w:rPr>
                <w:rFonts w:hint="eastAsia" w:ascii="宋体" w:hAnsi="宋体" w:eastAsia="宋体" w:cs="宋体"/>
                <w:b w:val="0"/>
                <w:bCs/>
                <w:color w:val="auto"/>
                <w:spacing w:val="-2"/>
                <w:sz w:val="21"/>
                <w:szCs w:val="21"/>
                <w:highlight w:val="none"/>
              </w:rPr>
              <w:t>适用于非强制采购节能产品，产品提供投标产品所属节能产品认证证书复印件并加盖单位公章</w:t>
            </w:r>
            <w:r>
              <w:rPr>
                <w:rFonts w:hint="eastAsia" w:ascii="宋体" w:hAnsi="宋体" w:eastAsia="宋体" w:cs="宋体"/>
                <w:b w:val="0"/>
                <w:bCs/>
                <w:color w:val="auto"/>
                <w:spacing w:val="-2"/>
                <w:sz w:val="21"/>
                <w:szCs w:val="21"/>
                <w:highlight w:val="none"/>
                <w:lang w:eastAsia="zh-CN"/>
              </w:rPr>
              <w:t>。</w:t>
            </w:r>
          </w:p>
          <w:p w14:paraId="7EB59EA3">
            <w:pPr>
              <w:numPr>
                <w:ilvl w:val="0"/>
                <w:numId w:val="0"/>
              </w:numPr>
              <w:spacing w:line="360" w:lineRule="exact"/>
              <w:rPr>
                <w:rFonts w:hint="eastAsia" w:eastAsia="宋体" w:asciiTheme="minorEastAsia" w:hAnsiTheme="minorEastAsia" w:cstheme="minorEastAsia"/>
                <w:color w:val="auto"/>
                <w:sz w:val="21"/>
                <w:szCs w:val="21"/>
                <w:highlight w:val="none"/>
                <w:lang w:eastAsia="zh-CN"/>
              </w:rPr>
            </w:pP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2</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提供投标产品所属环境标志产品认证证书复印件并加盖单位公章</w:t>
            </w:r>
            <w:r>
              <w:rPr>
                <w:rFonts w:hint="eastAsia" w:ascii="宋体" w:hAnsi="宋体" w:eastAsia="宋体" w:cs="宋体"/>
                <w:b w:val="0"/>
                <w:bCs/>
                <w:color w:val="auto"/>
                <w:spacing w:val="-2"/>
                <w:sz w:val="21"/>
                <w:szCs w:val="21"/>
                <w:highlight w:val="none"/>
                <w:lang w:eastAsia="zh-CN"/>
              </w:rPr>
              <w:t>。</w:t>
            </w:r>
          </w:p>
        </w:tc>
      </w:tr>
      <w:tr w14:paraId="71B3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53369103">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8</w:t>
            </w:r>
          </w:p>
        </w:tc>
        <w:tc>
          <w:tcPr>
            <w:tcW w:w="1644" w:type="dxa"/>
            <w:gridSpan w:val="2"/>
            <w:noWrap w:val="0"/>
            <w:vAlign w:val="center"/>
          </w:tcPr>
          <w:p w14:paraId="323B6738">
            <w:pPr>
              <w:spacing w:line="360" w:lineRule="exact"/>
              <w:jc w:val="center"/>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lang w:eastAsia="zh-CN"/>
              </w:rPr>
              <w:t>综合得分</w:t>
            </w:r>
          </w:p>
        </w:tc>
        <w:tc>
          <w:tcPr>
            <w:tcW w:w="8470" w:type="dxa"/>
            <w:gridSpan w:val="3"/>
            <w:noWrap w:val="0"/>
            <w:vAlign w:val="center"/>
          </w:tcPr>
          <w:p w14:paraId="31042F6D">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=1+2+3+4+5+6+7（各项评分分值计算保留小数点后两位，小数点后第三位“四舍五入”）</w:t>
            </w:r>
          </w:p>
          <w:p w14:paraId="7C4BF9F7">
            <w:pPr>
              <w:rPr>
                <w:rFonts w:hint="eastAsia" w:asciiTheme="minorEastAsia" w:hAnsiTheme="minorEastAsia" w:eastAsiaTheme="minorEastAsia" w:cstheme="minorEastAsia"/>
                <w:color w:val="auto"/>
                <w:sz w:val="21"/>
                <w:szCs w:val="21"/>
                <w:highlight w:val="none"/>
              </w:rPr>
            </w:pPr>
          </w:p>
        </w:tc>
      </w:tr>
    </w:tbl>
    <w:p w14:paraId="3002007D">
      <w:pPr>
        <w:spacing w:line="360" w:lineRule="auto"/>
        <w:ind w:firstLine="442"/>
        <w:rPr>
          <w:rFonts w:hint="eastAsia"/>
          <w:b/>
          <w:bCs/>
          <w:color w:val="auto"/>
          <w:sz w:val="22"/>
          <w:szCs w:val="28"/>
          <w:highlight w:val="none"/>
          <w:lang w:eastAsia="zh-CN"/>
        </w:rPr>
      </w:pPr>
    </w:p>
    <w:p w14:paraId="736FA7F3">
      <w:pPr>
        <w:pStyle w:val="27"/>
        <w:numPr>
          <w:ilvl w:val="0"/>
          <w:numId w:val="0"/>
        </w:numPr>
        <w:spacing w:before="120" w:after="120" w:line="320" w:lineRule="exact"/>
        <w:jc w:val="both"/>
        <w:outlineLvl w:val="0"/>
        <w:rPr>
          <w:rFonts w:hint="eastAsia" w:ascii="Times New Roman" w:hAnsi="Times New Roman" w:cs="Times New Roman"/>
          <w:b/>
          <w:bCs/>
          <w:color w:val="auto"/>
          <w:sz w:val="28"/>
          <w:szCs w:val="28"/>
          <w:highlight w:val="none"/>
          <w:lang w:eastAsia="zh-CN"/>
        </w:rPr>
      </w:pPr>
      <w:r>
        <w:rPr>
          <w:rFonts w:hint="eastAsia" w:ascii="Times New Roman" w:hAnsi="Times New Roman" w:cs="Times New Roman"/>
          <w:b/>
          <w:bCs/>
          <w:color w:val="auto"/>
          <w:sz w:val="28"/>
          <w:szCs w:val="28"/>
          <w:highlight w:val="none"/>
          <w:lang w:eastAsia="zh-CN"/>
        </w:rPr>
        <w:br w:type="page" w:clear="all"/>
      </w:r>
      <w:bookmarkStart w:id="190" w:name="_Toc16207"/>
      <w:r>
        <w:rPr>
          <w:rFonts w:hint="eastAsia" w:ascii="Times New Roman" w:hAnsi="Times New Roman" w:cs="Times New Roman"/>
          <w:b/>
          <w:bCs/>
          <w:color w:val="auto"/>
          <w:sz w:val="28"/>
          <w:szCs w:val="28"/>
          <w:highlight w:val="none"/>
          <w:lang w:eastAsia="zh-CN"/>
        </w:rPr>
        <w:t>【适用于标项</w:t>
      </w:r>
      <w:r>
        <w:rPr>
          <w:rFonts w:hint="eastAsia" w:ascii="Times New Roman" w:hAnsi="Times New Roman" w:cs="Times New Roman"/>
          <w:b/>
          <w:bCs/>
          <w:color w:val="auto"/>
          <w:sz w:val="28"/>
          <w:szCs w:val="28"/>
          <w:highlight w:val="none"/>
          <w:lang w:val="en-US" w:eastAsia="zh-CN"/>
        </w:rPr>
        <w:t>二</w:t>
      </w:r>
      <w:r>
        <w:rPr>
          <w:rFonts w:hint="eastAsia" w:ascii="Times New Roman" w:hAnsi="Times New Roman" w:cs="Times New Roman"/>
          <w:b/>
          <w:bCs/>
          <w:color w:val="auto"/>
          <w:sz w:val="28"/>
          <w:szCs w:val="28"/>
          <w:highlight w:val="none"/>
          <w:lang w:eastAsia="zh-CN"/>
        </w:rPr>
        <w:t>：麻醉系统</w:t>
      </w:r>
      <w:r>
        <w:rPr>
          <w:rFonts w:hint="eastAsia" w:ascii="Times New Roman" w:hAnsi="Times New Roman" w:cs="Times New Roman"/>
          <w:b/>
          <w:bCs/>
          <w:color w:val="auto"/>
          <w:sz w:val="28"/>
          <w:szCs w:val="28"/>
          <w:highlight w:val="none"/>
          <w:lang w:val="en-US" w:eastAsia="zh-CN"/>
        </w:rPr>
        <w:t>一套</w:t>
      </w:r>
      <w:r>
        <w:rPr>
          <w:rFonts w:hint="eastAsia" w:ascii="Times New Roman" w:hAnsi="Times New Roman" w:cs="Times New Roman"/>
          <w:b/>
          <w:bCs/>
          <w:color w:val="auto"/>
          <w:sz w:val="28"/>
          <w:szCs w:val="28"/>
          <w:highlight w:val="none"/>
          <w:lang w:eastAsia="zh-CN"/>
        </w:rPr>
        <w:t>】</w:t>
      </w:r>
      <w:bookmarkEnd w:id="190"/>
    </w:p>
    <w:tbl>
      <w:tblPr>
        <w:tblStyle w:val="56"/>
        <w:tblW w:w="10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891"/>
        <w:gridCol w:w="1145"/>
        <w:gridCol w:w="4994"/>
        <w:gridCol w:w="648"/>
        <w:gridCol w:w="2436"/>
      </w:tblGrid>
      <w:tr w14:paraId="58EA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16A92F39">
            <w:pPr>
              <w:spacing w:line="360" w:lineRule="exact"/>
              <w:jc w:val="center"/>
              <w:rPr>
                <w:rFonts w:ascii="Arial" w:hAnsi="Arial" w:cs="Arial"/>
                <w:b/>
                <w:color w:val="auto"/>
                <w:szCs w:val="21"/>
                <w:highlight w:val="none"/>
              </w:rPr>
            </w:pPr>
            <w:r>
              <w:rPr>
                <w:rFonts w:ascii="Arial" w:hAnsi="Arial" w:cs="Arial"/>
                <w:b/>
                <w:color w:val="auto"/>
                <w:szCs w:val="21"/>
                <w:highlight w:val="none"/>
              </w:rPr>
              <w:t>序号</w:t>
            </w:r>
          </w:p>
        </w:tc>
        <w:tc>
          <w:tcPr>
            <w:tcW w:w="891" w:type="dxa"/>
            <w:noWrap w:val="0"/>
            <w:vAlign w:val="center"/>
          </w:tcPr>
          <w:p w14:paraId="028F198D">
            <w:pPr>
              <w:spacing w:line="360" w:lineRule="exact"/>
              <w:jc w:val="center"/>
              <w:rPr>
                <w:rFonts w:ascii="Arial" w:hAnsi="Arial" w:cs="Arial"/>
                <w:b/>
                <w:color w:val="auto"/>
                <w:szCs w:val="21"/>
                <w:highlight w:val="none"/>
              </w:rPr>
            </w:pPr>
            <w:r>
              <w:rPr>
                <w:rFonts w:ascii="Arial" w:hAnsi="Arial" w:cs="Arial"/>
                <w:b/>
                <w:color w:val="auto"/>
                <w:szCs w:val="21"/>
                <w:highlight w:val="none"/>
              </w:rPr>
              <w:t>类型</w:t>
            </w:r>
          </w:p>
        </w:tc>
        <w:tc>
          <w:tcPr>
            <w:tcW w:w="1145" w:type="dxa"/>
            <w:noWrap w:val="0"/>
            <w:vAlign w:val="center"/>
          </w:tcPr>
          <w:p w14:paraId="12BCDD84">
            <w:pPr>
              <w:spacing w:line="360" w:lineRule="exact"/>
              <w:jc w:val="center"/>
              <w:rPr>
                <w:rFonts w:ascii="Arial" w:hAnsi="Arial" w:cs="Arial"/>
                <w:b/>
                <w:color w:val="auto"/>
                <w:szCs w:val="21"/>
                <w:highlight w:val="none"/>
              </w:rPr>
            </w:pPr>
            <w:r>
              <w:rPr>
                <w:rFonts w:ascii="Arial" w:hAnsi="Arial" w:cs="Arial"/>
                <w:b/>
                <w:color w:val="auto"/>
                <w:szCs w:val="21"/>
                <w:highlight w:val="none"/>
              </w:rPr>
              <w:t>评标因素</w:t>
            </w:r>
          </w:p>
        </w:tc>
        <w:tc>
          <w:tcPr>
            <w:tcW w:w="4994" w:type="dxa"/>
            <w:noWrap w:val="0"/>
            <w:vAlign w:val="center"/>
          </w:tcPr>
          <w:p w14:paraId="6F202999">
            <w:pPr>
              <w:spacing w:line="360" w:lineRule="exact"/>
              <w:jc w:val="center"/>
              <w:rPr>
                <w:rFonts w:ascii="Arial" w:hAnsi="Arial" w:cs="Arial"/>
                <w:b/>
                <w:color w:val="auto"/>
                <w:szCs w:val="21"/>
                <w:highlight w:val="none"/>
              </w:rPr>
            </w:pPr>
            <w:r>
              <w:rPr>
                <w:rFonts w:ascii="Arial" w:hAnsi="Arial" w:cs="Arial"/>
                <w:b/>
                <w:color w:val="auto"/>
                <w:szCs w:val="21"/>
                <w:highlight w:val="none"/>
              </w:rPr>
              <w:t>评分标准</w:t>
            </w:r>
          </w:p>
        </w:tc>
        <w:tc>
          <w:tcPr>
            <w:tcW w:w="648" w:type="dxa"/>
            <w:noWrap w:val="0"/>
            <w:vAlign w:val="center"/>
          </w:tcPr>
          <w:p w14:paraId="6F0243CC">
            <w:pPr>
              <w:spacing w:line="360" w:lineRule="exact"/>
              <w:jc w:val="center"/>
              <w:rPr>
                <w:rFonts w:ascii="Arial" w:hAnsi="Arial" w:cs="Arial"/>
                <w:b/>
                <w:color w:val="auto"/>
                <w:szCs w:val="21"/>
                <w:highlight w:val="none"/>
              </w:rPr>
            </w:pPr>
            <w:r>
              <w:rPr>
                <w:rFonts w:ascii="Arial" w:hAnsi="Arial" w:cs="Arial"/>
                <w:b/>
                <w:color w:val="auto"/>
                <w:szCs w:val="21"/>
                <w:highlight w:val="none"/>
              </w:rPr>
              <w:t>分值权重</w:t>
            </w:r>
          </w:p>
        </w:tc>
        <w:tc>
          <w:tcPr>
            <w:tcW w:w="2436" w:type="dxa"/>
            <w:noWrap w:val="0"/>
            <w:vAlign w:val="center"/>
          </w:tcPr>
          <w:p w14:paraId="7E8513ED">
            <w:pPr>
              <w:spacing w:line="360" w:lineRule="exact"/>
              <w:jc w:val="center"/>
              <w:rPr>
                <w:rFonts w:ascii="Arial" w:hAnsi="Arial" w:cs="Arial"/>
                <w:b/>
                <w:color w:val="auto"/>
                <w:szCs w:val="21"/>
                <w:highlight w:val="none"/>
              </w:rPr>
            </w:pPr>
            <w:r>
              <w:rPr>
                <w:rFonts w:ascii="Arial" w:hAnsi="Arial" w:cs="Arial"/>
                <w:b/>
                <w:color w:val="auto"/>
                <w:szCs w:val="21"/>
                <w:highlight w:val="none"/>
              </w:rPr>
              <w:t>说明</w:t>
            </w:r>
          </w:p>
        </w:tc>
      </w:tr>
      <w:tr w14:paraId="17DB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523" w:type="dxa"/>
            <w:noWrap w:val="0"/>
            <w:vAlign w:val="center"/>
          </w:tcPr>
          <w:p w14:paraId="6ACE664B">
            <w:pPr>
              <w:spacing w:line="360" w:lineRule="exact"/>
              <w:jc w:val="center"/>
              <w:rPr>
                <w:rFonts w:hint="eastAsia" w:ascii="Arial" w:hAnsi="Arial" w:eastAsia="宋体" w:cs="Arial"/>
                <w:b/>
                <w:color w:val="auto"/>
                <w:sz w:val="21"/>
                <w:szCs w:val="21"/>
                <w:highlight w:val="none"/>
                <w:lang w:val="en-US" w:eastAsia="zh-CN"/>
              </w:rPr>
            </w:pPr>
            <w:r>
              <w:rPr>
                <w:rFonts w:hint="eastAsia" w:ascii="Arial" w:hAnsi="Arial" w:cs="Arial"/>
                <w:b/>
                <w:color w:val="auto"/>
                <w:szCs w:val="21"/>
                <w:highlight w:val="none"/>
                <w:lang w:val="en-US" w:eastAsia="zh-CN"/>
              </w:rPr>
              <w:t>1</w:t>
            </w:r>
          </w:p>
        </w:tc>
        <w:tc>
          <w:tcPr>
            <w:tcW w:w="891" w:type="dxa"/>
            <w:noWrap w:val="0"/>
            <w:vAlign w:val="center"/>
          </w:tcPr>
          <w:p w14:paraId="588FFE16">
            <w:pPr>
              <w:spacing w:line="360" w:lineRule="exact"/>
              <w:jc w:val="center"/>
              <w:rPr>
                <w:rFonts w:ascii="Arial" w:hAnsi="Arial" w:cs="Arial"/>
                <w:color w:val="auto"/>
                <w:sz w:val="21"/>
                <w:szCs w:val="21"/>
                <w:highlight w:val="none"/>
              </w:rPr>
            </w:pPr>
            <w:r>
              <w:rPr>
                <w:rFonts w:ascii="Arial" w:hAnsi="Arial" w:cs="Arial"/>
                <w:color w:val="auto"/>
                <w:szCs w:val="21"/>
                <w:highlight w:val="none"/>
              </w:rPr>
              <w:t>价格分</w:t>
            </w:r>
          </w:p>
        </w:tc>
        <w:tc>
          <w:tcPr>
            <w:tcW w:w="1145" w:type="dxa"/>
            <w:noWrap w:val="0"/>
            <w:vAlign w:val="center"/>
          </w:tcPr>
          <w:p w14:paraId="5128024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w:t>
            </w:r>
          </w:p>
          <w:p w14:paraId="78995C4D">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（客观分）</w:t>
            </w:r>
          </w:p>
        </w:tc>
        <w:tc>
          <w:tcPr>
            <w:tcW w:w="4994" w:type="dxa"/>
            <w:noWrap w:val="0"/>
            <w:vAlign w:val="center"/>
          </w:tcPr>
          <w:p w14:paraId="188BB7D4">
            <w:pPr>
              <w:keepNext w:val="0"/>
              <w:keepLines w:val="0"/>
              <w:widowControl/>
              <w:suppressLineNumbers w:val="0"/>
              <w:jc w:val="left"/>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以满足招标文件要求且投标价格最低的投标报价为评标基准价，其价格分为 30 分。其他供应商的价格分统一按照下列公式计算：</w:t>
            </w:r>
          </w:p>
          <w:p w14:paraId="20748BA2">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
              </w:rPr>
              <w:t>投标报价得分=（评标基准价/投标报价）×30。</w:t>
            </w:r>
          </w:p>
          <w:p w14:paraId="3D4A44F2">
            <w:pPr>
              <w:spacing w:line="360" w:lineRule="exact"/>
              <w:jc w:val="center"/>
              <w:rPr>
                <w:rFonts w:hint="eastAsia" w:ascii="宋体" w:hAnsi="宋体" w:eastAsia="宋体" w:cs="宋体"/>
                <w:b/>
                <w:color w:val="auto"/>
                <w:sz w:val="21"/>
                <w:szCs w:val="21"/>
                <w:highlight w:val="none"/>
              </w:rPr>
            </w:pPr>
          </w:p>
        </w:tc>
        <w:tc>
          <w:tcPr>
            <w:tcW w:w="648" w:type="dxa"/>
            <w:noWrap w:val="0"/>
            <w:vAlign w:val="center"/>
          </w:tcPr>
          <w:p w14:paraId="05F9DB28">
            <w:pPr>
              <w:spacing w:line="360" w:lineRule="exact"/>
              <w:jc w:val="center"/>
              <w:rPr>
                <w:rFonts w:hint="default" w:ascii="Arial" w:hAnsi="Arial" w:cs="Arial" w:eastAsiaTheme="minorEastAsia"/>
                <w:b/>
                <w:color w:val="auto"/>
                <w:sz w:val="21"/>
                <w:szCs w:val="21"/>
                <w:highlight w:val="none"/>
                <w:lang w:val="en-US" w:eastAsia="zh-CN"/>
              </w:rPr>
            </w:pPr>
            <w:r>
              <w:rPr>
                <w:rFonts w:hint="eastAsia" w:ascii="Arial" w:hAnsi="Arial" w:cs="Arial"/>
                <w:b w:val="0"/>
                <w:bCs/>
                <w:color w:val="auto"/>
                <w:sz w:val="21"/>
                <w:szCs w:val="21"/>
                <w:highlight w:val="none"/>
                <w:lang w:val="en-US" w:eastAsia="zh-CN"/>
              </w:rPr>
              <w:t>0-30</w:t>
            </w:r>
          </w:p>
        </w:tc>
        <w:tc>
          <w:tcPr>
            <w:tcW w:w="2436" w:type="dxa"/>
            <w:noWrap w:val="0"/>
            <w:vAlign w:val="center"/>
          </w:tcPr>
          <w:p w14:paraId="73ABB3FD">
            <w:pPr>
              <w:keepNext w:val="0"/>
              <w:keepLines w:val="0"/>
              <w:widowControl/>
              <w:suppressLineNumbers w:val="0"/>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bidi="ar"/>
              </w:rPr>
              <w:t>投标报价计算时均为供应商的实际投标报价进行政策性扣除后的价格，最终中标金额＝投标报价。政策性扣除 计算方法见后。</w:t>
            </w:r>
          </w:p>
        </w:tc>
      </w:tr>
      <w:tr w14:paraId="0F1F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2C3A8F39">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Cs w:val="21"/>
                <w:highlight w:val="none"/>
                <w:lang w:val="en-US" w:eastAsia="zh-CN"/>
              </w:rPr>
              <w:t>2</w:t>
            </w:r>
          </w:p>
        </w:tc>
        <w:tc>
          <w:tcPr>
            <w:tcW w:w="891" w:type="dxa"/>
            <w:noWrap w:val="0"/>
            <w:vAlign w:val="center"/>
          </w:tcPr>
          <w:p w14:paraId="60739845">
            <w:pPr>
              <w:spacing w:line="360" w:lineRule="exact"/>
              <w:jc w:val="center"/>
              <w:rPr>
                <w:rFonts w:ascii="Arial" w:hAnsi="Arial" w:cs="Arial"/>
                <w:color w:val="auto"/>
                <w:sz w:val="21"/>
                <w:szCs w:val="21"/>
                <w:highlight w:val="none"/>
              </w:rPr>
            </w:pPr>
            <w:r>
              <w:rPr>
                <w:rFonts w:ascii="Arial" w:hAnsi="Arial" w:cs="Arial"/>
                <w:color w:val="auto"/>
                <w:szCs w:val="21"/>
                <w:highlight w:val="none"/>
              </w:rPr>
              <w:t>技术</w:t>
            </w:r>
            <w:r>
              <w:rPr>
                <w:rFonts w:hint="eastAsia" w:ascii="Arial" w:hAnsi="Arial" w:cs="Arial"/>
                <w:color w:val="auto"/>
                <w:szCs w:val="21"/>
                <w:highlight w:val="none"/>
                <w:lang w:eastAsia="zh-CN"/>
              </w:rPr>
              <w:t>分</w:t>
            </w:r>
          </w:p>
        </w:tc>
        <w:tc>
          <w:tcPr>
            <w:tcW w:w="1145" w:type="dxa"/>
            <w:noWrap w:val="0"/>
            <w:vAlign w:val="center"/>
          </w:tcPr>
          <w:p w14:paraId="10784A30">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val="0"/>
                <w:bCs/>
                <w:color w:val="auto"/>
                <w:spacing w:val="-2"/>
                <w:sz w:val="21"/>
                <w:szCs w:val="21"/>
                <w:highlight w:val="none"/>
              </w:rPr>
              <w:t>设备性能分</w:t>
            </w:r>
            <w:r>
              <w:rPr>
                <w:rFonts w:hint="eastAsia" w:ascii="宋体" w:hAnsi="宋体" w:eastAsia="宋体" w:cs="宋体"/>
                <w:color w:val="auto"/>
                <w:sz w:val="21"/>
                <w:szCs w:val="21"/>
                <w:highlight w:val="none"/>
              </w:rPr>
              <w:t>（客观分）</w:t>
            </w:r>
          </w:p>
        </w:tc>
        <w:tc>
          <w:tcPr>
            <w:tcW w:w="4994" w:type="dxa"/>
            <w:noWrap w:val="0"/>
            <w:vAlign w:val="center"/>
          </w:tcPr>
          <w:p w14:paraId="3D1CE913">
            <w:pPr>
              <w:pStyle w:val="225"/>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jc w:val="left"/>
              <w:textAlignment w:val="auto"/>
              <w:outlineLvl w:val="9"/>
              <w:rPr>
                <w:rFonts w:hint="eastAsia" w:ascii="宋体" w:hAnsi="宋体" w:eastAsia="宋体" w:cs="宋体"/>
                <w:bCs/>
                <w:color w:val="auto"/>
                <w:spacing w:val="10"/>
                <w:sz w:val="21"/>
                <w:szCs w:val="21"/>
                <w:highlight w:val="none"/>
              </w:rPr>
            </w:pPr>
            <w:r>
              <w:rPr>
                <w:rFonts w:hint="eastAsia" w:ascii="宋体" w:hAnsi="宋体" w:eastAsia="宋体" w:cs="宋体"/>
                <w:b w:val="0"/>
                <w:bCs/>
                <w:color w:val="auto"/>
                <w:sz w:val="21"/>
                <w:szCs w:val="21"/>
                <w:highlight w:val="none"/>
                <w:lang w:eastAsia="zh-CN"/>
              </w:rPr>
              <w:t>投标人的投标文件满足招标文件要求（即：通过资格性和符合性审查的）的，得基本分3</w:t>
            </w:r>
            <w:ins w:id="114" w:author="JDZBzheng" w:date="2026-06-30T12:13:10Z">
              <w:r>
                <w:rPr>
                  <w:rFonts w:hint="eastAsia" w:ascii="宋体" w:hAnsi="宋体" w:eastAsia="宋体" w:cs="宋体"/>
                  <w:b w:val="0"/>
                  <w:bCs/>
                  <w:color w:val="auto"/>
                  <w:sz w:val="21"/>
                  <w:szCs w:val="21"/>
                  <w:highlight w:val="none"/>
                  <w:lang w:val="en-US" w:eastAsia="zh-CN"/>
                </w:rPr>
                <w:t>6</w:t>
              </w:r>
            </w:ins>
            <w:r>
              <w:rPr>
                <w:rFonts w:hint="eastAsia" w:ascii="宋体" w:hAnsi="宋体" w:eastAsia="宋体" w:cs="宋体"/>
                <w:b w:val="0"/>
                <w:bCs/>
                <w:color w:val="auto"/>
                <w:sz w:val="21"/>
                <w:szCs w:val="21"/>
                <w:highlight w:val="none"/>
                <w:lang w:eastAsia="zh-CN"/>
              </w:rPr>
              <w:t>分；投标人对“货物采购需求”的“技术指标要求”中非实质性要求（未标注“▲”的技术参数）的技术参数响应存在负偏离的，不带“●”号项的，每有一项扣基本分</w:t>
            </w:r>
            <w:r>
              <w:rPr>
                <w:rFonts w:hint="eastAsia" w:ascii="宋体" w:hAnsi="宋体" w:eastAsia="宋体" w:cs="宋体"/>
                <w:b w:val="0"/>
                <w:bCs/>
                <w:color w:val="auto"/>
                <w:sz w:val="21"/>
                <w:szCs w:val="21"/>
                <w:highlight w:val="none"/>
                <w:lang w:val="en-US" w:eastAsia="zh-CN"/>
              </w:rPr>
              <w:t>0.5</w:t>
            </w:r>
            <w:r>
              <w:rPr>
                <w:rFonts w:hint="eastAsia" w:ascii="宋体" w:hAnsi="宋体" w:eastAsia="宋体" w:cs="宋体"/>
                <w:b w:val="0"/>
                <w:bCs/>
                <w:color w:val="auto"/>
                <w:sz w:val="21"/>
                <w:szCs w:val="21"/>
                <w:highlight w:val="none"/>
                <w:lang w:eastAsia="zh-CN"/>
              </w:rPr>
              <w:t>分；带“●”号项的，每有一项扣基本分</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eastAsia="zh-CN"/>
              </w:rPr>
              <w:t>分；扣完为止。</w:t>
            </w:r>
          </w:p>
        </w:tc>
        <w:tc>
          <w:tcPr>
            <w:tcW w:w="648" w:type="dxa"/>
            <w:noWrap w:val="0"/>
            <w:vAlign w:val="center"/>
          </w:tcPr>
          <w:p w14:paraId="1E87DE8C">
            <w:pPr>
              <w:spacing w:line="360" w:lineRule="exact"/>
              <w:jc w:val="center"/>
              <w:rPr>
                <w:rFonts w:hint="default" w:ascii="Arial" w:hAnsi="Arial" w:cs="Arial" w:eastAsiaTheme="minorEastAsia"/>
                <w:color w:val="auto"/>
                <w:sz w:val="21"/>
                <w:szCs w:val="21"/>
                <w:highlight w:val="none"/>
                <w:lang w:val="en-US" w:eastAsia="zh-CN"/>
              </w:rPr>
            </w:pPr>
            <w:r>
              <w:rPr>
                <w:rFonts w:ascii="Arial" w:hAnsi="Arial" w:cs="Arial"/>
                <w:color w:val="auto"/>
                <w:szCs w:val="21"/>
                <w:highlight w:val="none"/>
              </w:rPr>
              <w:t>0-</w:t>
            </w:r>
            <w:r>
              <w:rPr>
                <w:rFonts w:hint="eastAsia" w:ascii="Arial" w:hAnsi="Arial" w:cs="Arial"/>
                <w:color w:val="auto"/>
                <w:szCs w:val="21"/>
                <w:highlight w:val="none"/>
                <w:lang w:val="en-US" w:eastAsia="zh-CN"/>
              </w:rPr>
              <w:t>36</w:t>
            </w:r>
          </w:p>
        </w:tc>
        <w:tc>
          <w:tcPr>
            <w:tcW w:w="2436" w:type="dxa"/>
            <w:noWrap w:val="0"/>
            <w:vAlign w:val="center"/>
          </w:tcPr>
          <w:p w14:paraId="02997798">
            <w:pPr>
              <w:pStyle w:val="225"/>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jc w:val="left"/>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（1）货物采购需求中“标的名称”不作为扣分项。</w:t>
            </w:r>
          </w:p>
          <w:p w14:paraId="1B3CE27A">
            <w:pPr>
              <w:spacing w:line="360" w:lineRule="exact"/>
              <w:jc w:val="center"/>
              <w:rPr>
                <w:ins w:id="115" w:author="JDZBzheng" w:date="2026-06-30T19:03:16Z"/>
                <w:rFonts w:hint="eastAsia" w:ascii="宋体" w:hAnsi="宋体" w:eastAsia="宋体" w:cs="宋体"/>
                <w:b w:val="0"/>
                <w:bCs/>
                <w:color w:val="auto"/>
                <w:sz w:val="21"/>
                <w:szCs w:val="21"/>
                <w:highlight w:val="none"/>
                <w:lang w:eastAsia="zh-CN"/>
              </w:rPr>
            </w:pPr>
            <w:ins w:id="116" w:author="JDZBzheng" w:date="2026-06-30T19:03:16Z">
              <w:r>
                <w:rPr>
                  <w:rFonts w:hint="eastAsia" w:ascii="宋体" w:hAnsi="宋体" w:eastAsia="宋体" w:cs="宋体"/>
                  <w:b w:val="0"/>
                  <w:bCs/>
                  <w:color w:val="auto"/>
                  <w:sz w:val="21"/>
                  <w:szCs w:val="21"/>
                  <w:highlight w:val="none"/>
                  <w:lang w:eastAsia="zh-CN"/>
                </w:rPr>
                <w:t>（2）如招标文件“</w:t>
              </w:r>
            </w:ins>
            <w:ins w:id="117" w:author="JDZBzheng" w:date="2026-06-30T19:03:16Z">
              <w:r>
                <w:rPr>
                  <w:rFonts w:hint="eastAsia" w:ascii="宋体" w:hAnsi="宋体" w:eastAsia="宋体" w:cs="宋体"/>
                  <w:color w:val="auto"/>
                  <w:sz w:val="21"/>
                  <w:szCs w:val="21"/>
                  <w:highlight w:val="none"/>
                </w:rPr>
                <w:t>技术指标要求</w:t>
              </w:r>
            </w:ins>
            <w:ins w:id="118" w:author="JDZBzheng" w:date="2026-06-30T19:03:16Z">
              <w:r>
                <w:rPr>
                  <w:rFonts w:hint="eastAsia" w:ascii="宋体" w:hAnsi="宋体" w:eastAsia="宋体" w:cs="宋体"/>
                  <w:b w:val="0"/>
                  <w:bCs/>
                  <w:color w:val="auto"/>
                  <w:sz w:val="21"/>
                  <w:szCs w:val="21"/>
                  <w:highlight w:val="none"/>
                  <w:lang w:eastAsia="zh-CN"/>
                </w:rPr>
                <w:t>”中要求提供相关有效证明材料，投标人未按要求提供或所提供的证明材料不满足（或不能证明）相应技术参数要求的，视为负偏离；投标人投标文件中的响应承诺与证明材料不一致的，以证明材料为准。</w:t>
              </w:r>
            </w:ins>
          </w:p>
          <w:p w14:paraId="76DAC1B5">
            <w:pPr>
              <w:spacing w:line="360" w:lineRule="exact"/>
              <w:jc w:val="center"/>
              <w:rPr>
                <w:rFonts w:hint="eastAsia" w:ascii="宋体" w:hAnsi="宋体" w:eastAsia="宋体" w:cs="宋体"/>
                <w:bCs/>
                <w:color w:val="auto"/>
                <w:spacing w:val="10"/>
                <w:sz w:val="21"/>
                <w:szCs w:val="21"/>
                <w:highlight w:val="none"/>
              </w:rPr>
            </w:pPr>
            <w:ins w:id="119" w:author="JDZBzheng" w:date="2026-06-30T19:03:16Z">
              <w:r>
                <w:rPr>
                  <w:rFonts w:hint="eastAsia" w:ascii="宋体" w:hAnsi="宋体" w:eastAsia="宋体" w:cs="宋体"/>
                  <w:b w:val="0"/>
                  <w:bCs/>
                  <w:color w:val="auto"/>
                  <w:sz w:val="21"/>
                  <w:szCs w:val="21"/>
                  <w:highlight w:val="none"/>
                  <w:lang w:eastAsia="zh-CN"/>
                </w:rPr>
                <w:t>（</w:t>
              </w:r>
            </w:ins>
            <w:ins w:id="120" w:author="JDZBzheng" w:date="2026-06-30T19:03:16Z">
              <w:r>
                <w:rPr>
                  <w:rFonts w:hint="eastAsia" w:ascii="宋体" w:hAnsi="宋体" w:eastAsia="宋体" w:cs="宋体"/>
                  <w:b w:val="0"/>
                  <w:bCs/>
                  <w:color w:val="auto"/>
                  <w:sz w:val="21"/>
                  <w:szCs w:val="21"/>
                  <w:highlight w:val="none"/>
                  <w:lang w:val="en-US" w:eastAsia="zh-CN"/>
                </w:rPr>
                <w:t>3</w:t>
              </w:r>
            </w:ins>
            <w:ins w:id="121" w:author="JDZBzheng" w:date="2026-06-30T19:03:16Z">
              <w:r>
                <w:rPr>
                  <w:rFonts w:hint="eastAsia" w:ascii="宋体" w:hAnsi="宋体" w:eastAsia="宋体" w:cs="宋体"/>
                  <w:b w:val="0"/>
                  <w:bCs/>
                  <w:color w:val="auto"/>
                  <w:sz w:val="21"/>
                  <w:szCs w:val="21"/>
                  <w:highlight w:val="none"/>
                  <w:lang w:eastAsia="zh-CN"/>
                </w:rPr>
                <w:t>）</w:t>
              </w:r>
            </w:ins>
            <w:ins w:id="122" w:author="JDZBzheng" w:date="2026-06-30T19:03:16Z">
              <w:r>
                <w:rPr>
                  <w:rFonts w:hint="eastAsia" w:ascii="宋体" w:hAnsi="宋体" w:eastAsia="宋体" w:cs="宋体"/>
                  <w:color w:val="auto"/>
                  <w:sz w:val="21"/>
                  <w:szCs w:val="21"/>
                  <w:highlight w:val="none"/>
                </w:rPr>
                <w:t>标记“</w:t>
              </w:r>
            </w:ins>
            <w:ins w:id="123" w:author="JDZBzheng" w:date="2026-06-30T19:03:16Z">
              <w:r>
                <w:rPr>
                  <w:rFonts w:hint="eastAsia" w:ascii="宋体" w:hAnsi="宋体" w:eastAsia="宋体" w:cs="宋体"/>
                  <w:i w:val="0"/>
                  <w:iCs w:val="0"/>
                  <w:color w:val="auto"/>
                  <w:kern w:val="0"/>
                  <w:sz w:val="21"/>
                  <w:szCs w:val="21"/>
                  <w:highlight w:val="none"/>
                  <w:u w:val="none"/>
                  <w:lang w:val="en-US" w:eastAsia="zh-CN" w:bidi="ar"/>
                </w:rPr>
                <w:t>●</w:t>
              </w:r>
            </w:ins>
            <w:ins w:id="124" w:author="JDZBzheng" w:date="2026-06-30T19:03:16Z">
              <w:r>
                <w:rPr>
                  <w:rFonts w:hint="eastAsia" w:ascii="宋体" w:hAnsi="宋体" w:eastAsia="宋体" w:cs="宋体"/>
                  <w:color w:val="auto"/>
                  <w:sz w:val="21"/>
                  <w:szCs w:val="21"/>
                  <w:highlight w:val="none"/>
                </w:rPr>
                <w:t>”的条款必须提供</w:t>
              </w:r>
            </w:ins>
            <w:ins w:id="125" w:author="JDZBzheng" w:date="2026-06-30T19:03:16Z">
              <w:r>
                <w:rPr>
                  <w:rFonts w:hint="eastAsia" w:ascii="宋体" w:hAnsi="宋体" w:eastAsia="宋体" w:cs="宋体"/>
                  <w:color w:val="000000"/>
                  <w:sz w:val="21"/>
                  <w:szCs w:val="21"/>
                  <w:highlight w:val="none"/>
                </w:rPr>
                <w:t>相应产品技术参数证明材料【对外公开的产品彩页或说明书（体现技术参数，可以是从生产厂家网页下载的 PDF 或 HTM 文件）或在药品监督管理部门备案的技术参数或具有检测资质</w:t>
              </w:r>
            </w:ins>
            <w:ins w:id="126" w:author="JDZBzheng" w:date="2026-06-30T19:03:16Z">
              <w:r>
                <w:rPr>
                  <w:rFonts w:hint="eastAsia" w:ascii="宋体" w:hAnsi="宋体" w:eastAsia="宋体" w:cs="宋体"/>
                  <w:color w:val="000000"/>
                  <w:sz w:val="21"/>
                  <w:szCs w:val="21"/>
                  <w:highlight w:val="none"/>
                  <w:lang w:val="en-US" w:eastAsia="zh-CN"/>
                </w:rPr>
                <w:t>机构出具的</w:t>
              </w:r>
            </w:ins>
            <w:ins w:id="127" w:author="JDZBzheng" w:date="2026-06-30T19:03:16Z">
              <w:r>
                <w:rPr>
                  <w:rFonts w:hint="eastAsia" w:ascii="宋体" w:hAnsi="宋体" w:eastAsia="宋体" w:cs="宋体"/>
                  <w:color w:val="000000"/>
                  <w:sz w:val="21"/>
                  <w:szCs w:val="21"/>
                  <w:highlight w:val="none"/>
                </w:rPr>
                <w:t>检测</w:t>
              </w:r>
            </w:ins>
            <w:ins w:id="128" w:author="JDZBzheng" w:date="2026-06-30T19:03:16Z">
              <w:r>
                <w:rPr>
                  <w:rFonts w:hint="eastAsia" w:ascii="宋体" w:hAnsi="宋体" w:eastAsia="宋体" w:cs="宋体"/>
                  <w:color w:val="000000"/>
                  <w:sz w:val="21"/>
                  <w:szCs w:val="21"/>
                  <w:highlight w:val="none"/>
                  <w:lang w:val="en-US" w:eastAsia="zh-CN"/>
                </w:rPr>
                <w:t>报告</w:t>
              </w:r>
            </w:ins>
            <w:ins w:id="129" w:author="JDZBzheng" w:date="2026-06-30T19:03:16Z">
              <w:r>
                <w:rPr>
                  <w:rFonts w:hint="eastAsia" w:ascii="宋体" w:hAnsi="宋体" w:eastAsia="宋体" w:cs="宋体"/>
                  <w:color w:val="000000"/>
                  <w:sz w:val="21"/>
                  <w:szCs w:val="21"/>
                  <w:highlight w:val="none"/>
                </w:rPr>
                <w:t>。</w:t>
              </w:r>
            </w:ins>
          </w:p>
        </w:tc>
      </w:tr>
      <w:tr w14:paraId="02FF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23" w:type="dxa"/>
            <w:noWrap w:val="0"/>
            <w:vAlign w:val="center"/>
          </w:tcPr>
          <w:p w14:paraId="51372E8E">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 w:val="21"/>
                <w:szCs w:val="21"/>
                <w:highlight w:val="none"/>
                <w:lang w:val="en-US" w:eastAsia="zh-CN"/>
              </w:rPr>
              <w:t>3</w:t>
            </w:r>
          </w:p>
        </w:tc>
        <w:tc>
          <w:tcPr>
            <w:tcW w:w="891" w:type="dxa"/>
            <w:noWrap w:val="0"/>
            <w:vAlign w:val="center"/>
          </w:tcPr>
          <w:p w14:paraId="0F79C45E">
            <w:pPr>
              <w:spacing w:line="360" w:lineRule="exact"/>
              <w:jc w:val="center"/>
              <w:rPr>
                <w:rFonts w:hint="eastAsia" w:ascii="Arial" w:hAnsi="Arial" w:eastAsia="宋体" w:cs="Arial"/>
                <w:color w:val="auto"/>
                <w:sz w:val="21"/>
                <w:szCs w:val="21"/>
                <w:highlight w:val="none"/>
                <w:lang w:eastAsia="zh-CN"/>
              </w:rPr>
            </w:pPr>
            <w:r>
              <w:rPr>
                <w:rFonts w:ascii="Arial" w:hAnsi="Arial" w:cs="Arial"/>
                <w:color w:val="auto"/>
                <w:sz w:val="21"/>
                <w:szCs w:val="21"/>
                <w:highlight w:val="none"/>
              </w:rPr>
              <w:t>技术</w:t>
            </w:r>
            <w:r>
              <w:rPr>
                <w:rFonts w:hint="eastAsia" w:ascii="Arial" w:hAnsi="Arial" w:cs="Arial"/>
                <w:color w:val="auto"/>
                <w:sz w:val="21"/>
                <w:szCs w:val="21"/>
                <w:highlight w:val="none"/>
                <w:lang w:eastAsia="zh-CN"/>
              </w:rPr>
              <w:t>分</w:t>
            </w:r>
          </w:p>
        </w:tc>
        <w:tc>
          <w:tcPr>
            <w:tcW w:w="1145" w:type="dxa"/>
            <w:noWrap w:val="0"/>
            <w:vAlign w:val="center"/>
          </w:tcPr>
          <w:p w14:paraId="08A5D61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项目</w:t>
            </w:r>
            <w:r>
              <w:rPr>
                <w:rFonts w:hint="eastAsia" w:ascii="宋体" w:hAnsi="宋体" w:eastAsia="宋体" w:cs="宋体"/>
                <w:b w:val="0"/>
                <w:bCs/>
                <w:color w:val="auto"/>
                <w:sz w:val="21"/>
                <w:szCs w:val="21"/>
                <w:highlight w:val="none"/>
              </w:rPr>
              <w:t>实施方案</w:t>
            </w:r>
            <w:r>
              <w:rPr>
                <w:rFonts w:hint="eastAsia" w:ascii="宋体" w:hAnsi="宋体" w:eastAsia="宋体" w:cs="宋体"/>
                <w:color w:val="auto"/>
                <w:sz w:val="21"/>
                <w:szCs w:val="21"/>
                <w:highlight w:val="none"/>
              </w:rPr>
              <w:t>（主观分）</w:t>
            </w:r>
          </w:p>
        </w:tc>
        <w:tc>
          <w:tcPr>
            <w:tcW w:w="4994" w:type="dxa"/>
            <w:noWrap w:val="0"/>
            <w:vAlign w:val="center"/>
          </w:tcPr>
          <w:p w14:paraId="20A8C7F3">
            <w:pPr>
              <w:pStyle w:val="20"/>
              <w:spacing w:after="0" w:line="360" w:lineRule="exact"/>
              <w:ind w:left="1" w:right="61" w:firstLine="482"/>
              <w:jc w:val="left"/>
              <w:rPr>
                <w:rFonts w:hint="eastAsia" w:ascii="宋体" w:hAnsi="宋体" w:eastAsia="宋体" w:cs="宋体"/>
                <w:b w:val="0"/>
                <w:bCs/>
                <w:color w:val="auto"/>
                <w:spacing w:val="-2"/>
                <w:sz w:val="21"/>
                <w:szCs w:val="21"/>
                <w:highlight w:val="none"/>
              </w:rPr>
            </w:pPr>
            <w:r>
              <w:rPr>
                <w:rFonts w:hint="eastAsia" w:ascii="宋体" w:hAnsi="宋体" w:eastAsia="宋体" w:cs="宋体"/>
                <w:b w:val="0"/>
                <w:bCs/>
                <w:color w:val="auto"/>
                <w:spacing w:val="-2"/>
                <w:sz w:val="21"/>
                <w:szCs w:val="21"/>
                <w:highlight w:val="none"/>
              </w:rPr>
              <w:t>由评标委员会根据各投标人投标文件的</w:t>
            </w:r>
            <w:r>
              <w:rPr>
                <w:rFonts w:hint="eastAsia" w:ascii="宋体" w:hAnsi="宋体" w:eastAsia="宋体" w:cs="宋体"/>
                <w:b w:val="0"/>
                <w:bCs/>
                <w:color w:val="auto"/>
                <w:spacing w:val="-2"/>
                <w:sz w:val="21"/>
                <w:szCs w:val="21"/>
                <w:highlight w:val="none"/>
                <w:lang w:val="en-US" w:eastAsia="zh-CN"/>
              </w:rPr>
              <w:t>项目</w:t>
            </w:r>
            <w:r>
              <w:rPr>
                <w:rFonts w:hint="eastAsia" w:ascii="宋体" w:hAnsi="宋体" w:eastAsia="宋体" w:cs="宋体"/>
                <w:b w:val="0"/>
                <w:bCs/>
                <w:color w:val="auto"/>
                <w:spacing w:val="-2"/>
                <w:sz w:val="21"/>
                <w:szCs w:val="21"/>
                <w:highlight w:val="none"/>
              </w:rPr>
              <w:t>实施方案中的“组织机构、</w:t>
            </w:r>
            <w:r>
              <w:rPr>
                <w:rFonts w:hint="eastAsia" w:ascii="宋体" w:hAnsi="宋体" w:eastAsia="宋体" w:cs="宋体"/>
                <w:b w:val="0"/>
                <w:bCs/>
                <w:color w:val="auto"/>
                <w:spacing w:val="-2"/>
                <w:sz w:val="21"/>
                <w:szCs w:val="21"/>
                <w:highlight w:val="none"/>
                <w:lang w:val="en-US" w:eastAsia="zh-CN"/>
              </w:rPr>
              <w:t>管理措施</w:t>
            </w:r>
            <w:r>
              <w:rPr>
                <w:rFonts w:hint="eastAsia" w:ascii="宋体" w:hAnsi="宋体" w:eastAsia="宋体" w:cs="宋体"/>
                <w:b w:val="0"/>
                <w:bCs/>
                <w:color w:val="auto"/>
                <w:spacing w:val="-2"/>
                <w:sz w:val="21"/>
                <w:szCs w:val="21"/>
                <w:highlight w:val="none"/>
              </w:rPr>
              <w:t>、实施流程</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进度</w:t>
            </w:r>
            <w:r>
              <w:rPr>
                <w:rFonts w:hint="eastAsia" w:ascii="宋体" w:hAnsi="宋体" w:eastAsia="宋体" w:cs="宋体"/>
                <w:b w:val="0"/>
                <w:bCs/>
                <w:color w:val="auto"/>
                <w:spacing w:val="-2"/>
                <w:sz w:val="21"/>
                <w:szCs w:val="21"/>
                <w:highlight w:val="none"/>
                <w:lang w:val="en-US" w:eastAsia="zh-CN"/>
              </w:rPr>
              <w:t>计划</w:t>
            </w:r>
            <w:r>
              <w:rPr>
                <w:rFonts w:hint="eastAsia" w:ascii="宋体" w:hAnsi="宋体" w:eastAsia="宋体" w:cs="宋体"/>
                <w:b w:val="0"/>
                <w:bCs/>
                <w:color w:val="auto"/>
                <w:spacing w:val="-2"/>
                <w:sz w:val="21"/>
                <w:szCs w:val="21"/>
                <w:highlight w:val="none"/>
              </w:rPr>
              <w:t>安排</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配送</w:t>
            </w:r>
            <w:r>
              <w:rPr>
                <w:rFonts w:hint="eastAsia" w:ascii="宋体" w:hAnsi="宋体" w:eastAsia="宋体" w:cs="宋体"/>
                <w:b w:val="0"/>
                <w:bCs/>
                <w:color w:val="auto"/>
                <w:spacing w:val="-2"/>
                <w:sz w:val="21"/>
                <w:szCs w:val="21"/>
                <w:highlight w:val="none"/>
                <w:lang w:val="en-US" w:eastAsia="zh-CN"/>
              </w:rPr>
              <w:t>及</w:t>
            </w:r>
            <w:r>
              <w:rPr>
                <w:rFonts w:hint="eastAsia" w:ascii="宋体" w:hAnsi="宋体" w:eastAsia="宋体" w:cs="宋体"/>
                <w:b w:val="0"/>
                <w:bCs/>
                <w:color w:val="auto"/>
                <w:spacing w:val="-2"/>
                <w:sz w:val="21"/>
                <w:szCs w:val="21"/>
                <w:highlight w:val="none"/>
              </w:rPr>
              <w:t>安装实施方案、质量保证措施</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风险防范措施</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验收方案</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 xml:space="preserve">等内容进行综合评审并独立打分： </w:t>
            </w:r>
          </w:p>
          <w:p w14:paraId="6B2C15B8">
            <w:pPr>
              <w:pStyle w:val="20"/>
              <w:spacing w:after="0" w:line="360" w:lineRule="exact"/>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一档（0分）：</w:t>
            </w:r>
            <w:r>
              <w:rPr>
                <w:rFonts w:hint="eastAsia" w:ascii="宋体" w:hAnsi="宋体" w:eastAsia="宋体" w:cs="宋体"/>
                <w:b w:val="0"/>
                <w:bCs/>
                <w:color w:val="auto"/>
                <w:spacing w:val="-2"/>
                <w:sz w:val="21"/>
                <w:szCs w:val="21"/>
                <w:highlight w:val="none"/>
              </w:rPr>
              <w:t>未提供方案</w:t>
            </w:r>
            <w:r>
              <w:rPr>
                <w:rFonts w:hint="eastAsia" w:ascii="宋体" w:hAnsi="宋体" w:eastAsia="宋体" w:cs="宋体"/>
                <w:b w:val="0"/>
                <w:bCs/>
                <w:color w:val="auto"/>
                <w:spacing w:val="-2"/>
                <w:sz w:val="21"/>
                <w:szCs w:val="21"/>
                <w:highlight w:val="none"/>
                <w:lang w:val="en-US" w:eastAsia="zh-CN"/>
              </w:rPr>
              <w:t>或未达到一档评审内容</w:t>
            </w:r>
            <w:r>
              <w:rPr>
                <w:rFonts w:hint="eastAsia" w:ascii="宋体" w:hAnsi="宋体" w:eastAsia="宋体" w:cs="宋体"/>
                <w:b w:val="0"/>
                <w:bCs/>
                <w:color w:val="auto"/>
                <w:spacing w:val="-2"/>
                <w:sz w:val="21"/>
                <w:szCs w:val="21"/>
                <w:highlight w:val="none"/>
              </w:rPr>
              <w:t>的。</w:t>
            </w:r>
          </w:p>
          <w:p w14:paraId="48C15C03">
            <w:pPr>
              <w:pStyle w:val="20"/>
              <w:spacing w:after="0" w:line="360" w:lineRule="exact"/>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二档（1分）：</w:t>
            </w:r>
            <w:r>
              <w:rPr>
                <w:rFonts w:hint="eastAsia" w:ascii="宋体" w:hAnsi="宋体" w:eastAsia="宋体" w:cs="宋体"/>
                <w:b w:val="0"/>
                <w:bCs/>
                <w:color w:val="auto"/>
                <w:spacing w:val="-2"/>
                <w:sz w:val="21"/>
                <w:szCs w:val="21"/>
                <w:highlight w:val="none"/>
              </w:rPr>
              <w:t>项目实施方案基本满足招标文件要求，</w:t>
            </w:r>
            <w:r>
              <w:rPr>
                <w:rFonts w:hint="eastAsia" w:ascii="宋体" w:hAnsi="宋体" w:eastAsia="宋体" w:cs="宋体"/>
                <w:b w:val="0"/>
                <w:bCs/>
                <w:color w:val="auto"/>
                <w:spacing w:val="-2"/>
                <w:sz w:val="21"/>
                <w:szCs w:val="21"/>
                <w:highlight w:val="none"/>
                <w:lang w:val="en-US" w:eastAsia="zh-CN"/>
              </w:rPr>
              <w:t>有简单</w:t>
            </w:r>
            <w:r>
              <w:rPr>
                <w:rFonts w:hint="eastAsia" w:ascii="宋体" w:hAnsi="宋体" w:eastAsia="宋体" w:cs="宋体"/>
                <w:b w:val="0"/>
                <w:bCs/>
                <w:color w:val="auto"/>
                <w:spacing w:val="-2"/>
                <w:sz w:val="21"/>
                <w:szCs w:val="21"/>
                <w:highlight w:val="none"/>
              </w:rPr>
              <w:t>的组织机构、</w:t>
            </w:r>
            <w:r>
              <w:rPr>
                <w:rFonts w:hint="eastAsia" w:ascii="宋体" w:hAnsi="宋体" w:eastAsia="宋体" w:cs="宋体"/>
                <w:b w:val="0"/>
                <w:bCs/>
                <w:color w:val="auto"/>
                <w:spacing w:val="-2"/>
                <w:sz w:val="21"/>
                <w:szCs w:val="21"/>
                <w:highlight w:val="none"/>
                <w:lang w:val="en-US" w:eastAsia="zh-CN"/>
              </w:rPr>
              <w:t>管理措施</w:t>
            </w:r>
            <w:r>
              <w:rPr>
                <w:rFonts w:hint="eastAsia" w:ascii="宋体" w:hAnsi="宋体" w:eastAsia="宋体" w:cs="宋体"/>
                <w:b w:val="0"/>
                <w:bCs/>
                <w:color w:val="auto"/>
                <w:spacing w:val="-2"/>
                <w:sz w:val="21"/>
                <w:szCs w:val="21"/>
                <w:highlight w:val="none"/>
              </w:rPr>
              <w:t>、实施流程</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进度</w:t>
            </w:r>
            <w:r>
              <w:rPr>
                <w:rFonts w:hint="eastAsia" w:ascii="宋体" w:hAnsi="宋体" w:eastAsia="宋体" w:cs="宋体"/>
                <w:b w:val="0"/>
                <w:bCs/>
                <w:color w:val="auto"/>
                <w:spacing w:val="-2"/>
                <w:sz w:val="21"/>
                <w:szCs w:val="21"/>
                <w:highlight w:val="none"/>
                <w:lang w:val="en-US" w:eastAsia="zh-CN"/>
              </w:rPr>
              <w:t>计划</w:t>
            </w:r>
            <w:r>
              <w:rPr>
                <w:rFonts w:hint="eastAsia" w:ascii="宋体" w:hAnsi="宋体" w:eastAsia="宋体" w:cs="宋体"/>
                <w:b w:val="0"/>
                <w:bCs/>
                <w:color w:val="auto"/>
                <w:spacing w:val="-2"/>
                <w:sz w:val="21"/>
                <w:szCs w:val="21"/>
                <w:highlight w:val="none"/>
              </w:rPr>
              <w:t>安排</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配送</w:t>
            </w:r>
            <w:r>
              <w:rPr>
                <w:rFonts w:hint="eastAsia" w:ascii="宋体" w:hAnsi="宋体" w:eastAsia="宋体" w:cs="宋体"/>
                <w:b w:val="0"/>
                <w:bCs/>
                <w:color w:val="auto"/>
                <w:spacing w:val="-2"/>
                <w:sz w:val="21"/>
                <w:szCs w:val="21"/>
                <w:highlight w:val="none"/>
                <w:lang w:val="en-US" w:eastAsia="zh-CN"/>
              </w:rPr>
              <w:t>及</w:t>
            </w:r>
            <w:r>
              <w:rPr>
                <w:rFonts w:hint="eastAsia" w:ascii="宋体" w:hAnsi="宋体" w:eastAsia="宋体" w:cs="宋体"/>
                <w:b w:val="0"/>
                <w:bCs/>
                <w:color w:val="auto"/>
                <w:spacing w:val="-2"/>
                <w:sz w:val="21"/>
                <w:szCs w:val="21"/>
                <w:highlight w:val="none"/>
              </w:rPr>
              <w:t>安装实施</w:t>
            </w:r>
            <w:ins w:id="130" w:author="JDZBzheng" w:date="2026-06-30T11:23:33Z">
              <w:r>
                <w:rPr>
                  <w:rFonts w:hint="eastAsia" w:ascii="宋体" w:hAnsi="宋体" w:eastAsia="宋体" w:cs="宋体"/>
                  <w:b w:val="0"/>
                  <w:bCs/>
                  <w:color w:val="auto"/>
                  <w:spacing w:val="-2"/>
                  <w:sz w:val="21"/>
                  <w:szCs w:val="21"/>
                  <w:highlight w:val="none"/>
                  <w:lang w:eastAsia="zh-CN"/>
                </w:rPr>
                <w:t>方案</w:t>
              </w:r>
            </w:ins>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质量保证措施</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验收方案等</w:t>
            </w:r>
            <w:r>
              <w:rPr>
                <w:rFonts w:hint="eastAsia" w:ascii="宋体" w:hAnsi="宋体" w:eastAsia="宋体" w:cs="宋体"/>
                <w:b w:val="0"/>
                <w:bCs/>
                <w:color w:val="auto"/>
                <w:spacing w:val="-2"/>
                <w:sz w:val="21"/>
                <w:szCs w:val="21"/>
                <w:highlight w:val="none"/>
                <w:lang w:val="en-US" w:eastAsia="zh-CN"/>
              </w:rPr>
              <w:t>内容的</w:t>
            </w:r>
            <w:r>
              <w:rPr>
                <w:rFonts w:hint="eastAsia" w:ascii="宋体" w:hAnsi="宋体" w:eastAsia="宋体" w:cs="宋体"/>
                <w:b w:val="0"/>
                <w:bCs/>
                <w:color w:val="auto"/>
                <w:spacing w:val="-2"/>
                <w:sz w:val="21"/>
                <w:szCs w:val="21"/>
                <w:highlight w:val="none"/>
              </w:rPr>
              <w:t>。</w:t>
            </w:r>
          </w:p>
          <w:p w14:paraId="40095E06">
            <w:pPr>
              <w:pStyle w:val="20"/>
              <w:spacing w:after="0" w:line="360" w:lineRule="exact"/>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三档（4分）：</w:t>
            </w:r>
            <w:r>
              <w:rPr>
                <w:rFonts w:hint="eastAsia" w:ascii="宋体" w:hAnsi="宋体" w:eastAsia="宋体" w:cs="宋体"/>
                <w:b w:val="0"/>
                <w:bCs/>
                <w:color w:val="auto"/>
                <w:spacing w:val="-2"/>
                <w:sz w:val="21"/>
                <w:szCs w:val="21"/>
                <w:highlight w:val="none"/>
              </w:rPr>
              <w:t>项目实施方案详细、表述清晰，包含完整的组织机构、</w:t>
            </w:r>
            <w:r>
              <w:rPr>
                <w:rFonts w:hint="eastAsia" w:ascii="宋体" w:hAnsi="宋体" w:eastAsia="宋体" w:cs="宋体"/>
                <w:b w:val="0"/>
                <w:bCs/>
                <w:color w:val="auto"/>
                <w:spacing w:val="-2"/>
                <w:sz w:val="21"/>
                <w:szCs w:val="21"/>
                <w:highlight w:val="none"/>
                <w:lang w:val="en-US" w:eastAsia="zh-CN"/>
              </w:rPr>
              <w:t>管理措施、有</w:t>
            </w:r>
            <w:r>
              <w:rPr>
                <w:rFonts w:hint="eastAsia" w:ascii="宋体" w:hAnsi="宋体" w:eastAsia="宋体" w:cs="宋体"/>
                <w:b w:val="0"/>
                <w:bCs/>
                <w:color w:val="auto"/>
                <w:spacing w:val="-2"/>
                <w:sz w:val="21"/>
                <w:szCs w:val="21"/>
                <w:highlight w:val="none"/>
              </w:rPr>
              <w:t>具体实施流程、进度</w:t>
            </w:r>
            <w:r>
              <w:rPr>
                <w:rFonts w:hint="eastAsia" w:ascii="宋体" w:hAnsi="宋体" w:eastAsia="宋体" w:cs="宋体"/>
                <w:b w:val="0"/>
                <w:bCs/>
                <w:color w:val="auto"/>
                <w:spacing w:val="-2"/>
                <w:sz w:val="21"/>
                <w:szCs w:val="21"/>
                <w:highlight w:val="none"/>
                <w:lang w:val="en-US" w:eastAsia="zh-CN"/>
              </w:rPr>
              <w:t>计划</w:t>
            </w:r>
            <w:r>
              <w:rPr>
                <w:rFonts w:hint="eastAsia" w:ascii="宋体" w:hAnsi="宋体" w:eastAsia="宋体" w:cs="宋体"/>
                <w:b w:val="0"/>
                <w:bCs/>
                <w:color w:val="auto"/>
                <w:spacing w:val="-2"/>
                <w:sz w:val="21"/>
                <w:szCs w:val="21"/>
                <w:highlight w:val="none"/>
              </w:rPr>
              <w:t>安排</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配送</w:t>
            </w:r>
            <w:r>
              <w:rPr>
                <w:rFonts w:hint="eastAsia" w:ascii="宋体" w:hAnsi="宋体" w:eastAsia="宋体" w:cs="宋体"/>
                <w:b w:val="0"/>
                <w:bCs/>
                <w:color w:val="auto"/>
                <w:spacing w:val="-2"/>
                <w:sz w:val="21"/>
                <w:szCs w:val="21"/>
                <w:highlight w:val="none"/>
                <w:lang w:val="en-US" w:eastAsia="zh-CN"/>
              </w:rPr>
              <w:t>及</w:t>
            </w:r>
            <w:r>
              <w:rPr>
                <w:rFonts w:hint="eastAsia" w:ascii="宋体" w:hAnsi="宋体" w:eastAsia="宋体" w:cs="宋体"/>
                <w:b w:val="0"/>
                <w:bCs/>
                <w:color w:val="auto"/>
                <w:spacing w:val="-2"/>
                <w:sz w:val="21"/>
                <w:szCs w:val="21"/>
                <w:highlight w:val="none"/>
              </w:rPr>
              <w:t>安装实施</w:t>
            </w:r>
            <w:ins w:id="131" w:author="JDZBzheng" w:date="2026-06-30T11:23:41Z">
              <w:r>
                <w:rPr>
                  <w:rFonts w:hint="eastAsia" w:ascii="宋体" w:hAnsi="宋体" w:eastAsia="宋体" w:cs="宋体"/>
                  <w:b w:val="0"/>
                  <w:bCs/>
                  <w:color w:val="auto"/>
                  <w:spacing w:val="-2"/>
                  <w:sz w:val="21"/>
                  <w:szCs w:val="21"/>
                  <w:highlight w:val="none"/>
                  <w:lang w:eastAsia="zh-CN"/>
                </w:rPr>
                <w:t>方案</w:t>
              </w:r>
            </w:ins>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质量保证措施</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验收方案等</w:t>
            </w:r>
            <w:r>
              <w:rPr>
                <w:rFonts w:hint="eastAsia" w:ascii="宋体" w:hAnsi="宋体" w:eastAsia="宋体" w:cs="宋体"/>
                <w:b w:val="0"/>
                <w:bCs/>
                <w:color w:val="auto"/>
                <w:spacing w:val="-2"/>
                <w:sz w:val="21"/>
                <w:szCs w:val="21"/>
                <w:highlight w:val="none"/>
                <w:lang w:val="en-US" w:eastAsia="zh-CN"/>
              </w:rPr>
              <w:t>内容，能保证项目正常实施</w:t>
            </w:r>
            <w:r>
              <w:rPr>
                <w:rFonts w:hint="eastAsia" w:ascii="宋体" w:hAnsi="宋体" w:eastAsia="宋体" w:cs="宋体"/>
                <w:b w:val="0"/>
                <w:bCs/>
                <w:color w:val="auto"/>
                <w:spacing w:val="-2"/>
                <w:sz w:val="21"/>
                <w:szCs w:val="21"/>
                <w:highlight w:val="none"/>
              </w:rPr>
              <w:t>。</w:t>
            </w:r>
          </w:p>
          <w:p w14:paraId="46DD3482">
            <w:pPr>
              <w:pStyle w:val="20"/>
              <w:spacing w:after="0" w:line="360" w:lineRule="exact"/>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lang w:val="en-US" w:eastAsia="zh-CN"/>
              </w:rPr>
              <w:t>四</w:t>
            </w:r>
            <w:r>
              <w:rPr>
                <w:rFonts w:hint="eastAsia" w:ascii="宋体" w:hAnsi="宋体" w:eastAsia="宋体" w:cs="宋体"/>
                <w:b/>
                <w:bCs w:val="0"/>
                <w:color w:val="auto"/>
                <w:spacing w:val="-2"/>
                <w:sz w:val="21"/>
                <w:szCs w:val="21"/>
                <w:highlight w:val="none"/>
              </w:rPr>
              <w:t>档（7分）：</w:t>
            </w:r>
            <w:r>
              <w:rPr>
                <w:rFonts w:hint="eastAsia" w:ascii="宋体" w:hAnsi="宋体" w:eastAsia="宋体" w:cs="宋体"/>
                <w:b w:val="0"/>
                <w:bCs/>
                <w:color w:val="auto"/>
                <w:spacing w:val="-2"/>
                <w:sz w:val="21"/>
                <w:szCs w:val="21"/>
                <w:highlight w:val="none"/>
              </w:rPr>
              <w:t>项目实施方案详细、逻辑清晰</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具有合理性、可行性</w:t>
            </w:r>
            <w:r>
              <w:rPr>
                <w:rFonts w:hint="eastAsia" w:ascii="宋体" w:hAnsi="宋体" w:eastAsia="宋体" w:cs="宋体"/>
                <w:b w:val="0"/>
                <w:bCs/>
                <w:color w:val="auto"/>
                <w:spacing w:val="-2"/>
                <w:sz w:val="21"/>
                <w:szCs w:val="21"/>
                <w:highlight w:val="none"/>
              </w:rPr>
              <w:t>，</w:t>
            </w:r>
            <w:r>
              <w:rPr>
                <w:rFonts w:hint="eastAsia" w:ascii="宋体" w:hAnsi="宋体" w:eastAsia="宋体" w:cs="宋体"/>
                <w:b w:val="0"/>
                <w:bCs/>
                <w:color w:val="auto"/>
                <w:spacing w:val="-2"/>
                <w:sz w:val="21"/>
                <w:szCs w:val="21"/>
                <w:highlight w:val="none"/>
                <w:lang w:val="en-US" w:eastAsia="zh-CN"/>
              </w:rPr>
              <w:t>有</w:t>
            </w:r>
            <w:r>
              <w:rPr>
                <w:rFonts w:hint="eastAsia" w:ascii="宋体" w:hAnsi="宋体" w:eastAsia="宋体" w:cs="宋体"/>
                <w:b w:val="0"/>
                <w:bCs/>
                <w:color w:val="auto"/>
                <w:spacing w:val="-2"/>
                <w:sz w:val="21"/>
                <w:szCs w:val="21"/>
                <w:highlight w:val="none"/>
              </w:rPr>
              <w:t>健全</w:t>
            </w:r>
            <w:r>
              <w:rPr>
                <w:rFonts w:hint="eastAsia" w:ascii="宋体" w:hAnsi="宋体" w:eastAsia="宋体" w:cs="宋体"/>
                <w:b w:val="0"/>
                <w:bCs/>
                <w:color w:val="auto"/>
                <w:spacing w:val="-2"/>
                <w:sz w:val="21"/>
                <w:szCs w:val="21"/>
                <w:highlight w:val="none"/>
                <w:lang w:val="en-US" w:eastAsia="zh-CN"/>
              </w:rPr>
              <w:t>的</w:t>
            </w:r>
            <w:r>
              <w:rPr>
                <w:rFonts w:hint="eastAsia" w:ascii="宋体" w:hAnsi="宋体" w:eastAsia="宋体" w:cs="宋体"/>
                <w:b w:val="0"/>
                <w:bCs/>
                <w:color w:val="auto"/>
                <w:spacing w:val="-2"/>
                <w:sz w:val="21"/>
                <w:szCs w:val="21"/>
                <w:highlight w:val="none"/>
              </w:rPr>
              <w:t>组织机构</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有完善、具体</w:t>
            </w:r>
            <w:r>
              <w:rPr>
                <w:rFonts w:hint="eastAsia" w:ascii="宋体" w:hAnsi="宋体" w:eastAsia="宋体" w:cs="宋体"/>
                <w:b w:val="0"/>
                <w:bCs/>
                <w:color w:val="auto"/>
                <w:spacing w:val="-2"/>
                <w:sz w:val="21"/>
                <w:szCs w:val="21"/>
                <w:highlight w:val="none"/>
              </w:rPr>
              <w:t>的管理措施</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w:t>
            </w:r>
            <w:r>
              <w:rPr>
                <w:rFonts w:hint="eastAsia" w:ascii="宋体" w:hAnsi="宋体" w:eastAsia="宋体" w:cs="宋体"/>
                <w:b w:val="0"/>
                <w:bCs/>
                <w:color w:val="auto"/>
                <w:spacing w:val="-2"/>
                <w:sz w:val="21"/>
                <w:szCs w:val="21"/>
                <w:highlight w:val="none"/>
              </w:rPr>
              <w:t>具体详细</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完整</w:t>
            </w:r>
            <w:r>
              <w:rPr>
                <w:rFonts w:hint="eastAsia" w:ascii="宋体" w:hAnsi="宋体" w:eastAsia="宋体" w:cs="宋体"/>
                <w:b w:val="0"/>
                <w:bCs/>
                <w:color w:val="auto"/>
                <w:spacing w:val="-2"/>
                <w:sz w:val="21"/>
                <w:szCs w:val="21"/>
                <w:highlight w:val="none"/>
              </w:rPr>
              <w:t>的实施流程</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有具体的</w:t>
            </w:r>
            <w:r>
              <w:rPr>
                <w:rFonts w:hint="eastAsia" w:ascii="宋体" w:hAnsi="宋体" w:eastAsia="宋体" w:cs="宋体"/>
                <w:b w:val="0"/>
                <w:bCs/>
                <w:color w:val="auto"/>
                <w:spacing w:val="-2"/>
                <w:sz w:val="21"/>
                <w:szCs w:val="21"/>
                <w:highlight w:val="none"/>
              </w:rPr>
              <w:t>进度</w:t>
            </w:r>
            <w:r>
              <w:rPr>
                <w:rFonts w:hint="eastAsia" w:ascii="宋体" w:hAnsi="宋体" w:eastAsia="宋体" w:cs="宋体"/>
                <w:b w:val="0"/>
                <w:bCs/>
                <w:color w:val="auto"/>
                <w:spacing w:val="-2"/>
                <w:sz w:val="21"/>
                <w:szCs w:val="21"/>
                <w:highlight w:val="none"/>
                <w:lang w:val="en-US" w:eastAsia="zh-CN"/>
              </w:rPr>
              <w:t>计划</w:t>
            </w:r>
            <w:r>
              <w:rPr>
                <w:rFonts w:hint="eastAsia" w:ascii="宋体" w:hAnsi="宋体" w:eastAsia="宋体" w:cs="宋体"/>
                <w:b w:val="0"/>
                <w:bCs/>
                <w:color w:val="auto"/>
                <w:spacing w:val="-2"/>
                <w:sz w:val="21"/>
                <w:szCs w:val="21"/>
                <w:highlight w:val="none"/>
              </w:rPr>
              <w:t>安排</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设备采购、配送、安装、调试、验收时间进度安排</w:t>
            </w:r>
            <w:r>
              <w:rPr>
                <w:rFonts w:hint="eastAsia" w:ascii="宋体" w:hAnsi="宋体" w:eastAsia="宋体" w:cs="宋体"/>
                <w:b w:val="0"/>
                <w:bCs/>
                <w:color w:val="auto"/>
                <w:spacing w:val="-2"/>
                <w:sz w:val="21"/>
                <w:szCs w:val="21"/>
                <w:highlight w:val="none"/>
                <w:lang w:eastAsia="zh-CN"/>
              </w:rPr>
              <w:t>），配送</w:t>
            </w:r>
            <w:r>
              <w:rPr>
                <w:rFonts w:hint="eastAsia" w:ascii="宋体" w:hAnsi="宋体" w:eastAsia="宋体" w:cs="宋体"/>
                <w:b w:val="0"/>
                <w:bCs/>
                <w:color w:val="auto"/>
                <w:spacing w:val="-2"/>
                <w:sz w:val="21"/>
                <w:szCs w:val="21"/>
                <w:highlight w:val="none"/>
                <w:lang w:val="en-US" w:eastAsia="zh-CN"/>
              </w:rPr>
              <w:t>及</w:t>
            </w:r>
            <w:r>
              <w:rPr>
                <w:rFonts w:hint="eastAsia" w:ascii="宋体" w:hAnsi="宋体" w:eastAsia="宋体" w:cs="宋体"/>
                <w:b w:val="0"/>
                <w:bCs/>
                <w:color w:val="auto"/>
                <w:spacing w:val="-2"/>
                <w:sz w:val="21"/>
                <w:szCs w:val="21"/>
                <w:highlight w:val="none"/>
                <w:lang w:eastAsia="zh-CN"/>
              </w:rPr>
              <w:t>安装实施方（具体的配送方案、安装方法、安装流程</w:t>
            </w:r>
            <w:r>
              <w:rPr>
                <w:rFonts w:hint="eastAsia" w:ascii="宋体" w:hAnsi="宋体" w:eastAsia="宋体" w:cs="宋体"/>
                <w:b w:val="0"/>
                <w:bCs/>
                <w:color w:val="auto"/>
                <w:spacing w:val="-2"/>
                <w:sz w:val="21"/>
                <w:szCs w:val="21"/>
                <w:highlight w:val="none"/>
                <w:lang w:val="en-US" w:eastAsia="zh-CN"/>
              </w:rPr>
              <w:t>等</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有完整的</w:t>
            </w:r>
            <w:r>
              <w:rPr>
                <w:rFonts w:hint="eastAsia" w:ascii="宋体" w:hAnsi="宋体" w:eastAsia="宋体" w:cs="宋体"/>
                <w:b w:val="0"/>
                <w:bCs/>
                <w:color w:val="auto"/>
                <w:spacing w:val="-2"/>
                <w:sz w:val="21"/>
                <w:szCs w:val="21"/>
                <w:highlight w:val="none"/>
              </w:rPr>
              <w:t>质量保证措施、风险防范措施（包括设备运输安装保障、应急方案等）、验收方案</w:t>
            </w:r>
            <w:r>
              <w:rPr>
                <w:rFonts w:hint="eastAsia" w:ascii="宋体" w:hAnsi="宋体" w:eastAsia="宋体" w:cs="宋体"/>
                <w:b w:val="0"/>
                <w:bCs/>
                <w:color w:val="auto"/>
                <w:spacing w:val="-2"/>
                <w:sz w:val="21"/>
                <w:szCs w:val="21"/>
                <w:highlight w:val="none"/>
                <w:lang w:val="en-US" w:eastAsia="zh-CN"/>
              </w:rPr>
              <w:t>等内容，能保证项目顺利实施</w:t>
            </w:r>
            <w:r>
              <w:rPr>
                <w:rFonts w:hint="eastAsia" w:ascii="宋体" w:hAnsi="宋体" w:eastAsia="宋体" w:cs="宋体"/>
                <w:b w:val="0"/>
                <w:bCs/>
                <w:color w:val="auto"/>
                <w:spacing w:val="-2"/>
                <w:sz w:val="21"/>
                <w:szCs w:val="21"/>
                <w:highlight w:val="none"/>
              </w:rPr>
              <w:t>。</w:t>
            </w:r>
          </w:p>
          <w:p w14:paraId="4ACC297C">
            <w:pPr>
              <w:keepNext w:val="0"/>
              <w:keepLines w:val="0"/>
              <w:widowControl/>
              <w:suppressLineNumbers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bCs w:val="0"/>
                <w:color w:val="auto"/>
                <w:spacing w:val="-2"/>
                <w:sz w:val="21"/>
                <w:szCs w:val="21"/>
                <w:highlight w:val="none"/>
                <w:lang w:val="en-US" w:eastAsia="zh-CN"/>
              </w:rPr>
              <w:t>五</w:t>
            </w:r>
            <w:r>
              <w:rPr>
                <w:rFonts w:hint="eastAsia" w:ascii="宋体" w:hAnsi="宋体" w:eastAsia="宋体" w:cs="宋体"/>
                <w:b/>
                <w:bCs w:val="0"/>
                <w:color w:val="auto"/>
                <w:spacing w:val="-2"/>
                <w:sz w:val="21"/>
                <w:szCs w:val="21"/>
                <w:highlight w:val="none"/>
              </w:rPr>
              <w:t>档（10分）：</w:t>
            </w:r>
            <w:r>
              <w:rPr>
                <w:rFonts w:hint="eastAsia" w:ascii="宋体" w:hAnsi="宋体" w:eastAsia="宋体" w:cs="宋体"/>
                <w:b w:val="0"/>
                <w:bCs/>
                <w:color w:val="auto"/>
                <w:spacing w:val="-2"/>
                <w:sz w:val="21"/>
                <w:szCs w:val="21"/>
                <w:highlight w:val="none"/>
              </w:rPr>
              <w:t>项目实施方案详细、逻辑清晰</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具有合理性、可行性</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针对性</w:t>
            </w:r>
            <w:r>
              <w:rPr>
                <w:rFonts w:hint="eastAsia" w:ascii="宋体" w:hAnsi="宋体" w:eastAsia="宋体" w:cs="宋体"/>
                <w:b w:val="0"/>
                <w:bCs/>
                <w:color w:val="auto"/>
                <w:spacing w:val="-2"/>
                <w:sz w:val="21"/>
                <w:szCs w:val="21"/>
                <w:highlight w:val="none"/>
              </w:rPr>
              <w:t>，</w:t>
            </w:r>
            <w:r>
              <w:rPr>
                <w:rFonts w:hint="eastAsia" w:ascii="宋体" w:hAnsi="宋体" w:eastAsia="宋体" w:cs="宋体"/>
                <w:b w:val="0"/>
                <w:bCs/>
                <w:color w:val="auto"/>
                <w:spacing w:val="-2"/>
                <w:sz w:val="21"/>
                <w:szCs w:val="21"/>
                <w:highlight w:val="none"/>
                <w:lang w:val="en-US" w:eastAsia="zh-CN"/>
              </w:rPr>
              <w:t>有</w:t>
            </w:r>
            <w:r>
              <w:rPr>
                <w:rFonts w:hint="eastAsia" w:ascii="宋体" w:hAnsi="宋体" w:eastAsia="宋体" w:cs="宋体"/>
                <w:b w:val="0"/>
                <w:bCs/>
                <w:color w:val="auto"/>
                <w:spacing w:val="-2"/>
                <w:sz w:val="21"/>
                <w:szCs w:val="21"/>
                <w:highlight w:val="none"/>
              </w:rPr>
              <w:t>健全</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完善的</w:t>
            </w:r>
            <w:r>
              <w:rPr>
                <w:rFonts w:hint="eastAsia" w:ascii="宋体" w:hAnsi="宋体" w:eastAsia="宋体" w:cs="宋体"/>
                <w:b w:val="0"/>
                <w:bCs/>
                <w:color w:val="auto"/>
                <w:spacing w:val="-2"/>
                <w:sz w:val="21"/>
                <w:szCs w:val="21"/>
                <w:highlight w:val="none"/>
              </w:rPr>
              <w:t>组织机构</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具备完整的管理措施</w:t>
            </w:r>
            <w:r>
              <w:rPr>
                <w:rFonts w:hint="eastAsia" w:ascii="宋体" w:hAnsi="宋体" w:eastAsia="宋体" w:cs="宋体"/>
                <w:b w:val="0"/>
                <w:bCs/>
                <w:color w:val="auto"/>
                <w:spacing w:val="-2"/>
                <w:sz w:val="21"/>
                <w:szCs w:val="21"/>
                <w:highlight w:val="none"/>
                <w:lang w:eastAsia="zh-CN"/>
              </w:rPr>
              <w:t>（信息管理、质量控制、追溯体系、</w:t>
            </w:r>
            <w:r>
              <w:rPr>
                <w:rFonts w:hint="eastAsia" w:ascii="宋体" w:hAnsi="宋体" w:eastAsia="宋体" w:cs="宋体"/>
                <w:b w:val="0"/>
                <w:bCs/>
                <w:color w:val="auto"/>
                <w:spacing w:val="-2"/>
                <w:sz w:val="21"/>
                <w:szCs w:val="21"/>
                <w:highlight w:val="none"/>
                <w:lang w:val="en-US" w:eastAsia="zh-CN"/>
              </w:rPr>
              <w:t>产品</w:t>
            </w:r>
            <w:r>
              <w:rPr>
                <w:rFonts w:hint="eastAsia" w:ascii="宋体" w:hAnsi="宋体" w:eastAsia="宋体" w:cs="宋体"/>
                <w:b w:val="0"/>
                <w:bCs/>
                <w:color w:val="auto"/>
                <w:spacing w:val="-2"/>
                <w:sz w:val="21"/>
                <w:szCs w:val="21"/>
                <w:highlight w:val="none"/>
                <w:lang w:eastAsia="zh-CN"/>
              </w:rPr>
              <w:t>合规性管理</w:t>
            </w:r>
            <w:r>
              <w:rPr>
                <w:rFonts w:hint="eastAsia" w:ascii="宋体" w:hAnsi="宋体" w:eastAsia="宋体" w:cs="宋体"/>
                <w:b w:val="0"/>
                <w:bCs/>
                <w:color w:val="auto"/>
                <w:spacing w:val="-2"/>
                <w:sz w:val="21"/>
                <w:szCs w:val="21"/>
                <w:highlight w:val="none"/>
                <w:lang w:val="en-US" w:eastAsia="zh-CN"/>
              </w:rPr>
              <w:t>等内容</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w:t>
            </w:r>
            <w:r>
              <w:rPr>
                <w:rFonts w:hint="eastAsia" w:ascii="宋体" w:hAnsi="宋体" w:eastAsia="宋体" w:cs="宋体"/>
                <w:b w:val="0"/>
                <w:bCs/>
                <w:color w:val="auto"/>
                <w:spacing w:val="-2"/>
                <w:sz w:val="21"/>
                <w:szCs w:val="21"/>
                <w:highlight w:val="none"/>
              </w:rPr>
              <w:t>具体详细</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完整</w:t>
            </w:r>
            <w:r>
              <w:rPr>
                <w:rFonts w:hint="eastAsia" w:ascii="宋体" w:hAnsi="宋体" w:eastAsia="宋体" w:cs="宋体"/>
                <w:b w:val="0"/>
                <w:bCs/>
                <w:color w:val="auto"/>
                <w:spacing w:val="-2"/>
                <w:sz w:val="21"/>
                <w:szCs w:val="21"/>
                <w:highlight w:val="none"/>
              </w:rPr>
              <w:t>的实施流程</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有</w:t>
            </w:r>
            <w:r>
              <w:rPr>
                <w:rFonts w:hint="eastAsia" w:ascii="宋体" w:hAnsi="宋体" w:eastAsia="宋体" w:cs="宋体"/>
                <w:b w:val="0"/>
                <w:bCs/>
                <w:color w:val="auto"/>
                <w:spacing w:val="-2"/>
                <w:sz w:val="21"/>
                <w:szCs w:val="21"/>
                <w:highlight w:val="none"/>
              </w:rPr>
              <w:t>切实</w:t>
            </w:r>
            <w:r>
              <w:rPr>
                <w:rFonts w:hint="eastAsia" w:ascii="宋体" w:hAnsi="宋体" w:eastAsia="宋体" w:cs="宋体"/>
                <w:b w:val="0"/>
                <w:bCs/>
                <w:color w:val="auto"/>
                <w:spacing w:val="-2"/>
                <w:sz w:val="21"/>
                <w:szCs w:val="21"/>
                <w:highlight w:val="none"/>
                <w:lang w:val="en-US" w:eastAsia="zh-CN"/>
              </w:rPr>
              <w:t>的</w:t>
            </w:r>
            <w:r>
              <w:rPr>
                <w:rFonts w:hint="eastAsia" w:ascii="宋体" w:hAnsi="宋体" w:eastAsia="宋体" w:cs="宋体"/>
                <w:b w:val="0"/>
                <w:bCs/>
                <w:color w:val="auto"/>
                <w:spacing w:val="-2"/>
                <w:sz w:val="21"/>
                <w:szCs w:val="21"/>
                <w:highlight w:val="none"/>
              </w:rPr>
              <w:t>进度</w:t>
            </w:r>
            <w:r>
              <w:rPr>
                <w:rFonts w:hint="eastAsia" w:ascii="宋体" w:hAnsi="宋体" w:eastAsia="宋体" w:cs="宋体"/>
                <w:b w:val="0"/>
                <w:bCs/>
                <w:color w:val="auto"/>
                <w:spacing w:val="-2"/>
                <w:sz w:val="21"/>
                <w:szCs w:val="21"/>
                <w:highlight w:val="none"/>
                <w:lang w:val="en-US" w:eastAsia="zh-CN"/>
              </w:rPr>
              <w:t>计划</w:t>
            </w:r>
            <w:r>
              <w:rPr>
                <w:rFonts w:hint="eastAsia" w:ascii="宋体" w:hAnsi="宋体" w:eastAsia="宋体" w:cs="宋体"/>
                <w:b w:val="0"/>
                <w:bCs/>
                <w:color w:val="auto"/>
                <w:spacing w:val="-2"/>
                <w:sz w:val="21"/>
                <w:szCs w:val="21"/>
                <w:highlight w:val="none"/>
              </w:rPr>
              <w:t>安排（</w:t>
            </w:r>
            <w:r>
              <w:rPr>
                <w:rFonts w:hint="eastAsia" w:ascii="宋体" w:hAnsi="宋体" w:eastAsia="宋体" w:cs="宋体"/>
                <w:b w:val="0"/>
                <w:bCs/>
                <w:color w:val="auto"/>
                <w:spacing w:val="-2"/>
                <w:sz w:val="21"/>
                <w:szCs w:val="21"/>
                <w:highlight w:val="none"/>
                <w:lang w:val="en-US" w:eastAsia="zh-CN"/>
              </w:rPr>
              <w:t>设备采购、配送、安装、调试、验收等</w:t>
            </w:r>
            <w:r>
              <w:rPr>
                <w:rFonts w:hint="eastAsia" w:ascii="宋体" w:hAnsi="宋体" w:eastAsia="宋体" w:cs="宋体"/>
                <w:b w:val="0"/>
                <w:bCs/>
                <w:color w:val="auto"/>
                <w:spacing w:val="-2"/>
                <w:sz w:val="21"/>
                <w:szCs w:val="21"/>
                <w:highlight w:val="none"/>
              </w:rPr>
              <w:t>各阶段</w:t>
            </w:r>
            <w:r>
              <w:rPr>
                <w:rFonts w:hint="eastAsia" w:ascii="宋体" w:hAnsi="宋体" w:eastAsia="宋体" w:cs="宋体"/>
                <w:b w:val="0"/>
                <w:bCs/>
                <w:color w:val="auto"/>
                <w:spacing w:val="-2"/>
                <w:sz w:val="21"/>
                <w:szCs w:val="21"/>
                <w:highlight w:val="none"/>
                <w:lang w:val="en-US" w:eastAsia="zh-CN"/>
              </w:rPr>
              <w:t>时间</w:t>
            </w:r>
            <w:r>
              <w:rPr>
                <w:rFonts w:hint="eastAsia" w:ascii="宋体" w:hAnsi="宋体" w:eastAsia="宋体" w:cs="宋体"/>
                <w:b w:val="0"/>
                <w:bCs/>
                <w:color w:val="auto"/>
                <w:spacing w:val="-2"/>
                <w:sz w:val="21"/>
                <w:szCs w:val="21"/>
                <w:highlight w:val="none"/>
              </w:rPr>
              <w:t>进度安排</w:t>
            </w:r>
            <w:r>
              <w:rPr>
                <w:rFonts w:hint="eastAsia" w:ascii="宋体" w:hAnsi="宋体" w:eastAsia="宋体" w:cs="宋体"/>
                <w:b w:val="0"/>
                <w:bCs/>
                <w:color w:val="auto"/>
                <w:spacing w:val="-2"/>
                <w:sz w:val="21"/>
                <w:szCs w:val="21"/>
                <w:highlight w:val="none"/>
                <w:lang w:val="en-US" w:eastAsia="zh-CN"/>
              </w:rPr>
              <w:t>及对应的</w:t>
            </w:r>
            <w:r>
              <w:rPr>
                <w:rFonts w:hint="eastAsia" w:ascii="宋体" w:hAnsi="宋体" w:eastAsia="宋体" w:cs="宋体"/>
                <w:b w:val="0"/>
                <w:bCs/>
                <w:color w:val="auto"/>
                <w:spacing w:val="-2"/>
                <w:sz w:val="21"/>
                <w:szCs w:val="21"/>
                <w:highlight w:val="none"/>
              </w:rPr>
              <w:t>措施内容完整</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详细）</w:t>
            </w:r>
            <w:r>
              <w:rPr>
                <w:rFonts w:hint="eastAsia" w:ascii="宋体" w:hAnsi="宋体" w:eastAsia="宋体" w:cs="宋体"/>
                <w:b w:val="0"/>
                <w:bCs/>
                <w:color w:val="auto"/>
                <w:spacing w:val="-2"/>
                <w:sz w:val="21"/>
                <w:szCs w:val="21"/>
                <w:highlight w:val="none"/>
                <w:lang w:eastAsia="zh-CN"/>
              </w:rPr>
              <w:t>，配送</w:t>
            </w:r>
            <w:r>
              <w:rPr>
                <w:rFonts w:hint="eastAsia" w:ascii="宋体" w:hAnsi="宋体" w:eastAsia="宋体" w:cs="宋体"/>
                <w:b w:val="0"/>
                <w:bCs/>
                <w:color w:val="auto"/>
                <w:spacing w:val="-2"/>
                <w:sz w:val="21"/>
                <w:szCs w:val="21"/>
                <w:highlight w:val="none"/>
                <w:lang w:val="en-US" w:eastAsia="zh-CN"/>
              </w:rPr>
              <w:t>及</w:t>
            </w:r>
            <w:r>
              <w:rPr>
                <w:rFonts w:hint="eastAsia" w:ascii="宋体" w:hAnsi="宋体" w:eastAsia="宋体" w:cs="宋体"/>
                <w:b w:val="0"/>
                <w:bCs/>
                <w:color w:val="auto"/>
                <w:spacing w:val="-2"/>
                <w:sz w:val="21"/>
                <w:szCs w:val="21"/>
                <w:highlight w:val="none"/>
                <w:lang w:eastAsia="zh-CN"/>
              </w:rPr>
              <w:t>安装实施</w:t>
            </w:r>
            <w:ins w:id="132" w:author="JDZBzheng" w:date="2026-06-30T11:23:44Z">
              <w:r>
                <w:rPr>
                  <w:rFonts w:hint="eastAsia" w:ascii="宋体" w:hAnsi="宋体" w:eastAsia="宋体" w:cs="宋体"/>
                  <w:b w:val="0"/>
                  <w:bCs/>
                  <w:color w:val="auto"/>
                  <w:spacing w:val="-2"/>
                  <w:sz w:val="21"/>
                  <w:szCs w:val="21"/>
                  <w:highlight w:val="none"/>
                  <w:lang w:eastAsia="zh-CN"/>
                </w:rPr>
                <w:t>方案</w:t>
              </w:r>
            </w:ins>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详细、</w:t>
            </w:r>
            <w:r>
              <w:rPr>
                <w:rFonts w:hint="eastAsia" w:ascii="宋体" w:hAnsi="宋体" w:eastAsia="宋体" w:cs="宋体"/>
                <w:b w:val="0"/>
                <w:bCs/>
                <w:color w:val="auto"/>
                <w:spacing w:val="-2"/>
                <w:sz w:val="21"/>
                <w:szCs w:val="21"/>
                <w:highlight w:val="none"/>
                <w:lang w:eastAsia="zh-CN"/>
              </w:rPr>
              <w:t>具体的配送方案、安装方法、安装流程</w:t>
            </w:r>
            <w:r>
              <w:rPr>
                <w:rFonts w:hint="eastAsia" w:ascii="宋体" w:hAnsi="宋体" w:eastAsia="宋体" w:cs="宋体"/>
                <w:b w:val="0"/>
                <w:bCs/>
                <w:color w:val="auto"/>
                <w:spacing w:val="-2"/>
                <w:sz w:val="21"/>
                <w:szCs w:val="21"/>
                <w:highlight w:val="none"/>
                <w:lang w:val="en-US" w:eastAsia="zh-CN"/>
              </w:rPr>
              <w:t>等内容，且方案合理、有针对性</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质量保证措施（具备履约期内全程可实施的详细、完善的措施方案）</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风险防范措施详尽（包括设备运输安装保障、应急方案等）</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详细可实施的验收方案</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实施方案资料齐全、完善、有针对性、</w:t>
            </w:r>
            <w:ins w:id="133" w:author="JDZBzheng" w:date="2026-06-30T11:23:46Z">
              <w:r>
                <w:rPr>
                  <w:rFonts w:hint="eastAsia" w:ascii="宋体" w:hAnsi="宋体" w:eastAsia="宋体" w:cs="宋体"/>
                  <w:b w:val="0"/>
                  <w:bCs/>
                  <w:color w:val="auto"/>
                  <w:spacing w:val="-2"/>
                  <w:sz w:val="21"/>
                  <w:szCs w:val="21"/>
                  <w:highlight w:val="none"/>
                  <w:lang w:val="en-US" w:eastAsia="zh-CN"/>
                </w:rPr>
                <w:t>能够</w:t>
              </w:r>
            </w:ins>
            <w:r>
              <w:rPr>
                <w:rFonts w:hint="eastAsia" w:ascii="宋体" w:hAnsi="宋体" w:eastAsia="宋体" w:cs="宋体"/>
                <w:b w:val="0"/>
                <w:bCs/>
                <w:color w:val="auto"/>
                <w:spacing w:val="-2"/>
                <w:sz w:val="21"/>
                <w:szCs w:val="21"/>
                <w:highlight w:val="none"/>
                <w:lang w:val="en-US" w:eastAsia="zh-CN"/>
              </w:rPr>
              <w:t>保证项目顺利实施或提前完善交付使用</w:t>
            </w:r>
            <w:r>
              <w:rPr>
                <w:rFonts w:hint="eastAsia" w:ascii="宋体" w:hAnsi="宋体" w:eastAsia="宋体" w:cs="宋体"/>
                <w:b w:val="0"/>
                <w:bCs/>
                <w:color w:val="auto"/>
                <w:spacing w:val="-2"/>
                <w:sz w:val="21"/>
                <w:szCs w:val="21"/>
                <w:highlight w:val="none"/>
              </w:rPr>
              <w:t>。</w:t>
            </w:r>
          </w:p>
        </w:tc>
        <w:tc>
          <w:tcPr>
            <w:tcW w:w="648" w:type="dxa"/>
            <w:noWrap w:val="0"/>
            <w:vAlign w:val="center"/>
          </w:tcPr>
          <w:p w14:paraId="2DFCC148">
            <w:pPr>
              <w:spacing w:line="360" w:lineRule="exact"/>
              <w:jc w:val="center"/>
              <w:rPr>
                <w:rFonts w:hint="default" w:ascii="Arial" w:hAnsi="Arial" w:cs="Arial" w:eastAsiaTheme="minorEastAsia"/>
                <w:color w:val="auto"/>
                <w:sz w:val="21"/>
                <w:szCs w:val="21"/>
                <w:highlight w:val="none"/>
                <w:lang w:val="en-US" w:eastAsia="zh-CN"/>
              </w:rPr>
            </w:pPr>
            <w:r>
              <w:rPr>
                <w:rFonts w:hint="default" w:ascii="Arial" w:hAnsi="Arial" w:cs="Arial" w:eastAsiaTheme="minorEastAsia"/>
                <w:color w:val="auto"/>
                <w:sz w:val="21"/>
                <w:szCs w:val="21"/>
                <w:highlight w:val="none"/>
              </w:rPr>
              <w:t>0-</w:t>
            </w:r>
            <w:r>
              <w:rPr>
                <w:rFonts w:hint="eastAsia" w:ascii="Arial" w:hAnsi="Arial" w:cs="Arial" w:eastAsiaTheme="minorEastAsia"/>
                <w:color w:val="auto"/>
                <w:sz w:val="21"/>
                <w:szCs w:val="21"/>
                <w:highlight w:val="none"/>
                <w:lang w:val="en-US" w:eastAsia="zh-CN"/>
              </w:rPr>
              <w:t>10</w:t>
            </w:r>
          </w:p>
        </w:tc>
        <w:tc>
          <w:tcPr>
            <w:tcW w:w="2436" w:type="dxa"/>
            <w:noWrap w:val="0"/>
            <w:vAlign w:val="center"/>
          </w:tcPr>
          <w:p w14:paraId="492859C7">
            <w:pPr>
              <w:spacing w:line="360" w:lineRule="exact"/>
              <w:jc w:val="center"/>
              <w:rPr>
                <w:rFonts w:hint="eastAsia" w:ascii="宋体" w:hAnsi="宋体" w:eastAsia="宋体" w:cs="宋体"/>
                <w:bCs/>
                <w:color w:val="auto"/>
                <w:spacing w:val="10"/>
                <w:sz w:val="21"/>
                <w:szCs w:val="21"/>
                <w:highlight w:val="none"/>
              </w:rPr>
            </w:pPr>
          </w:p>
        </w:tc>
      </w:tr>
      <w:tr w14:paraId="3B06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23" w:type="dxa"/>
            <w:noWrap w:val="0"/>
            <w:vAlign w:val="center"/>
          </w:tcPr>
          <w:p w14:paraId="2EEF8DAA">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4</w:t>
            </w:r>
          </w:p>
        </w:tc>
        <w:tc>
          <w:tcPr>
            <w:tcW w:w="891" w:type="dxa"/>
            <w:noWrap w:val="0"/>
            <w:vAlign w:val="center"/>
          </w:tcPr>
          <w:p w14:paraId="50B18C55">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技术</w:t>
            </w:r>
            <w:r>
              <w:rPr>
                <w:rFonts w:hint="eastAsia" w:ascii="Arial" w:hAnsi="Arial" w:cs="Arial"/>
                <w:color w:val="auto"/>
                <w:sz w:val="21"/>
                <w:szCs w:val="21"/>
                <w:highlight w:val="none"/>
                <w:lang w:eastAsia="zh-CN"/>
              </w:rPr>
              <w:t>分</w:t>
            </w:r>
          </w:p>
        </w:tc>
        <w:tc>
          <w:tcPr>
            <w:tcW w:w="1145" w:type="dxa"/>
            <w:noWrap w:val="0"/>
            <w:vAlign w:val="center"/>
          </w:tcPr>
          <w:p w14:paraId="66490EFB">
            <w:pPr>
              <w:spacing w:line="360" w:lineRule="exact"/>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培训计划</w:t>
            </w:r>
            <w:r>
              <w:rPr>
                <w:rFonts w:hint="eastAsia" w:ascii="宋体" w:hAnsi="宋体" w:eastAsia="宋体" w:cs="宋体"/>
                <w:color w:val="auto"/>
                <w:sz w:val="21"/>
                <w:szCs w:val="21"/>
                <w:highlight w:val="none"/>
              </w:rPr>
              <w:t>（主观分）</w:t>
            </w:r>
          </w:p>
        </w:tc>
        <w:tc>
          <w:tcPr>
            <w:tcW w:w="4994" w:type="dxa"/>
            <w:noWrap w:val="0"/>
            <w:vAlign w:val="center"/>
          </w:tcPr>
          <w:p w14:paraId="21FC0042">
            <w:pPr>
              <w:pStyle w:val="20"/>
              <w:spacing w:after="0" w:line="360" w:lineRule="exact"/>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一档（0分）：</w:t>
            </w:r>
            <w:r>
              <w:rPr>
                <w:rFonts w:hint="eastAsia" w:ascii="宋体" w:hAnsi="宋体" w:eastAsia="宋体" w:cs="宋体"/>
                <w:b w:val="0"/>
                <w:bCs/>
                <w:color w:val="auto"/>
                <w:spacing w:val="-2"/>
                <w:sz w:val="21"/>
                <w:szCs w:val="21"/>
                <w:highlight w:val="none"/>
              </w:rPr>
              <w:t>未提供任何设备使用培训相关方案，无培训内容、计划等相关表述。</w:t>
            </w:r>
          </w:p>
          <w:p w14:paraId="478750E9">
            <w:pPr>
              <w:pStyle w:val="20"/>
              <w:spacing w:after="0" w:line="360" w:lineRule="exact"/>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二档（2分）：</w:t>
            </w:r>
            <w:r>
              <w:rPr>
                <w:rFonts w:hint="eastAsia" w:ascii="宋体" w:hAnsi="宋体" w:eastAsia="宋体" w:cs="宋体"/>
                <w:b w:val="0"/>
                <w:bCs/>
                <w:color w:val="auto"/>
                <w:spacing w:val="-2"/>
                <w:sz w:val="21"/>
                <w:szCs w:val="21"/>
                <w:highlight w:val="none"/>
              </w:rPr>
              <w:t>设备使用培训方案基本可行的，基本包含招标文件要求的设备使用培训内容，基本满足需求。</w:t>
            </w:r>
          </w:p>
          <w:p w14:paraId="6A3DA786">
            <w:pPr>
              <w:pStyle w:val="20"/>
              <w:spacing w:after="0" w:line="360" w:lineRule="exact"/>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三档（4分）：</w:t>
            </w:r>
            <w:r>
              <w:rPr>
                <w:rFonts w:hint="eastAsia" w:ascii="宋体" w:hAnsi="宋体" w:eastAsia="宋体" w:cs="宋体"/>
                <w:b w:val="0"/>
                <w:bCs/>
                <w:color w:val="auto"/>
                <w:spacing w:val="-2"/>
                <w:sz w:val="21"/>
                <w:szCs w:val="21"/>
                <w:highlight w:val="none"/>
              </w:rPr>
              <w:t>具备完整培训框架，覆盖基础教学内容，包含培训人员、大致时长，但缺少细化场地、分批次教学等专项规划。</w:t>
            </w:r>
          </w:p>
          <w:p w14:paraId="3B80DA13">
            <w:pPr>
              <w:pStyle w:val="20"/>
              <w:spacing w:after="0" w:line="360" w:lineRule="exact"/>
              <w:ind w:right="61"/>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四档（5分）：</w:t>
            </w:r>
            <w:r>
              <w:rPr>
                <w:rFonts w:hint="eastAsia" w:ascii="宋体" w:hAnsi="宋体" w:eastAsia="宋体" w:cs="宋体"/>
                <w:b w:val="0"/>
                <w:bCs/>
                <w:color w:val="auto"/>
                <w:spacing w:val="-2"/>
                <w:sz w:val="21"/>
                <w:szCs w:val="21"/>
                <w:highlight w:val="none"/>
              </w:rPr>
              <w:t>设备使用培训方案全面、有详细的培训计划，有培训方法、培训时间、有培训的专业人员，提供合理可行的培训计划，能满足需求。</w:t>
            </w:r>
          </w:p>
          <w:p w14:paraId="65FDF548">
            <w:pPr>
              <w:keepNext w:val="0"/>
              <w:keepLines w:val="0"/>
              <w:widowControl/>
              <w:suppressLineNumbers w:val="0"/>
              <w:spacing w:line="360" w:lineRule="auto"/>
              <w:jc w:val="left"/>
              <w:rPr>
                <w:rFonts w:hint="eastAsia" w:ascii="宋体" w:hAnsi="宋体" w:eastAsia="宋体" w:cs="宋体"/>
                <w:b/>
                <w:bCs w:val="0"/>
                <w:color w:val="auto"/>
                <w:spacing w:val="-2"/>
                <w:sz w:val="21"/>
                <w:szCs w:val="21"/>
                <w:highlight w:val="none"/>
                <w:lang w:val="en-US" w:eastAsia="zh-CN"/>
              </w:rPr>
            </w:pPr>
            <w:r>
              <w:rPr>
                <w:rFonts w:hint="eastAsia" w:ascii="宋体" w:hAnsi="宋体" w:eastAsia="宋体" w:cs="宋体"/>
                <w:b/>
                <w:bCs w:val="0"/>
                <w:color w:val="auto"/>
                <w:spacing w:val="-2"/>
                <w:sz w:val="21"/>
                <w:szCs w:val="21"/>
                <w:highlight w:val="none"/>
              </w:rPr>
              <w:t>五档（8分）：</w:t>
            </w:r>
            <w:r>
              <w:rPr>
                <w:rFonts w:hint="eastAsia" w:ascii="宋体" w:hAnsi="宋体" w:eastAsia="宋体" w:cs="宋体"/>
                <w:b w:val="0"/>
                <w:bCs/>
                <w:color w:val="auto"/>
                <w:spacing w:val="-2"/>
                <w:sz w:val="21"/>
                <w:szCs w:val="21"/>
                <w:highlight w:val="none"/>
              </w:rPr>
              <w:t>设备使用培训方案全面、有详细的培训计划，培训时间安排、培训的专业人员、设备调试技术指导、培训方法、培训时间、培训地点安排，具有针对性的培训计划等内容，完全满足需求。</w:t>
            </w:r>
          </w:p>
        </w:tc>
        <w:tc>
          <w:tcPr>
            <w:tcW w:w="648" w:type="dxa"/>
            <w:noWrap w:val="0"/>
            <w:vAlign w:val="center"/>
          </w:tcPr>
          <w:p w14:paraId="1738567A">
            <w:pPr>
              <w:spacing w:line="360" w:lineRule="exact"/>
              <w:jc w:val="center"/>
              <w:rPr>
                <w:rFonts w:hint="default" w:ascii="Arial" w:hAnsi="Arial" w:cs="Arial" w:eastAsiaTheme="minorEastAsia"/>
                <w:color w:val="auto"/>
                <w:sz w:val="21"/>
                <w:szCs w:val="21"/>
                <w:highlight w:val="none"/>
              </w:rPr>
            </w:pPr>
            <w:r>
              <w:rPr>
                <w:rFonts w:hint="default" w:ascii="Arial" w:hAnsi="Arial" w:cs="Arial" w:eastAsiaTheme="minorEastAsia"/>
                <w:color w:val="auto"/>
                <w:sz w:val="21"/>
                <w:szCs w:val="21"/>
                <w:highlight w:val="none"/>
              </w:rPr>
              <w:t>0-</w:t>
            </w:r>
            <w:r>
              <w:rPr>
                <w:rFonts w:hint="eastAsia" w:ascii="Arial" w:hAnsi="Arial" w:cs="Arial" w:eastAsiaTheme="minorEastAsia"/>
                <w:color w:val="auto"/>
                <w:sz w:val="21"/>
                <w:szCs w:val="21"/>
                <w:highlight w:val="none"/>
                <w:lang w:val="en-US" w:eastAsia="zh-CN"/>
              </w:rPr>
              <w:t>8</w:t>
            </w:r>
          </w:p>
        </w:tc>
        <w:tc>
          <w:tcPr>
            <w:tcW w:w="2436" w:type="dxa"/>
            <w:noWrap w:val="0"/>
            <w:vAlign w:val="center"/>
          </w:tcPr>
          <w:p w14:paraId="517F3C83">
            <w:pPr>
              <w:spacing w:line="360" w:lineRule="exact"/>
              <w:jc w:val="center"/>
              <w:rPr>
                <w:rFonts w:hint="eastAsia" w:ascii="宋体" w:hAnsi="宋体" w:eastAsia="宋体" w:cs="宋体"/>
                <w:bCs/>
                <w:color w:val="auto"/>
                <w:spacing w:val="10"/>
                <w:sz w:val="21"/>
                <w:szCs w:val="21"/>
                <w:highlight w:val="none"/>
              </w:rPr>
            </w:pPr>
          </w:p>
        </w:tc>
      </w:tr>
      <w:tr w14:paraId="3760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 w:type="dxa"/>
            <w:noWrap w:val="0"/>
            <w:vAlign w:val="center"/>
          </w:tcPr>
          <w:p w14:paraId="7130A134">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5</w:t>
            </w:r>
          </w:p>
        </w:tc>
        <w:tc>
          <w:tcPr>
            <w:tcW w:w="891" w:type="dxa"/>
            <w:noWrap w:val="0"/>
            <w:vAlign w:val="center"/>
          </w:tcPr>
          <w:p w14:paraId="3121AFED">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145" w:type="dxa"/>
            <w:noWrap w:val="0"/>
            <w:vAlign w:val="center"/>
          </w:tcPr>
          <w:p w14:paraId="5101D513">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val="0"/>
                <w:bCs/>
                <w:color w:val="auto"/>
                <w:spacing w:val="-2"/>
                <w:sz w:val="21"/>
                <w:szCs w:val="21"/>
                <w:highlight w:val="none"/>
              </w:rPr>
              <w:t>售后服务方案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主观</w:t>
            </w:r>
            <w:r>
              <w:rPr>
                <w:rFonts w:hint="eastAsia" w:ascii="宋体" w:hAnsi="宋体" w:eastAsia="宋体" w:cs="宋体"/>
                <w:color w:val="auto"/>
                <w:sz w:val="21"/>
                <w:szCs w:val="21"/>
                <w:highlight w:val="none"/>
              </w:rPr>
              <w:t xml:space="preserve">分） </w:t>
            </w:r>
          </w:p>
        </w:tc>
        <w:tc>
          <w:tcPr>
            <w:tcW w:w="4994" w:type="dxa"/>
            <w:noWrap w:val="0"/>
            <w:vAlign w:val="center"/>
          </w:tcPr>
          <w:p w14:paraId="54F0A86B">
            <w:pPr>
              <w:pStyle w:val="20"/>
              <w:spacing w:after="0" w:line="360" w:lineRule="exact"/>
              <w:ind w:firstLine="412" w:firstLineChars="200"/>
              <w:jc w:val="left"/>
              <w:rPr>
                <w:rFonts w:hint="eastAsia" w:ascii="宋体" w:hAnsi="宋体" w:eastAsia="宋体" w:cs="宋体"/>
                <w:b w:val="0"/>
                <w:bCs/>
                <w:color w:val="auto"/>
                <w:spacing w:val="-2"/>
                <w:sz w:val="21"/>
                <w:szCs w:val="21"/>
                <w:highlight w:val="none"/>
              </w:rPr>
            </w:pPr>
            <w:r>
              <w:rPr>
                <w:rFonts w:hint="eastAsia" w:ascii="宋体" w:hAnsi="宋体" w:eastAsia="宋体" w:cs="宋体"/>
                <w:b w:val="0"/>
                <w:bCs/>
                <w:color w:val="auto"/>
                <w:spacing w:val="-2"/>
                <w:sz w:val="21"/>
                <w:szCs w:val="21"/>
                <w:highlight w:val="none"/>
              </w:rPr>
              <w:t>评委根据招标文件售后服务要求并结合</w:t>
            </w:r>
            <w:r>
              <w:rPr>
                <w:rFonts w:hint="eastAsia" w:ascii="宋体" w:hAnsi="宋体" w:eastAsia="宋体" w:cs="宋体"/>
                <w:b w:val="0"/>
                <w:bCs/>
                <w:color w:val="auto"/>
                <w:spacing w:val="-2"/>
                <w:sz w:val="21"/>
                <w:szCs w:val="21"/>
                <w:highlight w:val="none"/>
                <w:lang w:val="en-US" w:eastAsia="zh-CN"/>
              </w:rPr>
              <w:t>投标人</w:t>
            </w:r>
            <w:r>
              <w:rPr>
                <w:rFonts w:hint="eastAsia" w:ascii="宋体" w:hAnsi="宋体" w:eastAsia="宋体" w:cs="宋体"/>
                <w:b w:val="0"/>
                <w:bCs/>
                <w:color w:val="auto"/>
                <w:spacing w:val="-2"/>
                <w:sz w:val="21"/>
                <w:szCs w:val="21"/>
                <w:highlight w:val="none"/>
              </w:rPr>
              <w:t>售后服务方案内容的完整性、可行性、到达故障现场时间、故障出现解决方案、免费保修期外维修维护方案（含零配件的优惠供应等内容）、是否具备故障时的替代产品</w:t>
            </w:r>
            <w:ins w:id="134" w:author="JDZBzheng" w:date="2026-06-30T11:23:48Z">
              <w:r>
                <w:rPr>
                  <w:rFonts w:hint="eastAsia" w:ascii="宋体" w:hAnsi="宋体" w:eastAsia="宋体" w:cs="宋体"/>
                  <w:b w:val="0"/>
                  <w:bCs/>
                  <w:color w:val="auto"/>
                  <w:spacing w:val="-2"/>
                  <w:sz w:val="21"/>
                  <w:szCs w:val="21"/>
                  <w:highlight w:val="none"/>
                  <w:lang w:eastAsia="zh-CN"/>
                </w:rPr>
                <w:t>等</w:t>
              </w:r>
            </w:ins>
            <w:r>
              <w:rPr>
                <w:rFonts w:hint="eastAsia" w:ascii="宋体" w:hAnsi="宋体" w:eastAsia="宋体" w:cs="宋体"/>
                <w:b w:val="0"/>
                <w:bCs/>
                <w:color w:val="auto"/>
                <w:spacing w:val="-2"/>
                <w:sz w:val="21"/>
                <w:szCs w:val="21"/>
                <w:highlight w:val="none"/>
              </w:rPr>
              <w:t xml:space="preserve">内容进行综合评审并独立打分： </w:t>
            </w:r>
          </w:p>
          <w:p w14:paraId="02CC1CE8">
            <w:pPr>
              <w:pStyle w:val="20"/>
              <w:spacing w:after="0" w:line="360" w:lineRule="exact"/>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一档（0分）：</w:t>
            </w:r>
            <w:r>
              <w:rPr>
                <w:rFonts w:hint="eastAsia" w:ascii="宋体" w:hAnsi="宋体" w:eastAsia="宋体" w:cs="宋体"/>
                <w:b w:val="0"/>
                <w:bCs/>
                <w:color w:val="auto"/>
                <w:spacing w:val="-2"/>
                <w:sz w:val="21"/>
                <w:szCs w:val="21"/>
                <w:highlight w:val="none"/>
              </w:rPr>
              <w:t>未达到一档评审内容的。</w:t>
            </w:r>
          </w:p>
          <w:p w14:paraId="6131A135">
            <w:pPr>
              <w:pStyle w:val="20"/>
              <w:spacing w:after="0" w:line="360" w:lineRule="exact"/>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二档（2分）：</w:t>
            </w:r>
            <w:r>
              <w:rPr>
                <w:rFonts w:hint="eastAsia" w:ascii="宋体" w:hAnsi="宋体" w:eastAsia="宋体" w:cs="宋体"/>
                <w:b w:val="0"/>
                <w:bCs/>
                <w:color w:val="auto"/>
                <w:spacing w:val="-2"/>
                <w:sz w:val="21"/>
                <w:szCs w:val="21"/>
                <w:highlight w:val="none"/>
              </w:rPr>
              <w:t>供应商能提供现场服务及支持方案，有运行保障方案包含针对本项目的售后服务体系、服务内容、服务方式、响应能力、响应时间、故障出现解决方案、免费保修期外维修维护方案（含零配件的优惠供应等内容）。</w:t>
            </w:r>
          </w:p>
          <w:p w14:paraId="2E73DC5D">
            <w:pPr>
              <w:pStyle w:val="20"/>
              <w:spacing w:after="0" w:line="360" w:lineRule="exact"/>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三档（4分）：</w:t>
            </w:r>
            <w:r>
              <w:rPr>
                <w:rFonts w:hint="eastAsia" w:ascii="宋体" w:hAnsi="宋体" w:eastAsia="宋体" w:cs="宋体"/>
                <w:b w:val="0"/>
                <w:bCs/>
                <w:color w:val="auto"/>
                <w:spacing w:val="-2"/>
                <w:sz w:val="21"/>
                <w:szCs w:val="21"/>
                <w:highlight w:val="none"/>
              </w:rPr>
              <w:t>完全达到二档全部服务内容标准，具备基础故障处置、过保零配件优惠供应相关完整表述，可满足项目基础售后运维需求，但未在响应时效、质保期限等方面提供优于招标文件的承诺。</w:t>
            </w:r>
          </w:p>
          <w:p w14:paraId="6DD2AB9F">
            <w:pPr>
              <w:pStyle w:val="20"/>
              <w:spacing w:after="0" w:line="360" w:lineRule="exact"/>
              <w:jc w:val="left"/>
              <w:rPr>
                <w:rFonts w:hint="eastAsia" w:ascii="宋体" w:hAnsi="宋体" w:eastAsia="宋体" w:cs="宋体"/>
                <w:b w:val="0"/>
                <w:bCs/>
                <w:color w:val="auto"/>
                <w:spacing w:val="-2"/>
                <w:sz w:val="21"/>
                <w:szCs w:val="21"/>
                <w:highlight w:val="none"/>
              </w:rPr>
            </w:pPr>
            <w:r>
              <w:rPr>
                <w:rFonts w:hint="eastAsia" w:ascii="宋体" w:hAnsi="宋体" w:eastAsia="宋体" w:cs="宋体"/>
                <w:b/>
                <w:bCs w:val="0"/>
                <w:color w:val="auto"/>
                <w:spacing w:val="-2"/>
                <w:sz w:val="21"/>
                <w:szCs w:val="21"/>
                <w:highlight w:val="none"/>
              </w:rPr>
              <w:t>四档（6分）：</w:t>
            </w:r>
            <w:r>
              <w:rPr>
                <w:rFonts w:hint="eastAsia" w:ascii="宋体" w:hAnsi="宋体" w:eastAsia="宋体" w:cs="宋体"/>
                <w:b w:val="0"/>
                <w:bCs/>
                <w:color w:val="auto"/>
                <w:spacing w:val="-2"/>
                <w:sz w:val="21"/>
                <w:szCs w:val="21"/>
                <w:highlight w:val="none"/>
              </w:rPr>
              <w:t>满足二档的情况下，故障响应及达到故障现场时间优于采购要求，有具体的故障出现解决方案、免费保修期外维修维护方案（含零配件的优惠供应等内容），对系统的维护提供整体维护解决方案和运行维护应急预案的，免费质保</w:t>
            </w:r>
            <w:ins w:id="135" w:author="JDZBzheng" w:date="2026-06-30T11:24:07Z">
              <w:r>
                <w:rPr>
                  <w:rFonts w:hint="eastAsia" w:ascii="宋体" w:hAnsi="宋体" w:eastAsia="宋体" w:cs="宋体"/>
                  <w:b w:val="0"/>
                  <w:bCs/>
                  <w:color w:val="auto"/>
                  <w:spacing w:val="-2"/>
                  <w:sz w:val="21"/>
                  <w:szCs w:val="21"/>
                  <w:highlight w:val="none"/>
                  <w:lang w:eastAsia="zh-CN"/>
                </w:rPr>
                <w:t>期内</w:t>
              </w:r>
            </w:ins>
            <w:r>
              <w:rPr>
                <w:rFonts w:hint="eastAsia" w:ascii="宋体" w:hAnsi="宋体" w:eastAsia="宋体" w:cs="宋体"/>
                <w:b w:val="0"/>
                <w:bCs/>
                <w:color w:val="auto"/>
                <w:spacing w:val="-2"/>
                <w:sz w:val="21"/>
                <w:szCs w:val="21"/>
                <w:highlight w:val="none"/>
              </w:rPr>
              <w:t>至少有一项产品优于招标文件要求的。</w:t>
            </w:r>
          </w:p>
          <w:p w14:paraId="62C51B34">
            <w:pPr>
              <w:keepNext w:val="0"/>
              <w:keepLines w:val="0"/>
              <w:widowControl/>
              <w:suppressLineNumbers w:val="0"/>
              <w:spacing w:line="360" w:lineRule="auto"/>
              <w:jc w:val="left"/>
              <w:rPr>
                <w:rFonts w:hint="eastAsia" w:ascii="宋体" w:hAnsi="宋体" w:eastAsia="宋体" w:cs="宋体"/>
                <w:color w:val="auto"/>
                <w:sz w:val="21"/>
                <w:szCs w:val="21"/>
                <w:highlight w:val="none"/>
                <w:lang w:val="en-US" w:eastAsia="zh-CN" w:bidi="ar"/>
              </w:rPr>
            </w:pPr>
            <w:r>
              <w:rPr>
                <w:rFonts w:hint="eastAsia" w:ascii="宋体" w:hAnsi="宋体" w:eastAsia="宋体" w:cs="宋体"/>
                <w:b/>
                <w:bCs w:val="0"/>
                <w:color w:val="auto"/>
                <w:spacing w:val="-2"/>
                <w:sz w:val="21"/>
                <w:szCs w:val="21"/>
                <w:highlight w:val="none"/>
              </w:rPr>
              <w:t>五档（8分）：</w:t>
            </w:r>
            <w:r>
              <w:rPr>
                <w:rFonts w:hint="eastAsia" w:ascii="宋体" w:hAnsi="宋体" w:eastAsia="宋体" w:cs="宋体"/>
                <w:b w:val="0"/>
                <w:bCs/>
                <w:color w:val="auto"/>
                <w:spacing w:val="-2"/>
                <w:sz w:val="21"/>
                <w:szCs w:val="21"/>
                <w:highlight w:val="none"/>
              </w:rPr>
              <w:t>满足前述四档全部内容的情况下，投标人所提供的故障无法排除时的解决方案 (包括提供替代品或配件、应急方案等)，提供服务承诺和保障措施，提供系统维护信息档案管理，有定期回访计划、本地售后服务保障方案，确保该项目有完整的售后服务，其他增值售后服务或其它实质性优惠措施、免费质保期至少有两项及以上产品优于招标文件要求的。</w:t>
            </w:r>
          </w:p>
        </w:tc>
        <w:tc>
          <w:tcPr>
            <w:tcW w:w="648" w:type="dxa"/>
            <w:noWrap w:val="0"/>
            <w:vAlign w:val="center"/>
          </w:tcPr>
          <w:p w14:paraId="0D278C83">
            <w:pPr>
              <w:spacing w:line="360" w:lineRule="exact"/>
              <w:jc w:val="center"/>
              <w:rPr>
                <w:rFonts w:hint="default" w:ascii="Arial" w:hAnsi="Arial" w:cs="Arial" w:eastAsiaTheme="minorEastAsia"/>
                <w:color w:val="auto"/>
                <w:sz w:val="18"/>
                <w:szCs w:val="18"/>
                <w:highlight w:val="none"/>
                <w:lang w:val="en-US" w:eastAsia="zh-CN"/>
              </w:rPr>
            </w:pPr>
            <w:r>
              <w:rPr>
                <w:rFonts w:hint="default" w:ascii="Arial" w:hAnsi="Arial" w:cs="Arial" w:eastAsiaTheme="minorEastAsia"/>
                <w:color w:val="auto"/>
                <w:sz w:val="21"/>
                <w:szCs w:val="21"/>
                <w:highlight w:val="none"/>
                <w:lang w:val="en-US" w:eastAsia="zh-CN"/>
              </w:rPr>
              <w:t>0-</w:t>
            </w:r>
            <w:r>
              <w:rPr>
                <w:rFonts w:hint="eastAsia" w:ascii="Arial" w:hAnsi="Arial" w:cs="Arial" w:eastAsiaTheme="minorEastAsia"/>
                <w:color w:val="auto"/>
                <w:sz w:val="21"/>
                <w:szCs w:val="21"/>
                <w:highlight w:val="none"/>
                <w:lang w:val="en-US" w:eastAsia="zh-CN"/>
              </w:rPr>
              <w:t>8</w:t>
            </w:r>
          </w:p>
        </w:tc>
        <w:tc>
          <w:tcPr>
            <w:tcW w:w="2436" w:type="dxa"/>
            <w:noWrap w:val="0"/>
            <w:vAlign w:val="center"/>
          </w:tcPr>
          <w:p w14:paraId="0CC4DE3C">
            <w:pPr>
              <w:spacing w:line="360" w:lineRule="exact"/>
              <w:jc w:val="left"/>
              <w:rPr>
                <w:rFonts w:hint="eastAsia" w:ascii="宋体" w:hAnsi="宋体" w:eastAsia="宋体" w:cs="宋体"/>
                <w:bCs/>
                <w:color w:val="auto"/>
                <w:spacing w:val="10"/>
                <w:sz w:val="21"/>
                <w:szCs w:val="21"/>
                <w:highlight w:val="none"/>
              </w:rPr>
            </w:pPr>
          </w:p>
        </w:tc>
      </w:tr>
      <w:tr w14:paraId="2DF5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523" w:type="dxa"/>
            <w:noWrap w:val="0"/>
            <w:vAlign w:val="center"/>
          </w:tcPr>
          <w:p w14:paraId="56398740">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6</w:t>
            </w:r>
          </w:p>
        </w:tc>
        <w:tc>
          <w:tcPr>
            <w:tcW w:w="891" w:type="dxa"/>
            <w:noWrap w:val="0"/>
            <w:vAlign w:val="center"/>
          </w:tcPr>
          <w:p w14:paraId="1423F1E6">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145" w:type="dxa"/>
            <w:noWrap w:val="0"/>
            <w:vAlign w:val="center"/>
          </w:tcPr>
          <w:p w14:paraId="09B3233D">
            <w:pPr>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val="0"/>
                <w:bCs/>
                <w:color w:val="auto"/>
                <w:spacing w:val="-2"/>
                <w:sz w:val="21"/>
                <w:szCs w:val="21"/>
                <w:highlight w:val="none"/>
                <w:lang w:val="en-US" w:eastAsia="zh-CN"/>
              </w:rPr>
              <w:t>信誉业绩</w:t>
            </w:r>
            <w:r>
              <w:rPr>
                <w:rFonts w:hint="eastAsia" w:ascii="宋体" w:hAnsi="宋体" w:eastAsia="宋体" w:cs="宋体"/>
                <w:b w:val="0"/>
                <w:bCs/>
                <w:color w:val="auto"/>
                <w:spacing w:val="-2"/>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客观分</w:t>
            </w:r>
            <w:r>
              <w:rPr>
                <w:rFonts w:hint="eastAsia" w:ascii="宋体" w:hAnsi="宋体" w:eastAsia="宋体" w:cs="宋体"/>
                <w:color w:val="auto"/>
                <w:sz w:val="21"/>
                <w:szCs w:val="21"/>
                <w:highlight w:val="none"/>
                <w:lang w:eastAsia="zh-CN"/>
              </w:rPr>
              <w:t>）</w:t>
            </w:r>
          </w:p>
        </w:tc>
        <w:tc>
          <w:tcPr>
            <w:tcW w:w="4994" w:type="dxa"/>
            <w:noWrap w:val="0"/>
            <w:vAlign w:val="center"/>
          </w:tcPr>
          <w:p w14:paraId="0238266E">
            <w:pPr>
              <w:pStyle w:val="18"/>
              <w:keepNext w:val="0"/>
              <w:keepLines w:val="0"/>
              <w:pageBreakBefore w:val="0"/>
              <w:widowControl w:val="0"/>
              <w:kinsoku/>
              <w:wordWrap w:val="0"/>
              <w:overflowPunct/>
              <w:topLinePunct w:val="0"/>
              <w:autoSpaceDE/>
              <w:autoSpaceDN/>
              <w:bidi w:val="0"/>
              <w:snapToGrid/>
              <w:spacing w:line="360" w:lineRule="auto"/>
              <w:jc w:val="left"/>
              <w:rPr>
                <w:rFonts w:hint="eastAsia" w:ascii="宋体" w:hAnsi="宋体" w:eastAsia="宋体" w:cs="宋体"/>
                <w:b w:val="0"/>
                <w:bCs/>
                <w:color w:val="auto"/>
                <w:spacing w:val="-2"/>
                <w:sz w:val="21"/>
                <w:szCs w:val="21"/>
                <w:highlight w:val="none"/>
                <w:lang w:val="en-US" w:eastAsia="zh-CN" w:bidi="ar-SA"/>
              </w:rPr>
            </w:pPr>
            <w:r>
              <w:rPr>
                <w:rFonts w:hint="eastAsia" w:ascii="宋体" w:hAnsi="宋体" w:eastAsia="宋体" w:cs="宋体"/>
                <w:b w:val="0"/>
                <w:bCs/>
                <w:color w:val="auto"/>
                <w:spacing w:val="-2"/>
                <w:sz w:val="21"/>
                <w:szCs w:val="21"/>
                <w:highlight w:val="none"/>
                <w:lang w:val="en-US" w:eastAsia="zh-CN" w:bidi="ar-SA"/>
              </w:rPr>
              <w:t>（1）自2023年1月1日以来投标人或所投产品厂家有同类产品项目业绩的，每个得1分，满分5分。</w:t>
            </w:r>
          </w:p>
          <w:p w14:paraId="7D1D91EC">
            <w:pPr>
              <w:keepNext w:val="0"/>
              <w:keepLines w:val="0"/>
              <w:widowControl/>
              <w:suppressLineNumbers w:val="0"/>
              <w:spacing w:line="360" w:lineRule="auto"/>
              <w:jc w:val="left"/>
              <w:rPr>
                <w:rFonts w:hint="eastAsia" w:ascii="宋体" w:hAnsi="宋体" w:eastAsia="宋体" w:cs="宋体"/>
                <w:color w:val="auto"/>
                <w:sz w:val="21"/>
                <w:szCs w:val="21"/>
                <w:highlight w:val="none"/>
                <w:lang w:val="en-US" w:eastAsia="zh-CN" w:bidi="ar"/>
              </w:rPr>
            </w:pPr>
            <w:r>
              <w:rPr>
                <w:rFonts w:hint="eastAsia" w:ascii="宋体" w:hAnsi="宋体" w:eastAsia="宋体" w:cs="宋体"/>
                <w:b w:val="0"/>
                <w:bCs/>
                <w:color w:val="auto"/>
                <w:spacing w:val="-2"/>
                <w:sz w:val="21"/>
                <w:szCs w:val="21"/>
                <w:highlight w:val="none"/>
                <w:lang w:val="en-US" w:eastAsia="zh-CN" w:bidi="ar-SA"/>
              </w:rPr>
              <w:t>（2）投标人或核心产品所生产厂家通过ISO质量管理体系认证、ISO13485医疗器械质量体系认证的，每个证书得1分，满分2分。</w:t>
            </w:r>
          </w:p>
        </w:tc>
        <w:tc>
          <w:tcPr>
            <w:tcW w:w="648" w:type="dxa"/>
            <w:noWrap w:val="0"/>
            <w:vAlign w:val="center"/>
          </w:tcPr>
          <w:p w14:paraId="22D15440">
            <w:pPr>
              <w:spacing w:line="360" w:lineRule="exact"/>
              <w:jc w:val="center"/>
              <w:rPr>
                <w:rFonts w:hint="default" w:ascii="Arial" w:hAnsi="Arial" w:cs="Arial" w:eastAsiaTheme="minorEastAsia"/>
                <w:color w:val="auto"/>
                <w:sz w:val="18"/>
                <w:szCs w:val="18"/>
                <w:highlight w:val="none"/>
                <w:lang w:val="en-US" w:eastAsia="zh-CN"/>
              </w:rPr>
            </w:pPr>
            <w:r>
              <w:rPr>
                <w:rFonts w:hint="eastAsia" w:ascii="Arial" w:hAnsi="Arial" w:cs="Arial" w:eastAsiaTheme="minorEastAsia"/>
                <w:color w:val="auto"/>
                <w:sz w:val="21"/>
                <w:szCs w:val="21"/>
                <w:highlight w:val="none"/>
                <w:lang w:val="en-US" w:eastAsia="zh-CN"/>
              </w:rPr>
              <w:t>0-7</w:t>
            </w:r>
          </w:p>
        </w:tc>
        <w:tc>
          <w:tcPr>
            <w:tcW w:w="2436" w:type="dxa"/>
            <w:noWrap w:val="0"/>
            <w:vAlign w:val="center"/>
          </w:tcPr>
          <w:p w14:paraId="0E4D48BA">
            <w:pPr>
              <w:pStyle w:val="18"/>
              <w:keepNext w:val="0"/>
              <w:keepLines w:val="0"/>
              <w:pageBreakBefore w:val="0"/>
              <w:widowControl w:val="0"/>
              <w:kinsoku/>
              <w:wordWrap w:val="0"/>
              <w:overflowPunct/>
              <w:topLinePunct w:val="0"/>
              <w:autoSpaceDE/>
              <w:autoSpaceDN/>
              <w:bidi w:val="0"/>
              <w:snapToGrid/>
              <w:jc w:val="left"/>
              <w:rPr>
                <w:rFonts w:hint="eastAsia" w:ascii="宋体" w:hAnsi="宋体" w:eastAsia="宋体" w:cs="宋体"/>
                <w:color w:val="auto"/>
                <w:sz w:val="21"/>
                <w:szCs w:val="21"/>
                <w:highlight w:val="none"/>
                <w:lang w:val="en-US" w:eastAsia="zh-CN" w:bidi="ar"/>
              </w:rPr>
            </w:pP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1</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以在</w:t>
            </w:r>
            <w:r>
              <w:rPr>
                <w:rFonts w:hint="eastAsia" w:ascii="宋体" w:hAnsi="宋体" w:eastAsia="宋体" w:cs="宋体"/>
                <w:b w:val="0"/>
                <w:bCs/>
                <w:color w:val="auto"/>
                <w:spacing w:val="-2"/>
                <w:sz w:val="21"/>
                <w:szCs w:val="21"/>
                <w:highlight w:val="none"/>
              </w:rPr>
              <w:t>投标文件中提供中标（成交）通知书或</w:t>
            </w:r>
            <w:r>
              <w:rPr>
                <w:rFonts w:hint="eastAsia" w:ascii="宋体" w:hAnsi="宋体" w:eastAsia="宋体" w:cs="宋体"/>
                <w:b w:val="0"/>
                <w:bCs/>
                <w:color w:val="auto"/>
                <w:spacing w:val="-2"/>
                <w:sz w:val="21"/>
                <w:szCs w:val="21"/>
                <w:highlight w:val="none"/>
                <w:lang w:val="en-US" w:eastAsia="zh-CN"/>
              </w:rPr>
              <w:t>销售</w:t>
            </w:r>
            <w:r>
              <w:rPr>
                <w:rFonts w:hint="eastAsia" w:ascii="宋体" w:hAnsi="宋体" w:eastAsia="宋体" w:cs="宋体"/>
                <w:b w:val="0"/>
                <w:bCs/>
                <w:color w:val="auto"/>
                <w:spacing w:val="-2"/>
                <w:sz w:val="21"/>
                <w:szCs w:val="21"/>
                <w:highlight w:val="none"/>
              </w:rPr>
              <w:t>合同复印件并加盖</w:t>
            </w:r>
            <w:r>
              <w:rPr>
                <w:rFonts w:hint="eastAsia" w:ascii="宋体" w:hAnsi="宋体" w:eastAsia="宋体" w:cs="宋体"/>
                <w:b w:val="0"/>
                <w:bCs/>
                <w:color w:val="auto"/>
                <w:spacing w:val="-2"/>
                <w:sz w:val="21"/>
                <w:szCs w:val="21"/>
                <w:highlight w:val="none"/>
                <w:lang w:val="en-US" w:eastAsia="zh-CN"/>
              </w:rPr>
              <w:t>投标人</w:t>
            </w:r>
            <w:r>
              <w:rPr>
                <w:rFonts w:hint="eastAsia" w:ascii="宋体" w:hAnsi="宋体" w:eastAsia="宋体" w:cs="宋体"/>
                <w:b w:val="0"/>
                <w:bCs/>
                <w:color w:val="auto"/>
                <w:spacing w:val="-2"/>
                <w:sz w:val="21"/>
                <w:szCs w:val="21"/>
                <w:highlight w:val="none"/>
              </w:rPr>
              <w:t>公章</w:t>
            </w:r>
            <w:r>
              <w:rPr>
                <w:rFonts w:hint="eastAsia" w:ascii="宋体" w:hAnsi="宋体" w:eastAsia="宋体" w:cs="宋体"/>
                <w:b w:val="0"/>
                <w:bCs/>
                <w:color w:val="auto"/>
                <w:spacing w:val="-2"/>
                <w:sz w:val="21"/>
                <w:szCs w:val="21"/>
                <w:highlight w:val="none"/>
                <w:lang w:val="en-US" w:eastAsia="zh-CN"/>
              </w:rPr>
              <w:t>为准。（2）以在</w:t>
            </w:r>
            <w:r>
              <w:rPr>
                <w:rFonts w:hint="eastAsia" w:ascii="宋体" w:hAnsi="宋体" w:eastAsia="宋体" w:cs="宋体"/>
                <w:b w:val="0"/>
                <w:bCs/>
                <w:color w:val="auto"/>
                <w:spacing w:val="-2"/>
                <w:sz w:val="21"/>
                <w:szCs w:val="21"/>
                <w:highlight w:val="none"/>
              </w:rPr>
              <w:t>投标文件中提</w:t>
            </w:r>
            <w:r>
              <w:rPr>
                <w:rFonts w:hint="eastAsia" w:ascii="宋体" w:hAnsi="宋体" w:eastAsia="宋体" w:cs="宋体"/>
                <w:b w:val="0"/>
                <w:bCs/>
                <w:color w:val="auto"/>
                <w:spacing w:val="-2"/>
                <w:sz w:val="21"/>
                <w:szCs w:val="21"/>
                <w:highlight w:val="none"/>
                <w:lang w:val="en-US" w:eastAsia="zh-CN"/>
              </w:rPr>
              <w:t>供相应</w:t>
            </w:r>
            <w:r>
              <w:rPr>
                <w:rFonts w:hint="eastAsia" w:ascii="宋体" w:hAnsi="宋体" w:eastAsia="宋体" w:cs="宋体"/>
                <w:b w:val="0"/>
                <w:bCs/>
                <w:color w:val="auto"/>
                <w:spacing w:val="-2"/>
                <w:sz w:val="21"/>
                <w:szCs w:val="21"/>
                <w:highlight w:val="none"/>
              </w:rPr>
              <w:t>有效的</w:t>
            </w:r>
            <w:r>
              <w:rPr>
                <w:rFonts w:hint="eastAsia" w:ascii="宋体" w:hAnsi="宋体" w:eastAsia="宋体" w:cs="宋体"/>
                <w:b w:val="0"/>
                <w:bCs/>
                <w:color w:val="auto"/>
                <w:spacing w:val="-2"/>
                <w:sz w:val="21"/>
                <w:szCs w:val="21"/>
                <w:highlight w:val="none"/>
                <w:lang w:val="en-US" w:eastAsia="zh-CN"/>
              </w:rPr>
              <w:t>认证</w:t>
            </w:r>
            <w:r>
              <w:rPr>
                <w:rFonts w:hint="eastAsia" w:ascii="宋体" w:hAnsi="宋体" w:eastAsia="宋体" w:cs="宋体"/>
                <w:b w:val="0"/>
                <w:bCs/>
                <w:color w:val="auto"/>
                <w:spacing w:val="-2"/>
                <w:sz w:val="21"/>
                <w:szCs w:val="21"/>
                <w:highlight w:val="none"/>
              </w:rPr>
              <w:t>证书</w:t>
            </w:r>
            <w:r>
              <w:rPr>
                <w:rFonts w:hint="eastAsia" w:ascii="宋体" w:hAnsi="宋体" w:eastAsia="宋体" w:cs="宋体"/>
                <w:b w:val="0"/>
                <w:bCs/>
                <w:color w:val="auto"/>
                <w:spacing w:val="-2"/>
                <w:sz w:val="21"/>
                <w:szCs w:val="21"/>
                <w:highlight w:val="none"/>
                <w:lang w:val="en-US" w:eastAsia="zh-CN"/>
              </w:rPr>
              <w:t>复印件及国家市场监督管理总局全国认证认可信息公共服务平台官网（http://cx.cnca.cn/CertECloud/index/index/page）查询截图打印页，并加盖投标人公章为准</w:t>
            </w:r>
            <w:r>
              <w:rPr>
                <w:rFonts w:hint="eastAsia" w:ascii="宋体" w:hAnsi="宋体" w:eastAsia="宋体" w:cs="宋体"/>
                <w:b w:val="0"/>
                <w:bCs/>
                <w:color w:val="auto"/>
                <w:spacing w:val="-2"/>
                <w:sz w:val="21"/>
                <w:szCs w:val="21"/>
                <w:highlight w:val="none"/>
                <w:lang w:eastAsia="zh-CN"/>
              </w:rPr>
              <w:t>。</w:t>
            </w:r>
          </w:p>
        </w:tc>
      </w:tr>
      <w:tr w14:paraId="2130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02CDA27F">
            <w:pPr>
              <w:spacing w:line="360" w:lineRule="exact"/>
              <w:jc w:val="center"/>
              <w:rPr>
                <w:rFonts w:hint="default" w:ascii="Arial" w:hAnsi="Arial" w:eastAsia="宋体" w:cs="Arial"/>
                <w:b/>
                <w:color w:val="auto"/>
                <w:sz w:val="21"/>
                <w:szCs w:val="21"/>
                <w:highlight w:val="none"/>
                <w:lang w:val="en-US" w:eastAsia="zh-CN"/>
              </w:rPr>
            </w:pPr>
            <w:r>
              <w:rPr>
                <w:rFonts w:hint="eastAsia" w:ascii="Arial" w:hAnsi="Arial" w:cs="Arial"/>
                <w:b/>
                <w:color w:val="auto"/>
                <w:sz w:val="21"/>
                <w:szCs w:val="21"/>
                <w:highlight w:val="none"/>
                <w:lang w:val="en-US" w:eastAsia="zh-CN"/>
              </w:rPr>
              <w:t>7</w:t>
            </w:r>
          </w:p>
        </w:tc>
        <w:tc>
          <w:tcPr>
            <w:tcW w:w="891" w:type="dxa"/>
            <w:noWrap w:val="0"/>
            <w:vAlign w:val="center"/>
          </w:tcPr>
          <w:p w14:paraId="7C52A50D">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145" w:type="dxa"/>
            <w:noWrap w:val="0"/>
            <w:vAlign w:val="center"/>
          </w:tcPr>
          <w:p w14:paraId="0A812E10">
            <w:pPr>
              <w:spacing w:line="360" w:lineRule="exact"/>
              <w:jc w:val="center"/>
              <w:rPr>
                <w:rFonts w:hint="eastAsia" w:ascii="宋体" w:hAnsi="宋体" w:eastAsia="宋体" w:cs="宋体"/>
                <w:bCs/>
                <w:color w:val="auto"/>
                <w:spacing w:val="10"/>
                <w:sz w:val="21"/>
                <w:szCs w:val="21"/>
                <w:highlight w:val="none"/>
              </w:rPr>
            </w:pPr>
            <w:r>
              <w:rPr>
                <w:rFonts w:hint="eastAsia" w:ascii="宋体" w:hAnsi="宋体" w:eastAsia="宋体" w:cs="宋体"/>
                <w:b w:val="0"/>
                <w:bCs/>
                <w:color w:val="auto"/>
                <w:spacing w:val="-2"/>
                <w:sz w:val="21"/>
                <w:szCs w:val="21"/>
                <w:highlight w:val="none"/>
              </w:rPr>
              <w:t>政策功能分</w:t>
            </w:r>
            <w:r>
              <w:rPr>
                <w:rFonts w:hint="eastAsia" w:ascii="宋体" w:hAnsi="宋体" w:eastAsia="宋体" w:cs="宋体"/>
                <w:bCs/>
                <w:color w:val="auto"/>
                <w:spacing w:val="10"/>
                <w:sz w:val="21"/>
                <w:szCs w:val="21"/>
                <w:highlight w:val="none"/>
              </w:rPr>
              <w:t>（</w:t>
            </w:r>
            <w:r>
              <w:rPr>
                <w:rFonts w:hint="eastAsia" w:ascii="宋体" w:hAnsi="宋体" w:eastAsia="宋体" w:cs="宋体"/>
                <w:bCs/>
                <w:color w:val="auto"/>
                <w:spacing w:val="10"/>
                <w:sz w:val="21"/>
                <w:szCs w:val="21"/>
                <w:highlight w:val="none"/>
                <w:lang w:val="en-US" w:eastAsia="zh-CN"/>
              </w:rPr>
              <w:t>客</w:t>
            </w:r>
            <w:r>
              <w:rPr>
                <w:rFonts w:hint="eastAsia" w:ascii="宋体" w:hAnsi="宋体" w:eastAsia="宋体" w:cs="宋体"/>
                <w:bCs/>
                <w:color w:val="auto"/>
                <w:spacing w:val="10"/>
                <w:sz w:val="21"/>
                <w:szCs w:val="21"/>
                <w:highlight w:val="none"/>
              </w:rPr>
              <w:t>观分）</w:t>
            </w:r>
          </w:p>
        </w:tc>
        <w:tc>
          <w:tcPr>
            <w:tcW w:w="4994" w:type="dxa"/>
            <w:noWrap w:val="0"/>
            <w:vAlign w:val="center"/>
          </w:tcPr>
          <w:p w14:paraId="103F5D65">
            <w:pPr>
              <w:pStyle w:val="20"/>
              <w:spacing w:after="0" w:line="360" w:lineRule="exact"/>
              <w:jc w:val="left"/>
              <w:rPr>
                <w:rFonts w:hint="eastAsia" w:ascii="宋体" w:hAnsi="宋体" w:eastAsia="宋体" w:cs="宋体"/>
                <w:b w:val="0"/>
                <w:bCs/>
                <w:color w:val="auto"/>
                <w:spacing w:val="-2"/>
                <w:sz w:val="21"/>
                <w:szCs w:val="21"/>
                <w:highlight w:val="none"/>
              </w:rPr>
            </w:pP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1</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投标产品纳入《财政部发展改革委生态环境部市场监管总局关于调整优化节能产品环境标志产品政府采购执行机制的通知》（财库〔2019〕9号）中节能产品政府采购品目清单的</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得0.5分。</w:t>
            </w:r>
          </w:p>
          <w:p w14:paraId="0AE5F117">
            <w:pPr>
              <w:keepNext w:val="0"/>
              <w:keepLines w:val="0"/>
              <w:widowControl/>
              <w:suppressLineNumbers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lang w:val="en-US" w:eastAsia="zh-CN"/>
              </w:rPr>
              <w:t>2</w:t>
            </w:r>
            <w:r>
              <w:rPr>
                <w:rFonts w:hint="eastAsia" w:ascii="宋体" w:hAnsi="宋体" w:eastAsia="宋体" w:cs="宋体"/>
                <w:b w:val="0"/>
                <w:bCs/>
                <w:color w:val="auto"/>
                <w:spacing w:val="-2"/>
                <w:sz w:val="21"/>
                <w:szCs w:val="21"/>
                <w:highlight w:val="none"/>
                <w:lang w:eastAsia="zh-CN"/>
              </w:rPr>
              <w:t>）</w:t>
            </w:r>
            <w:r>
              <w:rPr>
                <w:rFonts w:hint="eastAsia" w:ascii="宋体" w:hAnsi="宋体" w:eastAsia="宋体" w:cs="宋体"/>
                <w:b w:val="0"/>
                <w:bCs/>
                <w:color w:val="auto"/>
                <w:spacing w:val="-2"/>
                <w:sz w:val="21"/>
                <w:szCs w:val="21"/>
                <w:highlight w:val="none"/>
              </w:rPr>
              <w:t>投标产品纳入《财政部发展改革委生态环境部市场监管总局关于调整优化节能产品 环境标志产品政府采购执行机制的通知》（财库〔2019〕9号）中环境标志产 品政府采购品目清单的，得0.5分。</w:t>
            </w:r>
          </w:p>
        </w:tc>
        <w:tc>
          <w:tcPr>
            <w:tcW w:w="648" w:type="dxa"/>
            <w:noWrap w:val="0"/>
            <w:vAlign w:val="center"/>
          </w:tcPr>
          <w:p w14:paraId="4A61D53F">
            <w:pPr>
              <w:spacing w:line="360" w:lineRule="exact"/>
              <w:jc w:val="center"/>
              <w:rPr>
                <w:rFonts w:hint="default" w:ascii="Arial" w:hAnsi="Arial" w:cs="Arial" w:eastAsiaTheme="minorEastAsia"/>
                <w:color w:val="auto"/>
                <w:sz w:val="18"/>
                <w:szCs w:val="18"/>
                <w:highlight w:val="none"/>
                <w:lang w:val="en-US" w:eastAsia="zh-CN"/>
              </w:rPr>
            </w:pPr>
            <w:r>
              <w:rPr>
                <w:rFonts w:hint="default" w:ascii="Arial" w:hAnsi="Arial" w:cs="Arial" w:eastAsiaTheme="minorEastAsia"/>
                <w:color w:val="auto"/>
                <w:sz w:val="21"/>
                <w:szCs w:val="21"/>
                <w:highlight w:val="none"/>
                <w:lang w:val="en-US" w:eastAsia="zh-CN"/>
              </w:rPr>
              <w:t>0-</w:t>
            </w:r>
            <w:r>
              <w:rPr>
                <w:rFonts w:hint="eastAsia" w:ascii="Arial" w:hAnsi="Arial" w:cs="Arial" w:eastAsiaTheme="minorEastAsia"/>
                <w:color w:val="auto"/>
                <w:sz w:val="21"/>
                <w:szCs w:val="21"/>
                <w:highlight w:val="none"/>
                <w:lang w:val="en-US" w:eastAsia="zh-CN"/>
              </w:rPr>
              <w:t>1</w:t>
            </w:r>
          </w:p>
        </w:tc>
        <w:tc>
          <w:tcPr>
            <w:tcW w:w="2436" w:type="dxa"/>
            <w:noWrap w:val="0"/>
            <w:vAlign w:val="center"/>
          </w:tcPr>
          <w:p w14:paraId="17745342">
            <w:pPr>
              <w:numPr>
                <w:ilvl w:val="0"/>
                <w:numId w:val="23"/>
              </w:numPr>
              <w:spacing w:line="360" w:lineRule="exact"/>
              <w:rPr>
                <w:rFonts w:hint="eastAsia" w:ascii="宋体" w:hAnsi="宋体" w:eastAsia="宋体" w:cs="宋体"/>
                <w:b w:val="0"/>
                <w:bCs/>
                <w:color w:val="auto"/>
                <w:spacing w:val="-2"/>
                <w:sz w:val="21"/>
                <w:szCs w:val="21"/>
                <w:highlight w:val="none"/>
                <w:lang w:eastAsia="zh-CN"/>
              </w:rPr>
            </w:pPr>
            <w:r>
              <w:rPr>
                <w:rFonts w:hint="eastAsia" w:ascii="宋体" w:hAnsi="宋体" w:eastAsia="宋体" w:cs="宋体"/>
                <w:b w:val="0"/>
                <w:bCs/>
                <w:color w:val="auto"/>
                <w:spacing w:val="-2"/>
                <w:sz w:val="21"/>
                <w:szCs w:val="21"/>
                <w:highlight w:val="none"/>
              </w:rPr>
              <w:t>适用于非强制采购节能产品，产品提供投标产品所属节能产品认证证书复印件并加盖单位公章</w:t>
            </w:r>
            <w:r>
              <w:rPr>
                <w:rFonts w:hint="eastAsia" w:ascii="宋体" w:hAnsi="宋体" w:eastAsia="宋体" w:cs="宋体"/>
                <w:b w:val="0"/>
                <w:bCs/>
                <w:color w:val="auto"/>
                <w:spacing w:val="-2"/>
                <w:sz w:val="21"/>
                <w:szCs w:val="21"/>
                <w:highlight w:val="none"/>
                <w:lang w:eastAsia="zh-CN"/>
              </w:rPr>
              <w:t>。</w:t>
            </w:r>
          </w:p>
          <w:p w14:paraId="2CFE7268">
            <w:pPr>
              <w:numPr>
                <w:ilvl w:val="0"/>
                <w:numId w:val="23"/>
              </w:numPr>
              <w:spacing w:line="360" w:lineRule="exact"/>
              <w:rPr>
                <w:rFonts w:hint="eastAsia" w:ascii="宋体" w:hAnsi="宋体" w:eastAsia="宋体" w:cs="宋体"/>
                <w:b w:val="0"/>
                <w:bCs/>
                <w:color w:val="auto"/>
                <w:spacing w:val="-2"/>
                <w:sz w:val="21"/>
                <w:szCs w:val="21"/>
                <w:highlight w:val="none"/>
                <w:lang w:eastAsia="zh-CN"/>
              </w:rPr>
            </w:pPr>
            <w:r>
              <w:rPr>
                <w:rFonts w:hint="eastAsia" w:ascii="宋体" w:hAnsi="宋体" w:eastAsia="宋体" w:cs="宋体"/>
                <w:b w:val="0"/>
                <w:bCs/>
                <w:color w:val="auto"/>
                <w:spacing w:val="-2"/>
                <w:sz w:val="21"/>
                <w:szCs w:val="21"/>
                <w:highlight w:val="none"/>
              </w:rPr>
              <w:t>提供投标产品所属环境标志产品认证证书复印件并加盖单位公章</w:t>
            </w:r>
            <w:r>
              <w:rPr>
                <w:rFonts w:hint="eastAsia" w:ascii="宋体" w:hAnsi="宋体" w:eastAsia="宋体" w:cs="宋体"/>
                <w:b w:val="0"/>
                <w:bCs/>
                <w:color w:val="auto"/>
                <w:spacing w:val="-2"/>
                <w:sz w:val="21"/>
                <w:szCs w:val="21"/>
                <w:highlight w:val="none"/>
                <w:lang w:eastAsia="zh-CN"/>
              </w:rPr>
              <w:t>。</w:t>
            </w:r>
          </w:p>
        </w:tc>
      </w:tr>
      <w:tr w14:paraId="67BC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4BE83CDF">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8</w:t>
            </w:r>
          </w:p>
        </w:tc>
        <w:tc>
          <w:tcPr>
            <w:tcW w:w="2036" w:type="dxa"/>
            <w:gridSpan w:val="2"/>
            <w:noWrap w:val="0"/>
            <w:vAlign w:val="center"/>
          </w:tcPr>
          <w:p w14:paraId="43F69788">
            <w:pPr>
              <w:spacing w:line="360" w:lineRule="exact"/>
              <w:jc w:val="center"/>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lang w:eastAsia="zh-CN"/>
              </w:rPr>
              <w:t>综合得分</w:t>
            </w:r>
          </w:p>
        </w:tc>
        <w:tc>
          <w:tcPr>
            <w:tcW w:w="8078" w:type="dxa"/>
            <w:gridSpan w:val="3"/>
            <w:noWrap w:val="0"/>
            <w:vAlign w:val="center"/>
          </w:tcPr>
          <w:p w14:paraId="0A888294">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=1+2+3+4+5+6+7（各项评分分值计算保留小数点后两位，小数点后第三位“四舍五入”）</w:t>
            </w:r>
          </w:p>
          <w:p w14:paraId="358E853B">
            <w:pPr>
              <w:rPr>
                <w:rFonts w:hint="eastAsia" w:asciiTheme="minorEastAsia" w:hAnsiTheme="minorEastAsia" w:eastAsiaTheme="minorEastAsia" w:cstheme="minorEastAsia"/>
                <w:color w:val="auto"/>
                <w:sz w:val="21"/>
                <w:szCs w:val="21"/>
                <w:highlight w:val="none"/>
              </w:rPr>
            </w:pPr>
          </w:p>
        </w:tc>
      </w:tr>
    </w:tbl>
    <w:p w14:paraId="6DDD7BA8">
      <w:pPr>
        <w:rPr>
          <w:rFonts w:hint="eastAsia"/>
          <w:b/>
          <w:bCs/>
          <w:color w:val="auto"/>
          <w:szCs w:val="21"/>
          <w:highlight w:val="none"/>
        </w:rPr>
      </w:pPr>
    </w:p>
    <w:p w14:paraId="1E85ED6B">
      <w:pPr>
        <w:rPr>
          <w:rFonts w:hint="eastAsia"/>
          <w:b/>
          <w:bCs/>
          <w:color w:val="auto"/>
          <w:szCs w:val="21"/>
          <w:highlight w:val="none"/>
        </w:rPr>
      </w:pPr>
    </w:p>
    <w:p w14:paraId="25A27182">
      <w:pPr>
        <w:rPr>
          <w:b/>
          <w:bCs/>
          <w:color w:val="auto"/>
          <w:szCs w:val="21"/>
          <w:highlight w:val="none"/>
        </w:rPr>
      </w:pPr>
      <w:r>
        <w:rPr>
          <w:rFonts w:hint="eastAsia"/>
          <w:b/>
          <w:bCs/>
          <w:color w:val="auto"/>
          <w:szCs w:val="21"/>
          <w:highlight w:val="none"/>
        </w:rPr>
        <w:t>注：</w:t>
      </w:r>
      <w:r>
        <w:rPr>
          <w:b/>
          <w:bCs/>
          <w:color w:val="auto"/>
          <w:szCs w:val="21"/>
          <w:highlight w:val="none"/>
        </w:rPr>
        <w:t>政策性扣除计算方法</w:t>
      </w:r>
    </w:p>
    <w:p w14:paraId="03D51F78">
      <w:pPr>
        <w:spacing w:before="120" w:line="320" w:lineRule="atLeast"/>
        <w:ind w:firstLine="420"/>
        <w:rPr>
          <w:color w:val="auto"/>
          <w:szCs w:val="21"/>
          <w:highlight w:val="none"/>
        </w:rPr>
      </w:pPr>
      <w:r>
        <w:rPr>
          <w:rFonts w:hint="eastAsia"/>
          <w:color w:val="auto"/>
          <w:szCs w:val="21"/>
          <w:highlight w:val="none"/>
          <w:lang w:val="en-US" w:eastAsia="zh-CN"/>
        </w:rPr>
        <w:t>1）小微企业的价格扣除计算:</w:t>
      </w:r>
      <w:r>
        <w:rPr>
          <w:rFonts w:hint="eastAsia"/>
          <w:color w:val="auto"/>
          <w:szCs w:val="21"/>
          <w:highlight w:val="none"/>
        </w:rPr>
        <w:t>供应商投标</w:t>
      </w:r>
      <w:r>
        <w:rPr>
          <w:color w:val="auto"/>
          <w:szCs w:val="21"/>
          <w:highlight w:val="none"/>
        </w:rPr>
        <w:t>报价将按相应比例进行扣除，用扣除后的价格参与评审（计算价格分）</w:t>
      </w:r>
      <w:r>
        <w:rPr>
          <w:rFonts w:hint="eastAsia"/>
          <w:color w:val="auto"/>
          <w:szCs w:val="21"/>
          <w:highlight w:val="none"/>
        </w:rPr>
        <w:t>，价格扣除比例分别如下：</w:t>
      </w:r>
    </w:p>
    <w:tbl>
      <w:tblPr>
        <w:tblStyle w:val="57"/>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2B85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tcPr>
          <w:p w14:paraId="2DDEE14F">
            <w:pPr>
              <w:spacing w:before="120" w:line="320" w:lineRule="atLeast"/>
              <w:jc w:val="center"/>
              <w:rPr>
                <w:color w:val="auto"/>
                <w:szCs w:val="21"/>
                <w:highlight w:val="none"/>
              </w:rPr>
            </w:pPr>
            <w:r>
              <w:rPr>
                <w:rFonts w:hint="eastAsia"/>
                <w:color w:val="auto"/>
                <w:szCs w:val="21"/>
                <w:highlight w:val="none"/>
              </w:rPr>
              <w:t>独立投标</w:t>
            </w:r>
          </w:p>
        </w:tc>
        <w:tc>
          <w:tcPr>
            <w:tcW w:w="4962" w:type="dxa"/>
            <w:noWrap w:val="0"/>
          </w:tcPr>
          <w:p w14:paraId="474CD023">
            <w:pPr>
              <w:spacing w:before="120" w:line="320" w:lineRule="atLeast"/>
              <w:rPr>
                <w:color w:val="auto"/>
                <w:szCs w:val="21"/>
                <w:highlight w:val="none"/>
              </w:rPr>
            </w:pPr>
            <w:r>
              <w:rPr>
                <w:rFonts w:hint="eastAsia"/>
                <w:color w:val="auto"/>
                <w:szCs w:val="21"/>
                <w:highlight w:val="none"/>
              </w:rPr>
              <w:t>供应商所提供产品制造商均为所列企业之一（小型企业、微型企业、残疾人福利企业、监狱企业）</w:t>
            </w:r>
          </w:p>
        </w:tc>
        <w:tc>
          <w:tcPr>
            <w:tcW w:w="2551" w:type="dxa"/>
            <w:noWrap w:val="0"/>
          </w:tcPr>
          <w:p w14:paraId="4BE454E2">
            <w:pPr>
              <w:spacing w:before="120" w:line="320" w:lineRule="atLeast"/>
              <w:rPr>
                <w:color w:val="auto"/>
                <w:szCs w:val="21"/>
                <w:highlight w:val="none"/>
              </w:rPr>
            </w:pPr>
            <w:r>
              <w:rPr>
                <w:rFonts w:hint="eastAsia"/>
                <w:color w:val="auto"/>
                <w:szCs w:val="21"/>
                <w:highlight w:val="none"/>
              </w:rPr>
              <w:t>价格扣除</w:t>
            </w:r>
            <w:r>
              <w:rPr>
                <w:rFonts w:hint="eastAsia"/>
                <w:color w:val="auto"/>
                <w:szCs w:val="21"/>
                <w:highlight w:val="none"/>
                <w:lang w:eastAsia="zh-CN"/>
              </w:rPr>
              <w:t>投标报价</w:t>
            </w:r>
            <w:r>
              <w:rPr>
                <w:rFonts w:hint="eastAsia"/>
                <w:color w:val="auto"/>
                <w:szCs w:val="21"/>
                <w:highlight w:val="none"/>
              </w:rPr>
              <w:t>的</w:t>
            </w:r>
            <w:r>
              <w:rPr>
                <w:rFonts w:hint="eastAsia"/>
                <w:color w:val="auto"/>
                <w:szCs w:val="21"/>
                <w:highlight w:val="none"/>
                <w:lang w:val="en-US" w:eastAsia="zh-CN"/>
              </w:rPr>
              <w:t>1</w:t>
            </w:r>
            <w:r>
              <w:rPr>
                <w:rFonts w:hint="eastAsia"/>
                <w:color w:val="auto"/>
                <w:szCs w:val="21"/>
                <w:highlight w:val="none"/>
              </w:rPr>
              <w:t>0%</w:t>
            </w:r>
          </w:p>
        </w:tc>
      </w:tr>
      <w:tr w14:paraId="6B29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noWrap w:val="0"/>
          </w:tcPr>
          <w:p w14:paraId="305CC83A">
            <w:pPr>
              <w:spacing w:before="120" w:line="320" w:lineRule="atLeast"/>
              <w:jc w:val="center"/>
              <w:rPr>
                <w:color w:val="auto"/>
                <w:szCs w:val="21"/>
                <w:highlight w:val="none"/>
              </w:rPr>
            </w:pPr>
            <w:r>
              <w:rPr>
                <w:rFonts w:hint="eastAsia"/>
                <w:color w:val="auto"/>
                <w:szCs w:val="21"/>
                <w:highlight w:val="none"/>
              </w:rPr>
              <w:t>联合体或</w:t>
            </w:r>
          </w:p>
          <w:p w14:paraId="10E59BEA">
            <w:pPr>
              <w:spacing w:before="120" w:line="320" w:lineRule="atLeast"/>
              <w:jc w:val="center"/>
              <w:rPr>
                <w:color w:val="auto"/>
                <w:szCs w:val="21"/>
                <w:highlight w:val="none"/>
              </w:rPr>
            </w:pPr>
            <w:r>
              <w:rPr>
                <w:rFonts w:hint="eastAsia"/>
                <w:color w:val="auto"/>
                <w:szCs w:val="21"/>
                <w:highlight w:val="none"/>
              </w:rPr>
              <w:t>分包</w:t>
            </w:r>
          </w:p>
        </w:tc>
        <w:tc>
          <w:tcPr>
            <w:tcW w:w="4962" w:type="dxa"/>
            <w:noWrap w:val="0"/>
          </w:tcPr>
          <w:p w14:paraId="02C27FF2">
            <w:pPr>
              <w:spacing w:before="120" w:line="320" w:lineRule="atLeast"/>
              <w:rPr>
                <w:color w:val="auto"/>
                <w:szCs w:val="21"/>
                <w:highlight w:val="none"/>
              </w:rPr>
            </w:pPr>
            <w:r>
              <w:rPr>
                <w:rFonts w:hint="eastAsia"/>
                <w:color w:val="auto"/>
                <w:szCs w:val="21"/>
                <w:highlight w:val="none"/>
              </w:rPr>
              <w:t>小微企业制造商承担的金额比例为1</w:t>
            </w:r>
            <w:r>
              <w:rPr>
                <w:color w:val="auto"/>
                <w:szCs w:val="21"/>
                <w:highlight w:val="none"/>
              </w:rPr>
              <w:t>00</w:t>
            </w:r>
            <w:r>
              <w:rPr>
                <w:rFonts w:hint="eastAsia"/>
                <w:color w:val="auto"/>
                <w:szCs w:val="21"/>
                <w:highlight w:val="none"/>
              </w:rPr>
              <w:t>%</w:t>
            </w:r>
          </w:p>
        </w:tc>
        <w:tc>
          <w:tcPr>
            <w:tcW w:w="2551" w:type="dxa"/>
            <w:noWrap w:val="0"/>
          </w:tcPr>
          <w:p w14:paraId="57202422">
            <w:pPr>
              <w:spacing w:before="120" w:line="320" w:lineRule="atLeast"/>
              <w:rPr>
                <w:color w:val="auto"/>
                <w:szCs w:val="21"/>
                <w:highlight w:val="none"/>
              </w:rPr>
            </w:pPr>
            <w:r>
              <w:rPr>
                <w:rFonts w:hint="eastAsia"/>
                <w:color w:val="auto"/>
                <w:szCs w:val="21"/>
                <w:highlight w:val="none"/>
              </w:rPr>
              <w:t>价格扣除</w:t>
            </w:r>
            <w:r>
              <w:rPr>
                <w:rFonts w:hint="eastAsia"/>
                <w:color w:val="auto"/>
                <w:szCs w:val="21"/>
                <w:highlight w:val="none"/>
                <w:lang w:eastAsia="zh-CN"/>
              </w:rPr>
              <w:t>投标报价</w:t>
            </w:r>
            <w:r>
              <w:rPr>
                <w:rFonts w:hint="eastAsia"/>
                <w:color w:val="auto"/>
                <w:szCs w:val="21"/>
                <w:highlight w:val="none"/>
              </w:rPr>
              <w:t>的</w:t>
            </w:r>
            <w:r>
              <w:rPr>
                <w:rFonts w:hint="eastAsia"/>
                <w:color w:val="auto"/>
                <w:szCs w:val="21"/>
                <w:highlight w:val="none"/>
                <w:lang w:val="en-US" w:eastAsia="zh-CN"/>
              </w:rPr>
              <w:t>1</w:t>
            </w:r>
            <w:r>
              <w:rPr>
                <w:rFonts w:hint="eastAsia"/>
                <w:color w:val="auto"/>
                <w:szCs w:val="21"/>
                <w:highlight w:val="none"/>
              </w:rPr>
              <w:t>0%</w:t>
            </w:r>
          </w:p>
        </w:tc>
      </w:tr>
      <w:tr w14:paraId="4DE2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noWrap w:val="0"/>
          </w:tcPr>
          <w:p w14:paraId="69A44939">
            <w:pPr>
              <w:spacing w:before="120" w:line="320" w:lineRule="atLeast"/>
              <w:rPr>
                <w:color w:val="auto"/>
                <w:szCs w:val="21"/>
                <w:highlight w:val="none"/>
              </w:rPr>
            </w:pPr>
          </w:p>
        </w:tc>
        <w:tc>
          <w:tcPr>
            <w:tcW w:w="4962" w:type="dxa"/>
            <w:noWrap w:val="0"/>
          </w:tcPr>
          <w:p w14:paraId="1FFEC6EF">
            <w:pPr>
              <w:spacing w:before="120" w:line="320" w:lineRule="atLeast"/>
              <w:rPr>
                <w:color w:val="auto"/>
                <w:szCs w:val="21"/>
                <w:highlight w:val="none"/>
              </w:rPr>
            </w:pPr>
            <w:r>
              <w:rPr>
                <w:rFonts w:hint="eastAsia"/>
                <w:color w:val="auto"/>
                <w:szCs w:val="21"/>
                <w:highlight w:val="none"/>
              </w:rPr>
              <w:t>小微企业制造商承担的金额比例达到合同总金额3</w:t>
            </w:r>
            <w:r>
              <w:rPr>
                <w:color w:val="auto"/>
                <w:szCs w:val="21"/>
                <w:highlight w:val="none"/>
              </w:rPr>
              <w:t>0%</w:t>
            </w:r>
            <w:r>
              <w:rPr>
                <w:rFonts w:hint="eastAsia"/>
                <w:color w:val="auto"/>
                <w:szCs w:val="21"/>
                <w:highlight w:val="none"/>
              </w:rPr>
              <w:t>以上</w:t>
            </w:r>
          </w:p>
        </w:tc>
        <w:tc>
          <w:tcPr>
            <w:tcW w:w="2551" w:type="dxa"/>
            <w:noWrap w:val="0"/>
          </w:tcPr>
          <w:p w14:paraId="7CCBBD79">
            <w:pPr>
              <w:spacing w:before="120" w:line="320" w:lineRule="atLeast"/>
              <w:rPr>
                <w:color w:val="auto"/>
                <w:szCs w:val="21"/>
                <w:highlight w:val="none"/>
              </w:rPr>
            </w:pPr>
            <w:r>
              <w:rPr>
                <w:rFonts w:hint="eastAsia"/>
                <w:color w:val="auto"/>
                <w:szCs w:val="21"/>
                <w:highlight w:val="none"/>
              </w:rPr>
              <w:t>价格扣除</w:t>
            </w:r>
            <w:r>
              <w:rPr>
                <w:rFonts w:hint="eastAsia"/>
                <w:color w:val="auto"/>
                <w:szCs w:val="21"/>
                <w:highlight w:val="none"/>
                <w:lang w:eastAsia="zh-CN"/>
              </w:rPr>
              <w:t>投标报价</w:t>
            </w:r>
            <w:r>
              <w:rPr>
                <w:rFonts w:hint="eastAsia"/>
                <w:color w:val="auto"/>
                <w:szCs w:val="21"/>
                <w:highlight w:val="none"/>
              </w:rPr>
              <w:t>的</w:t>
            </w:r>
            <w:r>
              <w:rPr>
                <w:color w:val="auto"/>
                <w:szCs w:val="21"/>
                <w:highlight w:val="none"/>
              </w:rPr>
              <w:t>4</w:t>
            </w:r>
            <w:r>
              <w:rPr>
                <w:rFonts w:hint="eastAsia"/>
                <w:color w:val="auto"/>
                <w:szCs w:val="21"/>
                <w:highlight w:val="none"/>
              </w:rPr>
              <w:t>%</w:t>
            </w:r>
          </w:p>
        </w:tc>
      </w:tr>
      <w:tr w14:paraId="0C8E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noWrap w:val="0"/>
          </w:tcPr>
          <w:p w14:paraId="270301AC">
            <w:pPr>
              <w:spacing w:before="120" w:line="320" w:lineRule="atLeast"/>
              <w:rPr>
                <w:color w:val="auto"/>
                <w:szCs w:val="21"/>
                <w:highlight w:val="none"/>
              </w:rPr>
            </w:pPr>
            <w:r>
              <w:rPr>
                <w:rFonts w:hint="eastAsia"/>
                <w:color w:val="auto"/>
                <w:szCs w:val="21"/>
                <w:highlight w:val="none"/>
              </w:rPr>
              <w:t>注：未提供《中小企业声明函》、《分包意向协议书》或《联合体协议书》或不符合条件的，不享受价格扣除优惠。</w:t>
            </w:r>
          </w:p>
        </w:tc>
      </w:tr>
    </w:tbl>
    <w:p w14:paraId="2D28C304">
      <w:pPr>
        <w:ind w:firstLine="420"/>
        <w:rPr>
          <w:rFonts w:hint="eastAsia"/>
          <w:color w:val="auto"/>
          <w:highlight w:val="none"/>
          <w:lang w:val="en-US" w:eastAsia="zh-CN"/>
        </w:rPr>
      </w:pPr>
    </w:p>
    <w:p w14:paraId="0295653B">
      <w:pPr>
        <w:ind w:firstLine="420"/>
        <w:rPr>
          <w:color w:val="auto"/>
          <w:highlight w:val="none"/>
        </w:rPr>
      </w:pPr>
      <w:r>
        <w:rPr>
          <w:rFonts w:hint="eastAsia"/>
          <w:color w:val="auto"/>
          <w:highlight w:val="none"/>
          <w:lang w:val="en-US" w:eastAsia="zh-CN"/>
        </w:rPr>
        <w:t>2）本国产品的价格扣除计算：</w:t>
      </w:r>
      <w:r>
        <w:rPr>
          <w:rFonts w:hint="eastAsia"/>
          <w:color w:val="auto"/>
          <w:highlight w:val="none"/>
        </w:rPr>
        <w:t>供应商投标</w:t>
      </w:r>
      <w:r>
        <w:rPr>
          <w:color w:val="auto"/>
          <w:highlight w:val="none"/>
        </w:rPr>
        <w:t>报价将按相应比例进行扣除，用扣除后的价格参与评审（计算价格分）</w:t>
      </w:r>
      <w:r>
        <w:rPr>
          <w:rFonts w:hint="eastAsia"/>
          <w:color w:val="auto"/>
          <w:highlight w:val="none"/>
        </w:rPr>
        <w:t>，价格扣除比例分别如下：</w:t>
      </w:r>
    </w:p>
    <w:tbl>
      <w:tblPr>
        <w:tblStyle w:val="56"/>
        <w:tblW w:w="0" w:type="auto"/>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1"/>
        <w:gridCol w:w="4550"/>
        <w:gridCol w:w="2551"/>
      </w:tblGrid>
      <w:tr w14:paraId="42A5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1" w:type="dxa"/>
            <w:shd w:val="clear" w:color="auto" w:fill="auto"/>
            <w:noWrap w:val="0"/>
            <w:vAlign w:val="top"/>
          </w:tcPr>
          <w:p w14:paraId="1798C7D1">
            <w:pPr>
              <w:rPr>
                <w:rFonts w:hint="default" w:eastAsia="宋体"/>
                <w:color w:val="auto"/>
                <w:highlight w:val="none"/>
                <w:lang w:val="en-US" w:eastAsia="zh-CN"/>
              </w:rPr>
            </w:pPr>
            <w:r>
              <w:rPr>
                <w:rFonts w:hint="eastAsia"/>
                <w:color w:val="auto"/>
                <w:highlight w:val="none"/>
                <w:lang w:val="en-US" w:eastAsia="zh-CN"/>
              </w:rPr>
              <w:t>采购项目或者采购包中为单一产品</w:t>
            </w:r>
          </w:p>
        </w:tc>
        <w:tc>
          <w:tcPr>
            <w:tcW w:w="4550" w:type="dxa"/>
            <w:shd w:val="clear" w:color="auto" w:fill="auto"/>
            <w:noWrap w:val="0"/>
            <w:vAlign w:val="top"/>
          </w:tcPr>
          <w:p w14:paraId="79F9D1AD">
            <w:pPr>
              <w:rPr>
                <w:rFonts w:hint="eastAsia" w:eastAsia="宋体"/>
                <w:color w:val="auto"/>
                <w:highlight w:val="none"/>
                <w:lang w:eastAsia="zh-CN"/>
              </w:rPr>
            </w:pPr>
            <w:r>
              <w:rPr>
                <w:rFonts w:hint="eastAsia"/>
                <w:color w:val="auto"/>
                <w:highlight w:val="none"/>
              </w:rPr>
              <w:t>若</w:t>
            </w:r>
            <w:r>
              <w:rPr>
                <w:rFonts w:hint="eastAsia"/>
                <w:color w:val="auto"/>
                <w:highlight w:val="none"/>
                <w:lang w:val="en-US" w:eastAsia="zh-CN"/>
              </w:rPr>
              <w:t>本项目</w:t>
            </w:r>
            <w:r>
              <w:rPr>
                <w:rFonts w:hint="eastAsia"/>
                <w:color w:val="auto"/>
                <w:highlight w:val="none"/>
              </w:rPr>
              <w:t>既有本国产品又有非本国产品参与竞争的</w:t>
            </w:r>
            <w:r>
              <w:rPr>
                <w:rFonts w:hint="eastAsia"/>
                <w:color w:val="auto"/>
                <w:highlight w:val="none"/>
                <w:lang w:eastAsia="zh-CN"/>
              </w:rPr>
              <w:t>，</w:t>
            </w:r>
            <w:r>
              <w:rPr>
                <w:rFonts w:hint="eastAsia"/>
                <w:color w:val="auto"/>
                <w:highlight w:val="none"/>
              </w:rPr>
              <w:t>供应商所提供</w:t>
            </w:r>
            <w:r>
              <w:rPr>
                <w:rFonts w:hint="eastAsia"/>
                <w:color w:val="auto"/>
                <w:highlight w:val="none"/>
                <w:lang w:val="en-US" w:eastAsia="zh-CN"/>
              </w:rPr>
              <w:t>符合</w:t>
            </w:r>
            <w:r>
              <w:rPr>
                <w:rFonts w:hint="eastAsia"/>
                <w:color w:val="auto"/>
                <w:highlight w:val="none"/>
              </w:rPr>
              <w:t>本国产品标准的产品</w:t>
            </w:r>
          </w:p>
        </w:tc>
        <w:tc>
          <w:tcPr>
            <w:tcW w:w="2551" w:type="dxa"/>
            <w:vMerge w:val="restart"/>
            <w:shd w:val="clear" w:color="auto" w:fill="auto"/>
            <w:noWrap w:val="0"/>
            <w:vAlign w:val="top"/>
          </w:tcPr>
          <w:p w14:paraId="1FB173C6">
            <w:pPr>
              <w:rPr>
                <w:rFonts w:hint="eastAsia"/>
                <w:color w:val="auto"/>
                <w:highlight w:val="none"/>
              </w:rPr>
            </w:pPr>
          </w:p>
          <w:p w14:paraId="0F0143C4">
            <w:pPr>
              <w:rPr>
                <w:rFonts w:hint="eastAsia"/>
                <w:color w:val="auto"/>
                <w:highlight w:val="none"/>
              </w:rPr>
            </w:pPr>
          </w:p>
          <w:p w14:paraId="36CADF23">
            <w:pPr>
              <w:rPr>
                <w:rFonts w:hint="eastAsia" w:ascii="Times New Roman" w:hAnsi="Times New Roman" w:eastAsia="宋体" w:cs="Times New Roman"/>
                <w:color w:val="auto"/>
                <w:highlight w:val="none"/>
                <w:lang w:val="en-US" w:eastAsia="zh-CN"/>
              </w:rPr>
            </w:pPr>
          </w:p>
          <w:p w14:paraId="4CC7E4B1">
            <w:pPr>
              <w:rPr>
                <w:color w:val="auto"/>
                <w:highlight w:val="none"/>
              </w:rPr>
            </w:pPr>
            <w:r>
              <w:rPr>
                <w:rFonts w:hint="eastAsia" w:ascii="Times New Roman" w:hAnsi="Times New Roman" w:eastAsia="宋体" w:cs="Times New Roman"/>
                <w:color w:val="auto"/>
                <w:highlight w:val="none"/>
                <w:lang w:val="en-US" w:eastAsia="zh-CN"/>
              </w:rPr>
              <w:t>价格扣除全部产品的总报价的20%</w:t>
            </w:r>
          </w:p>
        </w:tc>
      </w:tr>
      <w:tr w14:paraId="33C09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1" w:type="dxa"/>
            <w:shd w:val="clear" w:color="auto" w:fill="auto"/>
            <w:noWrap w:val="0"/>
            <w:vAlign w:val="top"/>
          </w:tcPr>
          <w:p w14:paraId="6FD40C55">
            <w:pPr>
              <w:rPr>
                <w:rFonts w:hint="eastAsia"/>
                <w:color w:val="auto"/>
                <w:highlight w:val="none"/>
              </w:rPr>
            </w:pPr>
            <w:r>
              <w:rPr>
                <w:rFonts w:hint="eastAsia"/>
                <w:color w:val="auto"/>
                <w:highlight w:val="none"/>
              </w:rPr>
              <w:t>采购项目或者采购包中含有多种产品</w:t>
            </w:r>
          </w:p>
        </w:tc>
        <w:tc>
          <w:tcPr>
            <w:tcW w:w="4550" w:type="dxa"/>
            <w:shd w:val="clear" w:color="auto" w:fill="auto"/>
            <w:noWrap w:val="0"/>
            <w:vAlign w:val="top"/>
          </w:tcPr>
          <w:p w14:paraId="26610C6E">
            <w:pPr>
              <w:rPr>
                <w:rFonts w:hint="eastAsia" w:eastAsia="宋体"/>
                <w:color w:val="auto"/>
                <w:highlight w:val="none"/>
                <w:lang w:eastAsia="zh-CN"/>
              </w:rPr>
            </w:pPr>
            <w:r>
              <w:rPr>
                <w:rFonts w:hint="eastAsia"/>
                <w:color w:val="auto"/>
                <w:highlight w:val="none"/>
              </w:rPr>
              <w:t>若</w:t>
            </w:r>
            <w:r>
              <w:rPr>
                <w:rFonts w:hint="eastAsia"/>
                <w:color w:val="auto"/>
                <w:highlight w:val="none"/>
                <w:lang w:val="en-US" w:eastAsia="zh-CN"/>
              </w:rPr>
              <w:t>本项目</w:t>
            </w:r>
            <w:r>
              <w:rPr>
                <w:rFonts w:hint="eastAsia"/>
                <w:color w:val="auto"/>
                <w:highlight w:val="none"/>
              </w:rPr>
              <w:t>既有本国产品又有非本国产品参与竞争的</w:t>
            </w:r>
            <w:r>
              <w:rPr>
                <w:rFonts w:hint="eastAsia"/>
                <w:color w:val="auto"/>
                <w:highlight w:val="none"/>
                <w:lang w:eastAsia="zh-CN"/>
              </w:rPr>
              <w:t>，</w:t>
            </w:r>
            <w:r>
              <w:rPr>
                <w:rFonts w:hint="eastAsia"/>
                <w:color w:val="auto"/>
                <w:highlight w:val="none"/>
              </w:rPr>
              <w:t>供应商</w:t>
            </w:r>
            <w:r>
              <w:rPr>
                <w:rFonts w:hint="eastAsia"/>
                <w:color w:val="auto"/>
                <w:highlight w:val="none"/>
                <w:lang w:val="en-US" w:eastAsia="zh-CN"/>
              </w:rPr>
              <w:t>提供符合</w:t>
            </w:r>
            <w:r>
              <w:rPr>
                <w:rFonts w:hint="eastAsia"/>
                <w:color w:val="auto"/>
                <w:highlight w:val="none"/>
              </w:rPr>
              <w:t>本国产品标准的产品成本之和占该供应商提供的全部产品成本之和的比例达到80%以上时</w:t>
            </w:r>
            <w:r>
              <w:rPr>
                <w:rFonts w:hint="eastAsia"/>
                <w:color w:val="auto"/>
                <w:highlight w:val="none"/>
                <w:lang w:eastAsia="zh-CN"/>
              </w:rPr>
              <w:t>。</w:t>
            </w:r>
            <w:r>
              <w:rPr>
                <w:rFonts w:hint="eastAsia"/>
                <w:b/>
                <w:bCs/>
                <w:color w:val="auto"/>
                <w:highlight w:val="none"/>
                <w:lang w:val="en-US" w:eastAsia="zh-CN"/>
              </w:rPr>
              <w:t>供应商须在投标文</w:t>
            </w:r>
            <w:ins w:id="136" w:author="JDZBzheng" w:date="2026-06-30T12:02:32Z">
              <w:r>
                <w:rPr>
                  <w:rFonts w:hint="eastAsia"/>
                  <w:b/>
                  <w:bCs/>
                  <w:color w:val="auto"/>
                  <w:highlight w:val="none"/>
                  <w:lang w:val="en-US" w:eastAsia="zh-CN"/>
                </w:rPr>
                <w:t>件</w:t>
              </w:r>
            </w:ins>
            <w:ins w:id="137" w:author="JDZBzheng" w:date="2026-06-30T12:02:33Z">
              <w:r>
                <w:rPr>
                  <w:rFonts w:hint="eastAsia"/>
                  <w:b/>
                  <w:bCs/>
                  <w:color w:val="auto"/>
                  <w:highlight w:val="none"/>
                  <w:lang w:val="en-US" w:eastAsia="zh-CN"/>
                </w:rPr>
                <w:t>中</w:t>
              </w:r>
            </w:ins>
            <w:r>
              <w:rPr>
                <w:rFonts w:hint="eastAsia"/>
                <w:b/>
                <w:bCs/>
                <w:color w:val="auto"/>
                <w:highlight w:val="none"/>
                <w:lang w:val="en-US" w:eastAsia="zh-CN"/>
              </w:rPr>
              <w:t>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shd w:val="clear" w:color="auto" w:fill="auto"/>
            <w:noWrap w:val="0"/>
            <w:vAlign w:val="top"/>
          </w:tcPr>
          <w:p w14:paraId="5B2595FA">
            <w:pPr>
              <w:ind w:firstLine="420"/>
              <w:rPr>
                <w:rFonts w:hint="eastAsia"/>
                <w:color w:val="auto"/>
                <w:highlight w:val="none"/>
              </w:rPr>
            </w:pPr>
          </w:p>
        </w:tc>
      </w:tr>
      <w:tr w14:paraId="238D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2" w:type="dxa"/>
            <w:gridSpan w:val="3"/>
            <w:shd w:val="clear" w:color="auto" w:fill="auto"/>
            <w:noWrap w:val="0"/>
            <w:vAlign w:val="top"/>
          </w:tcPr>
          <w:p w14:paraId="5B9C1E03">
            <w:pPr>
              <w:rPr>
                <w:color w:val="auto"/>
                <w:highlight w:val="none"/>
              </w:rPr>
            </w:pPr>
            <w:r>
              <w:rPr>
                <w:rFonts w:hint="eastAsia"/>
                <w:color w:val="auto"/>
                <w:highlight w:val="none"/>
              </w:rPr>
              <w:t>注：未提供《关于符合本国产品标准的声明函》</w:t>
            </w:r>
            <w:r>
              <w:rPr>
                <w:rFonts w:hint="eastAsia"/>
                <w:color w:val="auto"/>
                <w:highlight w:val="none"/>
                <w:lang w:eastAsia="zh-CN"/>
              </w:rPr>
              <w:t>、</w:t>
            </w:r>
            <w:r>
              <w:rPr>
                <w:rFonts w:hint="eastAsia"/>
                <w:color w:val="auto"/>
                <w:szCs w:val="21"/>
                <w:highlight w:val="none"/>
                <w:lang w:eastAsia="zh-CN"/>
              </w:rPr>
              <w:t>《</w:t>
            </w:r>
            <w:r>
              <w:rPr>
                <w:rFonts w:hint="eastAsia"/>
                <w:color w:val="auto"/>
                <w:szCs w:val="21"/>
                <w:highlight w:val="none"/>
                <w:lang w:val="en-US" w:eastAsia="zh-CN"/>
              </w:rPr>
              <w:t>关于符合本国产品标准的成本占比承诺函》（如适用）</w:t>
            </w:r>
            <w:r>
              <w:rPr>
                <w:rFonts w:hint="eastAsia"/>
                <w:color w:val="auto"/>
                <w:highlight w:val="none"/>
                <w:lang w:val="en-US" w:eastAsia="zh-CN"/>
              </w:rPr>
              <w:t>或</w:t>
            </w:r>
            <w:r>
              <w:rPr>
                <w:rFonts w:hint="eastAsia"/>
                <w:color w:val="auto"/>
                <w:highlight w:val="none"/>
              </w:rPr>
              <w:t>不符合条件的，不享受价格扣除优惠。</w:t>
            </w:r>
          </w:p>
        </w:tc>
      </w:tr>
    </w:tbl>
    <w:p w14:paraId="33BCF2AF">
      <w:pPr>
        <w:ind w:firstLine="420"/>
        <w:rPr>
          <w:color w:val="auto"/>
          <w:highlight w:val="none"/>
        </w:rPr>
      </w:pPr>
    </w:p>
    <w:p w14:paraId="2DDCCA2B">
      <w:pPr>
        <w:ind w:firstLine="420"/>
        <w:rPr>
          <w:rFonts w:hint="eastAsia" w:eastAsia="楷体_GB2312"/>
          <w:b/>
          <w:color w:val="auto"/>
          <w:sz w:val="24"/>
          <w:highlight w:val="none"/>
        </w:rPr>
      </w:pPr>
      <w:r>
        <w:rPr>
          <w:rFonts w:hint="eastAsia"/>
          <w:color w:val="auto"/>
          <w:highlight w:val="none"/>
          <w:lang w:val="en-US" w:eastAsia="zh-CN"/>
        </w:rPr>
        <w:t>3）评审报价计算</w:t>
      </w:r>
    </w:p>
    <w:p w14:paraId="2F75A24B">
      <w:pPr>
        <w:spacing w:before="120" w:line="360" w:lineRule="auto"/>
        <w:ind w:firstLine="420"/>
        <w:rPr>
          <w:rFonts w:hint="eastAsia"/>
          <w:color w:val="auto"/>
          <w:highlight w:val="none"/>
          <w:lang w:val="en-US" w:eastAsia="zh-CN"/>
        </w:rPr>
      </w:pPr>
      <w:r>
        <w:rPr>
          <w:rFonts w:hint="eastAsia"/>
          <w:color w:val="auto"/>
          <w:highlight w:val="none"/>
          <w:lang w:val="en-US" w:eastAsia="zh-CN"/>
        </w:rPr>
        <w:t>a.供应商若符合中小企业支持政策的要求，计算公式具体为：评审报价＝投标总报价－（投标总报价*小微企业价格扣除比例）</w:t>
      </w:r>
    </w:p>
    <w:p w14:paraId="35CACDD4">
      <w:pPr>
        <w:spacing w:line="360" w:lineRule="auto"/>
        <w:ind w:firstLine="420"/>
        <w:rPr>
          <w:rFonts w:hint="eastAsia"/>
          <w:color w:val="auto"/>
          <w:highlight w:val="none"/>
          <w:lang w:val="en-US" w:eastAsia="zh-CN"/>
        </w:rPr>
      </w:pPr>
      <w:r>
        <w:rPr>
          <w:rFonts w:hint="eastAsia"/>
          <w:color w:val="auto"/>
          <w:highlight w:val="none"/>
          <w:lang w:val="en-US" w:eastAsia="zh-CN"/>
        </w:rPr>
        <w:t>b.供应商若符合本国产品支持政策的要求，计算公式具体为：评审报价＝投标总报价－（全部产品报价*20%）</w:t>
      </w:r>
    </w:p>
    <w:p w14:paraId="5D9F5662">
      <w:pPr>
        <w:spacing w:line="360" w:lineRule="auto"/>
        <w:ind w:firstLine="420"/>
        <w:rPr>
          <w:rFonts w:hint="eastAsia"/>
          <w:color w:val="auto"/>
          <w:highlight w:val="none"/>
          <w:lang w:val="en-US" w:eastAsia="zh-CN"/>
        </w:rPr>
      </w:pPr>
      <w:r>
        <w:rPr>
          <w:rFonts w:hint="eastAsia"/>
          <w:color w:val="auto"/>
          <w:highlight w:val="none"/>
          <w:lang w:val="en-US" w:eastAsia="zh-CN"/>
        </w:rPr>
        <w:t>c.供应商若同时符合中小企业、本国产品扶持政策的要求，计算公式具体为：评审报价＝投标总报价－（投标总报价*小微企业价格扣除比例）－（全部产品报价*20%）</w:t>
      </w:r>
    </w:p>
    <w:p w14:paraId="025668AA">
      <w:pPr>
        <w:spacing w:line="360" w:lineRule="auto"/>
        <w:ind w:firstLine="420"/>
        <w:rPr>
          <w:rFonts w:hint="eastAsia"/>
          <w:color w:val="auto"/>
          <w:highlight w:val="none"/>
          <w:lang w:val="en-US" w:eastAsia="zh-CN"/>
        </w:rPr>
      </w:pPr>
      <w:r>
        <w:rPr>
          <w:rFonts w:hint="eastAsia" w:ascii="Times New Roman" w:hAnsi="Times New Roman" w:eastAsia="宋体" w:cs="Times New Roman"/>
          <w:color w:val="auto"/>
          <w:sz w:val="21"/>
          <w:szCs w:val="21"/>
          <w:highlight w:val="none"/>
          <w:lang w:val="en-US" w:eastAsia="zh-CN" w:bidi="ar-SA"/>
        </w:rPr>
        <w:t>备注：全部产品是指货物或服务采购项目或采购包中包含的全部货物、服务产品。</w:t>
      </w:r>
    </w:p>
    <w:p w14:paraId="21D42756">
      <w:pPr>
        <w:spacing w:before="120" w:line="320" w:lineRule="atLeast"/>
        <w:ind w:firstLine="420"/>
        <w:rPr>
          <w:color w:val="auto"/>
          <w:highlight w:val="none"/>
        </w:rPr>
      </w:pPr>
      <w:r>
        <w:rPr>
          <w:color w:val="auto"/>
          <w:highlight w:val="none"/>
        </w:rPr>
        <w:t>4.1</w:t>
      </w:r>
      <w:r>
        <w:rPr>
          <w:rFonts w:hint="eastAsia"/>
          <w:color w:val="auto"/>
          <w:highlight w:val="none"/>
        </w:rPr>
        <w:t>偏离认定说明</w:t>
      </w:r>
    </w:p>
    <w:p w14:paraId="50EDF4DC">
      <w:pPr>
        <w:spacing w:before="120" w:line="320" w:lineRule="atLeast"/>
        <w:ind w:firstLine="420"/>
        <w:rPr>
          <w:color w:val="auto"/>
          <w:szCs w:val="21"/>
          <w:highlight w:val="none"/>
        </w:rPr>
      </w:pPr>
      <w:bookmarkStart w:id="191" w:name="_Hlk132792081"/>
      <w:r>
        <w:rPr>
          <w:rFonts w:hint="eastAsia"/>
          <w:color w:val="auto"/>
          <w:szCs w:val="21"/>
          <w:highlight w:val="none"/>
        </w:rPr>
        <w:t>供应商根据采购需求中技术参数为基准，填写响应表，对于响应表或证明材料与技术参数不符的，按如下规定：</w:t>
      </w:r>
    </w:p>
    <w:p w14:paraId="3F220E46">
      <w:pPr>
        <w:spacing w:before="120" w:line="320" w:lineRule="atLeast"/>
        <w:ind w:firstLine="420"/>
        <w:rPr>
          <w:color w:val="auto"/>
          <w:szCs w:val="21"/>
          <w:highlight w:val="none"/>
        </w:rPr>
      </w:pPr>
      <w:r>
        <w:rPr>
          <w:rFonts w:hint="eastAsia"/>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6AA4718E">
      <w:pPr>
        <w:spacing w:before="120" w:line="320" w:lineRule="atLeast"/>
        <w:ind w:firstLine="420"/>
        <w:rPr>
          <w:color w:val="auto"/>
          <w:szCs w:val="21"/>
          <w:highlight w:val="none"/>
        </w:rPr>
      </w:pPr>
      <w:r>
        <w:rPr>
          <w:rFonts w:hint="eastAsia"/>
          <w:color w:val="auto"/>
          <w:szCs w:val="21"/>
          <w:highlight w:val="none"/>
        </w:rPr>
        <w:t>（2）响应表中响应的内容与证明材料不一致的，以证明材料为准作为评审依据。</w:t>
      </w:r>
    </w:p>
    <w:p w14:paraId="74727A55">
      <w:pPr>
        <w:spacing w:before="120" w:line="320" w:lineRule="atLeast"/>
        <w:ind w:firstLine="420"/>
        <w:rPr>
          <w:color w:val="auto"/>
          <w:szCs w:val="21"/>
          <w:highlight w:val="none"/>
        </w:rPr>
      </w:pPr>
      <w:r>
        <w:rPr>
          <w:rFonts w:hint="eastAsia"/>
          <w:color w:val="auto"/>
          <w:szCs w:val="21"/>
          <w:highlight w:val="none"/>
        </w:rPr>
        <w:t>（3）同时出现以上两种情况的，按照（1）-（2）顺序认定。</w:t>
      </w:r>
    </w:p>
    <w:p w14:paraId="746F2102">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）响应表与采购需求中技术参数比较有漏项的，如为实质性参数漏项，视为未响应；如为非实质性参数漏项，视为负偏离。</w:t>
      </w:r>
    </w:p>
    <w:p w14:paraId="504F6478">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）一项技术参数有多条小项要求的，必须全部响应。如只响应部分参数，视为漏项，按照（4）判定。评审时以每一条技术参数为评审依据。</w:t>
      </w:r>
    </w:p>
    <w:p w14:paraId="5DB17AC2">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）对于区间涵盖值参数，例：电压“测量范围</w:t>
      </w:r>
      <w:r>
        <w:rPr>
          <w:color w:val="auto"/>
          <w:szCs w:val="21"/>
          <w:highlight w:val="none"/>
        </w:rPr>
        <w:t>3V-5V</w:t>
      </w:r>
      <w:r>
        <w:rPr>
          <w:rFonts w:hint="eastAsia"/>
          <w:color w:val="auto"/>
          <w:szCs w:val="21"/>
          <w:highlight w:val="none"/>
        </w:rPr>
        <w:t>”，同时满足下限值更低及上限值更高才视为正偏离，例：响应为“测量范围</w:t>
      </w:r>
      <w:r>
        <w:rPr>
          <w:color w:val="auto"/>
          <w:szCs w:val="21"/>
          <w:highlight w:val="none"/>
        </w:rPr>
        <w:t>2V-6V”</w:t>
      </w:r>
      <w:r>
        <w:rPr>
          <w:rFonts w:hint="eastAsia"/>
          <w:color w:val="auto"/>
          <w:szCs w:val="21"/>
          <w:highlight w:val="none"/>
        </w:rPr>
        <w:t>。如有一端负偏离，不管另一端如何，均视为负偏离，例：响应为“测量范围4</w:t>
      </w:r>
      <w:r>
        <w:rPr>
          <w:color w:val="auto"/>
          <w:szCs w:val="21"/>
          <w:highlight w:val="none"/>
        </w:rPr>
        <w:t>V-6V</w:t>
      </w:r>
      <w:r>
        <w:rPr>
          <w:rFonts w:hint="eastAsia"/>
          <w:color w:val="auto"/>
          <w:szCs w:val="21"/>
          <w:highlight w:val="none"/>
        </w:rPr>
        <w:t>”。</w:t>
      </w:r>
    </w:p>
    <w:p w14:paraId="1D0CA515">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）对于区间任意值参数，例“</w:t>
      </w:r>
      <w:r>
        <w:rPr>
          <w:color w:val="auto"/>
          <w:szCs w:val="21"/>
          <w:highlight w:val="none"/>
        </w:rPr>
        <w:t>5</w:t>
      </w:r>
      <w:r>
        <w:rPr>
          <w:rFonts w:hint="eastAsia"/>
          <w:color w:val="auto"/>
          <w:szCs w:val="21"/>
          <w:highlight w:val="none"/>
        </w:rPr>
        <w:t>m</w:t>
      </w:r>
      <w:r>
        <w:rPr>
          <w:color w:val="auto"/>
          <w:szCs w:val="21"/>
          <w:highlight w:val="none"/>
        </w:rPr>
        <w:t>m</w:t>
      </w:r>
      <w:r>
        <w:rPr>
          <w:rFonts w:hint="eastAsia"/>
          <w:color w:val="auto"/>
          <w:szCs w:val="21"/>
          <w:highlight w:val="none"/>
        </w:rPr>
        <w:t>≤间距≤1</w:t>
      </w:r>
      <w:r>
        <w:rPr>
          <w:color w:val="auto"/>
          <w:szCs w:val="21"/>
          <w:highlight w:val="none"/>
        </w:rPr>
        <w:t>0</w:t>
      </w:r>
      <w:r>
        <w:rPr>
          <w:rFonts w:hint="eastAsia"/>
          <w:color w:val="auto"/>
          <w:szCs w:val="21"/>
          <w:highlight w:val="none"/>
        </w:rPr>
        <w:t>m</w:t>
      </w:r>
      <w:r>
        <w:rPr>
          <w:color w:val="auto"/>
          <w:szCs w:val="21"/>
          <w:highlight w:val="none"/>
        </w:rPr>
        <w:t>m</w:t>
      </w:r>
      <w:r>
        <w:rPr>
          <w:rFonts w:hint="eastAsia"/>
          <w:color w:val="auto"/>
          <w:szCs w:val="21"/>
          <w:highlight w:val="none"/>
        </w:rPr>
        <w:t>”或“间距7.5±2.5mm”，若间距响应值为</w:t>
      </w:r>
      <w:r>
        <w:rPr>
          <w:color w:val="auto"/>
          <w:szCs w:val="21"/>
          <w:highlight w:val="none"/>
        </w:rPr>
        <w:t>5</w:t>
      </w:r>
      <w:r>
        <w:rPr>
          <w:rFonts w:hint="eastAsia"/>
          <w:color w:val="auto"/>
          <w:szCs w:val="21"/>
          <w:highlight w:val="none"/>
        </w:rPr>
        <w:t>m</w:t>
      </w:r>
      <w:r>
        <w:rPr>
          <w:color w:val="auto"/>
          <w:szCs w:val="21"/>
          <w:highlight w:val="none"/>
        </w:rPr>
        <w:t>m-10mm</w:t>
      </w:r>
      <w:r>
        <w:rPr>
          <w:rFonts w:hint="eastAsia"/>
          <w:color w:val="auto"/>
          <w:szCs w:val="21"/>
          <w:highlight w:val="none"/>
        </w:rPr>
        <w:t>中任意区间值或任意一个数值（含本数）时为无偏离，例：“6m</w:t>
      </w:r>
      <w:r>
        <w:rPr>
          <w:color w:val="auto"/>
          <w:szCs w:val="21"/>
          <w:highlight w:val="none"/>
        </w:rPr>
        <w:t>m</w:t>
      </w:r>
      <w:r>
        <w:rPr>
          <w:rFonts w:hint="eastAsia"/>
          <w:color w:val="auto"/>
          <w:szCs w:val="21"/>
          <w:highlight w:val="none"/>
        </w:rPr>
        <w:t>≤间距≤8m</w:t>
      </w:r>
      <w:r>
        <w:rPr>
          <w:color w:val="auto"/>
          <w:szCs w:val="21"/>
          <w:highlight w:val="none"/>
        </w:rPr>
        <w:t>m</w:t>
      </w:r>
      <w:r>
        <w:rPr>
          <w:rFonts w:hint="eastAsia"/>
          <w:color w:val="auto"/>
          <w:szCs w:val="21"/>
          <w:highlight w:val="none"/>
        </w:rPr>
        <w:t>”、“8±2mm”、“8mm”。超过区间范围视为负偏离，例：“3m</w:t>
      </w:r>
      <w:r>
        <w:rPr>
          <w:color w:val="auto"/>
          <w:szCs w:val="21"/>
          <w:highlight w:val="none"/>
        </w:rPr>
        <w:t>m</w:t>
      </w:r>
      <w:r>
        <w:rPr>
          <w:rFonts w:hint="eastAsia"/>
          <w:color w:val="auto"/>
          <w:szCs w:val="21"/>
          <w:highlight w:val="none"/>
        </w:rPr>
        <w:t>≤间距≤12m</w:t>
      </w:r>
      <w:r>
        <w:rPr>
          <w:color w:val="auto"/>
          <w:szCs w:val="21"/>
          <w:highlight w:val="none"/>
        </w:rPr>
        <w:t>m</w:t>
      </w:r>
      <w:r>
        <w:rPr>
          <w:rFonts w:hint="eastAsia"/>
          <w:color w:val="auto"/>
          <w:szCs w:val="21"/>
          <w:highlight w:val="none"/>
        </w:rPr>
        <w:t>”、“8±4mm”、“3-12mm”、“3mm”。此类参数不存在正偏离。</w:t>
      </w:r>
    </w:p>
    <w:p w14:paraId="7CD70205">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）对于单边任意参数的要求，例“长度≥5</w:t>
      </w:r>
      <w:r>
        <w:rPr>
          <w:color w:val="auto"/>
          <w:szCs w:val="21"/>
          <w:highlight w:val="none"/>
        </w:rPr>
        <w:t>0cm”</w:t>
      </w:r>
      <w:r>
        <w:rPr>
          <w:rFonts w:hint="eastAsia"/>
          <w:color w:val="auto"/>
          <w:szCs w:val="21"/>
          <w:highlight w:val="none"/>
        </w:rPr>
        <w:t>，若响应为5</w:t>
      </w:r>
      <w:r>
        <w:rPr>
          <w:color w:val="auto"/>
          <w:szCs w:val="21"/>
          <w:highlight w:val="none"/>
        </w:rPr>
        <w:t>0 cm</w:t>
      </w:r>
      <w:r>
        <w:rPr>
          <w:rFonts w:hint="eastAsia"/>
          <w:color w:val="auto"/>
          <w:szCs w:val="21"/>
          <w:highlight w:val="none"/>
        </w:rPr>
        <w:t>及5</w:t>
      </w:r>
      <w:r>
        <w:rPr>
          <w:color w:val="auto"/>
          <w:szCs w:val="21"/>
          <w:highlight w:val="none"/>
        </w:rPr>
        <w:t>0cm</w:t>
      </w:r>
      <w:r>
        <w:rPr>
          <w:rFonts w:hint="eastAsia"/>
          <w:color w:val="auto"/>
          <w:szCs w:val="21"/>
          <w:highlight w:val="none"/>
        </w:rPr>
        <w:t>以上任意一个数值，均视为无偏离；若响应小于5</w:t>
      </w:r>
      <w:r>
        <w:rPr>
          <w:color w:val="auto"/>
          <w:szCs w:val="21"/>
          <w:highlight w:val="none"/>
        </w:rPr>
        <w:t>0cm</w:t>
      </w:r>
      <w:r>
        <w:rPr>
          <w:rFonts w:hint="eastAsia"/>
          <w:color w:val="auto"/>
          <w:szCs w:val="21"/>
          <w:highlight w:val="none"/>
        </w:rPr>
        <w:t>，视为负偏离。此类参数无正偏离。</w:t>
      </w:r>
    </w:p>
    <w:p w14:paraId="7567DE54">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9</w:t>
      </w:r>
      <w:r>
        <w:rPr>
          <w:rFonts w:hint="eastAsia"/>
          <w:color w:val="auto"/>
          <w:szCs w:val="21"/>
          <w:highlight w:val="none"/>
        </w:rPr>
        <w:t>）对于固定参数，响应与采购需求中技术参数一致，视为无偏离，其他均视为负偏离，此类参数无正偏离。</w:t>
      </w:r>
    </w:p>
    <w:p w14:paraId="45AF0F1A">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10</w:t>
      </w:r>
      <w:r>
        <w:rPr>
          <w:rFonts w:hint="eastAsia"/>
          <w:color w:val="auto"/>
          <w:szCs w:val="21"/>
          <w:highlight w:val="none"/>
        </w:rPr>
        <w:t>）如采购需求中技术参数有特殊要求与上述说明不一致的，以特殊要求为准。</w:t>
      </w:r>
      <w:bookmarkEnd w:id="191"/>
    </w:p>
    <w:p w14:paraId="20629C11">
      <w:pPr>
        <w:spacing w:before="120" w:line="320" w:lineRule="atLeast"/>
        <w:ind w:firstLine="420"/>
        <w:rPr>
          <w:color w:val="auto"/>
          <w:szCs w:val="21"/>
          <w:highlight w:val="none"/>
        </w:rPr>
      </w:pPr>
    </w:p>
    <w:p w14:paraId="2B8C4B26">
      <w:pPr>
        <w:spacing w:before="120" w:line="320" w:lineRule="atLeast"/>
        <w:ind w:firstLine="420"/>
        <w:rPr>
          <w:color w:val="auto"/>
          <w:szCs w:val="21"/>
          <w:highlight w:val="none"/>
        </w:rPr>
        <w:sectPr>
          <w:headerReference r:id="rId17" w:type="first"/>
          <w:headerReference r:id="rId16" w:type="default"/>
          <w:pgSz w:w="11906" w:h="16838"/>
          <w:pgMar w:top="1134" w:right="1133" w:bottom="1134" w:left="1134" w:header="851" w:footer="992" w:gutter="0"/>
          <w:cols w:space="720" w:num="1"/>
        </w:sectPr>
      </w:pPr>
    </w:p>
    <w:p w14:paraId="105AE2AE">
      <w:pPr>
        <w:spacing w:before="120" w:line="320" w:lineRule="atLeast"/>
        <w:ind w:firstLine="420"/>
        <w:rPr>
          <w:color w:val="auto"/>
          <w:szCs w:val="21"/>
          <w:highlight w:val="none"/>
        </w:rPr>
      </w:pPr>
    </w:p>
    <w:p w14:paraId="202233D3">
      <w:pPr>
        <w:pStyle w:val="27"/>
        <w:spacing w:before="120" w:after="120" w:line="320" w:lineRule="exact"/>
        <w:jc w:val="center"/>
        <w:outlineLvl w:val="0"/>
        <w:rPr>
          <w:rFonts w:ascii="Times New Roman" w:hAnsi="Times New Roman" w:cs="Times New Roman"/>
          <w:color w:val="auto"/>
          <w:sz w:val="32"/>
          <w:szCs w:val="32"/>
          <w:highlight w:val="none"/>
        </w:rPr>
      </w:pPr>
      <w:bookmarkStart w:id="192" w:name="_Toc9333"/>
      <w:r>
        <w:rPr>
          <w:rFonts w:ascii="Times New Roman" w:hAnsi="Times New Roman" w:cs="Times New Roman"/>
          <w:color w:val="auto"/>
          <w:sz w:val="32"/>
          <w:szCs w:val="32"/>
          <w:highlight w:val="none"/>
        </w:rPr>
        <w:t>第五章  合同主要条款格式</w:t>
      </w:r>
      <w:bookmarkEnd w:id="0"/>
      <w:bookmarkEnd w:id="1"/>
      <w:bookmarkEnd w:id="192"/>
    </w:p>
    <w:p w14:paraId="3E40CB1F">
      <w:pPr>
        <w:jc w:val="center"/>
        <w:rPr>
          <w:rFonts w:hint="eastAsia" w:ascii="宋体" w:hAnsi="宋体" w:eastAsia="宋体" w:cs="宋体"/>
          <w:b/>
          <w:bCs/>
          <w:color w:val="auto"/>
          <w:spacing w:val="-20"/>
          <w:sz w:val="48"/>
          <w:szCs w:val="48"/>
          <w:highlight w:val="none"/>
        </w:rPr>
      </w:pPr>
    </w:p>
    <w:p w14:paraId="43BDCEB2">
      <w:pPr>
        <w:jc w:val="center"/>
        <w:rPr>
          <w:rFonts w:hint="eastAsia" w:ascii="宋体" w:hAnsi="宋体" w:eastAsia="宋体" w:cs="宋体"/>
          <w:b/>
          <w:bCs/>
          <w:color w:val="auto"/>
          <w:spacing w:val="-20"/>
          <w:sz w:val="48"/>
          <w:szCs w:val="48"/>
          <w:highlight w:val="none"/>
        </w:rPr>
      </w:pPr>
    </w:p>
    <w:p w14:paraId="59D2F306">
      <w:pPr>
        <w:jc w:val="center"/>
        <w:rPr>
          <w:rFonts w:hint="eastAsia" w:ascii="宋体" w:hAnsi="宋体" w:eastAsia="宋体" w:cs="宋体"/>
          <w:b/>
          <w:bCs/>
          <w:color w:val="auto"/>
          <w:spacing w:val="-20"/>
          <w:sz w:val="48"/>
          <w:szCs w:val="48"/>
          <w:highlight w:val="none"/>
        </w:rPr>
      </w:pPr>
    </w:p>
    <w:p w14:paraId="0E7BBADD">
      <w:pPr>
        <w:jc w:val="center"/>
        <w:rPr>
          <w:rFonts w:hint="eastAsia" w:ascii="宋体" w:hAnsi="宋体" w:eastAsia="宋体" w:cs="宋体"/>
          <w:b/>
          <w:bCs/>
          <w:color w:val="auto"/>
          <w:spacing w:val="-20"/>
          <w:sz w:val="48"/>
          <w:szCs w:val="48"/>
          <w:highlight w:val="none"/>
        </w:rPr>
      </w:pPr>
    </w:p>
    <w:p w14:paraId="2B775BC6">
      <w:pPr>
        <w:jc w:val="center"/>
        <w:rPr>
          <w:rFonts w:hint="eastAsia" w:ascii="宋体" w:hAnsi="宋体" w:eastAsia="宋体" w:cs="宋体"/>
          <w:b/>
          <w:bCs/>
          <w:color w:val="auto"/>
          <w:spacing w:val="-20"/>
          <w:sz w:val="48"/>
          <w:szCs w:val="48"/>
          <w:highlight w:val="none"/>
        </w:rPr>
      </w:pPr>
      <w:r>
        <w:rPr>
          <w:rFonts w:hint="eastAsia" w:ascii="宋体" w:hAnsi="宋体" w:eastAsia="宋体" w:cs="宋体"/>
          <w:b/>
          <w:bCs/>
          <w:color w:val="auto"/>
          <w:spacing w:val="-20"/>
          <w:sz w:val="48"/>
          <w:szCs w:val="48"/>
          <w:highlight w:val="none"/>
        </w:rPr>
        <w:t>政府采购货物买卖合同</w:t>
      </w:r>
    </w:p>
    <w:p w14:paraId="40C9D79B">
      <w:pPr>
        <w:jc w:val="center"/>
        <w:rPr>
          <w:rFonts w:hint="eastAsia" w:ascii="宋体" w:hAnsi="宋体" w:eastAsia="宋体" w:cs="宋体"/>
          <w:b/>
          <w:bCs/>
          <w:color w:val="auto"/>
          <w:spacing w:val="-20"/>
          <w:sz w:val="48"/>
          <w:szCs w:val="48"/>
          <w:highlight w:val="none"/>
        </w:rPr>
      </w:pPr>
    </w:p>
    <w:p w14:paraId="626687CC">
      <w:pPr>
        <w:rPr>
          <w:rFonts w:hint="eastAsia" w:ascii="宋体" w:hAnsi="宋体" w:eastAsia="宋体" w:cs="宋体"/>
          <w:b/>
          <w:bCs/>
          <w:color w:val="auto"/>
          <w:spacing w:val="-20"/>
          <w:sz w:val="40"/>
          <w:szCs w:val="40"/>
          <w:highlight w:val="none"/>
        </w:rPr>
      </w:pPr>
    </w:p>
    <w:p w14:paraId="2D33DB16">
      <w:pPr>
        <w:rPr>
          <w:rFonts w:hint="eastAsia" w:ascii="宋体" w:hAnsi="宋体" w:eastAsia="宋体" w:cs="宋体"/>
          <w:b/>
          <w:bCs/>
          <w:color w:val="auto"/>
          <w:spacing w:val="-20"/>
          <w:sz w:val="40"/>
          <w:szCs w:val="40"/>
          <w:highlight w:val="none"/>
        </w:rPr>
      </w:pPr>
    </w:p>
    <w:p w14:paraId="3D696BE4">
      <w:pPr>
        <w:rPr>
          <w:rFonts w:hint="eastAsia" w:ascii="宋体" w:hAnsi="宋体" w:eastAsia="宋体" w:cs="宋体"/>
          <w:b/>
          <w:bCs/>
          <w:color w:val="auto"/>
          <w:spacing w:val="-20"/>
          <w:sz w:val="40"/>
          <w:szCs w:val="40"/>
          <w:highlight w:val="none"/>
        </w:rPr>
      </w:pPr>
    </w:p>
    <w:p w14:paraId="3B29155D">
      <w:pPr>
        <w:spacing w:line="240" w:lineRule="auto"/>
        <w:ind w:left="0" w:firstLine="960"/>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项目名称：</w:t>
      </w:r>
      <w:r>
        <w:rPr>
          <w:rFonts w:hint="eastAsia" w:ascii="宋体" w:hAnsi="宋体" w:cs="宋体"/>
          <w:color w:val="auto"/>
          <w:sz w:val="32"/>
          <w:szCs w:val="32"/>
          <w:highlight w:val="none"/>
          <w:u w:val="single"/>
          <w:lang w:val="en-US" w:eastAsia="zh-CN"/>
        </w:rPr>
        <w:t xml:space="preserve">                                   </w:t>
      </w:r>
    </w:p>
    <w:p w14:paraId="06EE00B2">
      <w:pPr>
        <w:spacing w:line="360" w:lineRule="auto"/>
        <w:ind w:firstLine="960"/>
        <w:rPr>
          <w:rFonts w:hint="default" w:ascii="宋体" w:hAnsi="宋体" w:eastAsia="宋体" w:cs="宋体"/>
          <w:color w:val="auto"/>
          <w:sz w:val="32"/>
          <w:szCs w:val="32"/>
          <w:highlight w:val="none"/>
          <w:u w:val="single"/>
          <w:lang w:val="en-US" w:eastAsia="zh-CN"/>
        </w:rPr>
      </w:pPr>
      <w:r>
        <w:rPr>
          <w:rFonts w:hint="eastAsia" w:ascii="宋体" w:hAnsi="宋体" w:eastAsia="宋体" w:cs="宋体"/>
          <w:color w:val="auto"/>
          <w:sz w:val="32"/>
          <w:szCs w:val="32"/>
          <w:highlight w:val="none"/>
        </w:rPr>
        <w:t>合同编号：</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p>
    <w:p w14:paraId="6D690A8A">
      <w:pPr>
        <w:spacing w:line="360" w:lineRule="auto"/>
        <w:ind w:firstLine="960"/>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r>
        <w:rPr>
          <w:rFonts w:hint="eastAsia" w:ascii="宋体" w:hAnsi="宋体" w:cs="宋体"/>
          <w:color w:val="auto"/>
          <w:sz w:val="32"/>
          <w:szCs w:val="32"/>
          <w:highlight w:val="none"/>
          <w:u w:val="single"/>
          <w:lang w:eastAsia="zh-CN"/>
        </w:rPr>
        <w:t>北海市中医医院</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p>
    <w:p w14:paraId="5B34F1F9">
      <w:pPr>
        <w:spacing w:line="360" w:lineRule="auto"/>
        <w:ind w:firstLine="960"/>
        <w:rPr>
          <w:rFonts w:hint="default" w:ascii="宋体" w:hAnsi="宋体" w:eastAsia="宋体" w:cs="宋体"/>
          <w:color w:val="auto"/>
          <w:sz w:val="32"/>
          <w:szCs w:val="32"/>
          <w:highlight w:val="none"/>
          <w:u w:val="single"/>
          <w:lang w:val="en-US" w:eastAsia="zh-CN"/>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p>
    <w:p w14:paraId="1BE1FBD5">
      <w:pPr>
        <w:spacing w:line="360" w:lineRule="auto"/>
        <w:ind w:firstLine="960"/>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val="en-US" w:eastAsia="zh-CN"/>
        </w:rPr>
        <w:t>20</w:t>
      </w:r>
      <w:r>
        <w:rPr>
          <w:rFonts w:hint="eastAsia" w:ascii="宋体" w:hAnsi="宋体" w:cs="宋体"/>
          <w:color w:val="auto"/>
          <w:sz w:val="32"/>
          <w:szCs w:val="32"/>
          <w:highlight w:val="none"/>
          <w:u w:val="single"/>
          <w:lang w:val="en-US" w:eastAsia="zh-CN"/>
        </w:rPr>
        <w:t>26</w:t>
      </w:r>
      <w:r>
        <w:rPr>
          <w:rFonts w:hint="eastAsia" w:ascii="宋体" w:hAnsi="宋体" w:eastAsia="宋体" w:cs="宋体"/>
          <w:color w:val="auto"/>
          <w:sz w:val="32"/>
          <w:szCs w:val="32"/>
          <w:highlight w:val="none"/>
          <w:u w:val="single"/>
          <w:lang w:val="en-US" w:eastAsia="zh-CN"/>
        </w:rPr>
        <w:t xml:space="preserve"> 年     月     日</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p>
    <w:p w14:paraId="4B82AA8B">
      <w:pPr>
        <w:rPr>
          <w:rFonts w:hint="eastAsia" w:ascii="宋体" w:hAnsi="宋体" w:eastAsia="宋体" w:cs="宋体"/>
          <w:color w:val="auto"/>
          <w:highlight w:val="none"/>
        </w:rPr>
      </w:pPr>
    </w:p>
    <w:p w14:paraId="5197A979">
      <w:pPr>
        <w:rPr>
          <w:color w:val="auto"/>
          <w:sz w:val="28"/>
          <w:szCs w:val="28"/>
          <w:highlight w:val="none"/>
          <w:u w:val="single"/>
        </w:rPr>
      </w:pPr>
    </w:p>
    <w:p w14:paraId="0084D9DA">
      <w:pPr>
        <w:rPr>
          <w:color w:val="auto"/>
          <w:sz w:val="28"/>
          <w:szCs w:val="28"/>
          <w:highlight w:val="none"/>
          <w:u w:val="single"/>
        </w:rPr>
      </w:pPr>
    </w:p>
    <w:p w14:paraId="681E6E74">
      <w:pPr>
        <w:rPr>
          <w:color w:val="auto"/>
          <w:sz w:val="28"/>
          <w:szCs w:val="28"/>
          <w:highlight w:val="none"/>
          <w:u w:val="single"/>
        </w:rPr>
      </w:pPr>
    </w:p>
    <w:p w14:paraId="4C71AF96">
      <w:pPr>
        <w:rPr>
          <w:color w:val="auto"/>
          <w:sz w:val="28"/>
          <w:szCs w:val="28"/>
          <w:highlight w:val="none"/>
          <w:u w:val="single"/>
        </w:rPr>
      </w:pPr>
    </w:p>
    <w:p w14:paraId="149B4FD4">
      <w:pPr>
        <w:rPr>
          <w:color w:val="auto"/>
          <w:sz w:val="28"/>
          <w:szCs w:val="28"/>
          <w:highlight w:val="none"/>
          <w:u w:val="single"/>
        </w:rPr>
      </w:pPr>
    </w:p>
    <w:p w14:paraId="68F79590">
      <w:pPr>
        <w:rPr>
          <w:color w:val="auto"/>
          <w:sz w:val="28"/>
          <w:szCs w:val="28"/>
          <w:highlight w:val="none"/>
          <w:u w:val="single"/>
        </w:rPr>
      </w:pPr>
    </w:p>
    <w:p w14:paraId="2C08A4BD">
      <w:pPr>
        <w:jc w:val="center"/>
        <w:rPr>
          <w:rFonts w:hint="eastAsia"/>
          <w:color w:val="auto"/>
          <w:sz w:val="28"/>
          <w:szCs w:val="28"/>
          <w:highlight w:val="none"/>
          <w:u w:val="none"/>
          <w:lang w:val="en-US" w:eastAsia="zh-CN"/>
        </w:rPr>
        <w:sectPr>
          <w:pgSz w:w="11906" w:h="16838"/>
          <w:pgMar w:top="1440" w:right="1800" w:bottom="1440" w:left="1800" w:header="851" w:footer="992" w:gutter="0"/>
          <w:cols w:space="425" w:num="1"/>
        </w:sectPr>
      </w:pPr>
    </w:p>
    <w:p w14:paraId="45653817">
      <w:pPr>
        <w:adjustRightInd/>
        <w:jc w:val="center"/>
        <w:outlineLvl w:val="9"/>
        <w:rPr>
          <w:rFonts w:hint="eastAsia" w:ascii="宋体" w:hAnsi="宋体" w:eastAsia="宋体" w:cs="宋体"/>
          <w:b/>
          <w:bCs/>
          <w:color w:val="auto"/>
          <w:sz w:val="28"/>
          <w:szCs w:val="28"/>
          <w:highlight w:val="none"/>
        </w:rPr>
      </w:pPr>
      <w:bookmarkStart w:id="193" w:name="_Toc22209"/>
      <w:r>
        <w:rPr>
          <w:rFonts w:hint="eastAsia" w:ascii="宋体" w:hAnsi="宋体" w:eastAsia="宋体" w:cs="宋体"/>
          <w:b/>
          <w:bCs/>
          <w:color w:val="auto"/>
          <w:sz w:val="28"/>
          <w:szCs w:val="28"/>
          <w:highlight w:val="none"/>
        </w:rPr>
        <w:t>第一节 政府采购合同协议书</w:t>
      </w:r>
      <w:bookmarkEnd w:id="193"/>
    </w:p>
    <w:p w14:paraId="2E43B30F">
      <w:pPr>
        <w:pStyle w:val="387"/>
        <w:outlineLvl w:val="9"/>
        <w:rPr>
          <w:rFonts w:hint="eastAsia" w:ascii="宋体" w:hAnsi="宋体" w:eastAsia="宋体" w:cs="宋体"/>
          <w:color w:val="auto"/>
          <w:sz w:val="21"/>
          <w:szCs w:val="21"/>
          <w:highlight w:val="none"/>
        </w:rPr>
      </w:pPr>
    </w:p>
    <w:p w14:paraId="3BD6272E">
      <w:pPr>
        <w:pStyle w:val="387"/>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甲方（全称）：</w:t>
      </w:r>
      <w:r>
        <w:rPr>
          <w:rFonts w:hint="eastAsia" w:ascii="宋体" w:hAnsi="宋体" w:eastAsia="宋体" w:cs="宋体"/>
          <w:color w:val="auto"/>
          <w:sz w:val="21"/>
          <w:szCs w:val="21"/>
          <w:highlight w:val="none"/>
          <w:u w:val="single"/>
        </w:rPr>
        <w:t xml:space="preserve"> </w:t>
      </w:r>
      <w:r>
        <w:rPr>
          <w:rFonts w:hint="eastAsia" w:eastAsia="宋体" w:cs="宋体"/>
          <w:color w:val="auto"/>
          <w:sz w:val="21"/>
          <w:szCs w:val="21"/>
          <w:highlight w:val="none"/>
          <w:u w:val="single"/>
          <w:lang w:val="en-US" w:eastAsia="zh-CN"/>
        </w:rPr>
        <w:t xml:space="preserve">  </w:t>
      </w:r>
      <w:r>
        <w:rPr>
          <w:rFonts w:hint="eastAsia" w:ascii="方正楷体_GB2312" w:hAnsi="方正楷体_GB2312" w:eastAsia="方正楷体_GB2312" w:cs="方正楷体_GB2312"/>
          <w:b w:val="0"/>
          <w:bCs w:val="0"/>
          <w:color w:val="auto"/>
          <w:sz w:val="21"/>
          <w:szCs w:val="21"/>
          <w:highlight w:val="none"/>
          <w:u w:val="single"/>
          <w:lang w:eastAsia="zh-CN"/>
        </w:rPr>
        <w:t>北海市中医医院</w:t>
      </w:r>
      <w:r>
        <w:rPr>
          <w:rFonts w:hint="eastAsia" w:ascii="方正楷体_GB2312" w:hAnsi="方正楷体_GB2312" w:eastAsia="方正楷体_GB2312" w:cs="方正楷体_GB2312"/>
          <w:b w:val="0"/>
          <w:bCs w:val="0"/>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w:t>
      </w:r>
    </w:p>
    <w:p w14:paraId="5B299901">
      <w:pPr>
        <w:pStyle w:val="387"/>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乙方1（全称）：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w:t>
      </w:r>
    </w:p>
    <w:p w14:paraId="072FF1BF">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162510E1">
      <w:pPr>
        <w:pStyle w:val="387"/>
        <w:ind w:firstLine="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1.项目信息</w:t>
      </w:r>
    </w:p>
    <w:p w14:paraId="7AA28F06">
      <w:pPr>
        <w:pStyle w:val="387"/>
        <w:ind w:firstLine="420" w:firstLineChars="200"/>
        <w:outlineLvl w:val="9"/>
        <w:rPr>
          <w:rFonts w:hint="default"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rPr>
        <w:t>（1）采购项目名称：</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eastAsia="zh-CN"/>
        </w:rPr>
        <w:t>北海市中医医院检验设备、麻醉系统采购项目</w:t>
      </w:r>
      <w:r>
        <w:rPr>
          <w:rFonts w:hint="eastAsia" w:ascii="方正楷体_GB2312" w:hAnsi="方正楷体_GB2312" w:eastAsia="方正楷体_GB2312" w:cs="方正楷体_GB2312"/>
          <w:b w:val="0"/>
          <w:bCs w:val="0"/>
          <w:color w:val="auto"/>
          <w:sz w:val="21"/>
          <w:szCs w:val="21"/>
          <w:highlight w:val="none"/>
          <w:u w:val="single"/>
          <w:lang w:val="en-US" w:eastAsia="zh-CN"/>
        </w:rPr>
        <w:t xml:space="preserve"> </w:t>
      </w:r>
    </w:p>
    <w:p w14:paraId="38B602F3">
      <w:pPr>
        <w:pStyle w:val="387"/>
        <w:ind w:firstLine="945" w:firstLineChars="45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采购项目编号：</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1D42854F">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4F32396">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（3）项目内容：</w:t>
      </w:r>
    </w:p>
    <w:p w14:paraId="64CED037">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采购标的及数量（台/套</w:t>
      </w:r>
      <w:r>
        <w:rPr>
          <w:rFonts w:hint="eastAsia" w:ascii="宋体" w:hAnsi="宋体" w:eastAsia="宋体" w:cs="宋体"/>
          <w:color w:val="auto"/>
          <w:sz w:val="21"/>
          <w:szCs w:val="21"/>
          <w:highlight w:val="none"/>
          <w:lang w:val="en"/>
        </w:rPr>
        <w:t>/个/架/组等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68CCD41">
      <w:pPr>
        <w:pStyle w:val="387"/>
        <w:ind w:firstLine="420" w:firstLineChars="200"/>
        <w:outlineLvl w:val="9"/>
        <w:rPr>
          <w:rFonts w:hint="eastAsia" w:ascii="宋体" w:hAnsi="宋体" w:eastAsia="宋体" w:cs="宋体"/>
          <w:color w:val="auto"/>
          <w:sz w:val="21"/>
          <w:szCs w:val="21"/>
          <w:highlight w:val="none"/>
          <w:lang w:val="en"/>
        </w:rPr>
      </w:pPr>
      <w:r>
        <w:rPr>
          <w:rFonts w:hint="eastAsia" w:ascii="宋体" w:hAnsi="宋体" w:eastAsia="宋体" w:cs="宋体"/>
          <w:color w:val="auto"/>
          <w:sz w:val="21"/>
          <w:szCs w:val="21"/>
          <w:highlight w:val="none"/>
        </w:rPr>
        <w:t xml:space="preserve">     品牌：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en"/>
        </w:rPr>
        <w:t xml:space="preserve">     </w:t>
      </w:r>
      <w:r>
        <w:rPr>
          <w:rFonts w:hint="eastAsia" w:ascii="宋体" w:hAnsi="宋体" w:eastAsia="宋体" w:cs="宋体"/>
          <w:color w:val="auto"/>
          <w:sz w:val="21"/>
          <w:szCs w:val="21"/>
          <w:highlight w:val="none"/>
        </w:rPr>
        <w:t>规格型号：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
        </w:rPr>
        <w:t xml:space="preserve">   </w:t>
      </w:r>
    </w:p>
    <w:p w14:paraId="24B00C47">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采购标的的技术要求、商务要求具体见附件。</w:t>
      </w:r>
    </w:p>
    <w:p w14:paraId="1536017D">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4</w:t>
      </w:r>
      <w:r>
        <w:rPr>
          <w:rFonts w:hint="eastAsia" w:ascii="宋体" w:hAnsi="宋体" w:eastAsia="宋体" w:cs="宋体"/>
          <w:color w:val="auto"/>
          <w:sz w:val="21"/>
          <w:szCs w:val="21"/>
          <w:highlight w:val="none"/>
        </w:rPr>
        <w:t>）政府采购组织形式：</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 xml:space="preserve">政府集中采购  </w:t>
      </w: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 xml:space="preserve">部门集中采购  </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分散采购</w:t>
      </w:r>
    </w:p>
    <w:p w14:paraId="2AEAB432">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5</w:t>
      </w:r>
      <w:r>
        <w:rPr>
          <w:rFonts w:hint="eastAsia" w:ascii="宋体" w:hAnsi="宋体" w:eastAsia="宋体" w:cs="宋体"/>
          <w:color w:val="auto"/>
          <w:sz w:val="21"/>
          <w:szCs w:val="21"/>
          <w:highlight w:val="none"/>
        </w:rPr>
        <w:t>）政府采购方式：</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 xml:space="preserve">公开招标 </w:t>
      </w: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 xml:space="preserve">邀请招标 </w:t>
      </w: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 xml:space="preserve">竞争性谈判 </w:t>
      </w: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竞争性磋商</w:t>
      </w:r>
    </w:p>
    <w:p w14:paraId="69E2BEA7">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 xml:space="preserve">询价 </w:t>
      </w: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 xml:space="preserve">单一来源 </w:t>
      </w: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 xml:space="preserve">框架协议 </w:t>
      </w: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u w:val="single"/>
        </w:rPr>
        <w:t xml:space="preserve">          </w:t>
      </w:r>
    </w:p>
    <w:p w14:paraId="23B7356A">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6</w:t>
      </w:r>
      <w:r>
        <w:rPr>
          <w:rFonts w:hint="eastAsia" w:ascii="宋体" w:hAnsi="宋体" w:eastAsia="宋体" w:cs="宋体"/>
          <w:color w:val="auto"/>
          <w:sz w:val="21"/>
          <w:szCs w:val="21"/>
          <w:highlight w:val="none"/>
        </w:rPr>
        <w:t>）中标（成交）采购标的制造商是否为中小企业：</w:t>
      </w: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否</w:t>
      </w:r>
    </w:p>
    <w:p w14:paraId="53158E0F">
      <w:pPr>
        <w:pStyle w:val="387"/>
        <w:ind w:firstLine="420" w:firstLineChars="200"/>
        <w:outlineLvl w:val="9"/>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rPr>
        <w:t>本合同是否为专门面向中小企业的采购合同（中小企业预留合同）：</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rPr>
        <w:t>否</w:t>
      </w:r>
    </w:p>
    <w:p w14:paraId="73CD444F">
      <w:pPr>
        <w:pStyle w:val="387"/>
        <w:ind w:firstLine="420" w:firstLineChars="200"/>
        <w:outlineLvl w:val="9"/>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rPr>
        <w:t>若本项目不专门面向中小企业采购，是否给予小微企业评审优惠：</w:t>
      </w: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否</w:t>
      </w:r>
    </w:p>
    <w:p w14:paraId="394C6CA1">
      <w:pPr>
        <w:pStyle w:val="387"/>
        <w:ind w:firstLine="420" w:firstLineChars="200"/>
        <w:outlineLvl w:val="9"/>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rPr>
        <w:t>中标（成交）采购标的制造商是否为残疾人福利性单位：</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否</w:t>
      </w:r>
    </w:p>
    <w:p w14:paraId="78A99E1E">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中标（成交）采购标的制造商是否为监狱企业：</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否</w:t>
      </w:r>
    </w:p>
    <w:p w14:paraId="03FF73F4">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7</w:t>
      </w:r>
      <w:r>
        <w:rPr>
          <w:rFonts w:hint="eastAsia" w:ascii="宋体" w:hAnsi="宋体" w:eastAsia="宋体" w:cs="宋体"/>
          <w:color w:val="auto"/>
          <w:sz w:val="21"/>
          <w:szCs w:val="21"/>
          <w:highlight w:val="none"/>
        </w:rPr>
        <w:t>）合同是否分包：</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rPr>
        <w:t>否</w:t>
      </w:r>
    </w:p>
    <w:p w14:paraId="0F3F4B96">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分包主要内容：</w:t>
      </w:r>
      <w:r>
        <w:rPr>
          <w:rFonts w:hint="eastAsia" w:ascii="宋体" w:hAnsi="宋体" w:eastAsia="宋体" w:cs="宋体"/>
          <w:color w:val="auto"/>
          <w:sz w:val="21"/>
          <w:szCs w:val="21"/>
          <w:highlight w:val="none"/>
          <w:u w:val="single"/>
        </w:rPr>
        <w:t xml:space="preserve">                                            </w:t>
      </w:r>
    </w:p>
    <w:p w14:paraId="6D3AC176">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/制造商名称（如</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和制造商不同，请分别填写）：</w:t>
      </w:r>
    </w:p>
    <w:p w14:paraId="6EB3C87E">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p>
    <w:p w14:paraId="716479C1">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/制造商类型（如果</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和制造商不同，只填写制造商类型）：</w:t>
      </w:r>
    </w:p>
    <w:p w14:paraId="4F7AEF3C">
      <w:pPr>
        <w:pStyle w:val="387"/>
        <w:ind w:firstLine="420" w:firstLineChars="200"/>
        <w:outlineLvl w:val="9"/>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大型企业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中型企业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小微型企业  </w:t>
      </w:r>
    </w:p>
    <w:p w14:paraId="74769A01">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残疾人福利性单位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监狱企业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其他</w:t>
      </w:r>
    </w:p>
    <w:p w14:paraId="3D9F3434">
      <w:pPr>
        <w:pStyle w:val="387"/>
        <w:ind w:firstLine="420" w:firstLineChars="200"/>
        <w:outlineLvl w:val="9"/>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8</w:t>
      </w:r>
      <w:r>
        <w:rPr>
          <w:rFonts w:hint="eastAsia" w:ascii="宋体" w:hAnsi="宋体" w:eastAsia="宋体" w:cs="宋体"/>
          <w:color w:val="auto"/>
          <w:sz w:val="21"/>
          <w:szCs w:val="21"/>
          <w:highlight w:val="none"/>
        </w:rPr>
        <w:t>）中标（成交）</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是否为外商投资企业：</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否</w:t>
      </w:r>
    </w:p>
    <w:p w14:paraId="52C48FEF">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外商投资企业类型：</w:t>
      </w:r>
      <w:r>
        <w:rPr>
          <w:rFonts w:hint="eastAsia" w:ascii="宋体" w:hAnsi="宋体" w:eastAsia="宋体" w:cs="宋体"/>
          <w:iCs/>
          <w:color w:val="auto"/>
          <w:sz w:val="21"/>
          <w:szCs w:val="21"/>
          <w:highlight w:val="none"/>
        </w:rPr>
        <w:sym w:font="Wingdings" w:char="F0A8"/>
      </w:r>
      <w:r>
        <w:rPr>
          <w:rFonts w:hint="eastAsia" w:ascii="宋体" w:hAnsi="宋体" w:eastAsia="宋体" w:cs="宋体"/>
          <w:color w:val="auto"/>
          <w:sz w:val="21"/>
          <w:szCs w:val="21"/>
          <w:highlight w:val="none"/>
        </w:rPr>
        <w:t xml:space="preserve">全部由外国投资者投资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部分由外国投资者投资</w:t>
      </w:r>
    </w:p>
    <w:p w14:paraId="39ABE5D2">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9</w:t>
      </w:r>
      <w:r>
        <w:rPr>
          <w:rFonts w:hint="eastAsia" w:ascii="宋体" w:hAnsi="宋体" w:eastAsia="宋体" w:cs="宋体"/>
          <w:color w:val="auto"/>
          <w:sz w:val="21"/>
          <w:szCs w:val="21"/>
          <w:highlight w:val="none"/>
        </w:rPr>
        <w:t>）是否涉及进口产品：</w:t>
      </w:r>
    </w:p>
    <w:p w14:paraId="5D6BB0FC">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是，《政府采购品目分类目录》底级品目名称：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金额：</w:t>
      </w:r>
      <w:r>
        <w:rPr>
          <w:rFonts w:hint="eastAsia" w:ascii="宋体" w:hAnsi="宋体" w:eastAsia="宋体" w:cs="宋体"/>
          <w:color w:val="auto"/>
          <w:sz w:val="21"/>
          <w:szCs w:val="21"/>
          <w:highlight w:val="none"/>
          <w:u w:val="single"/>
        </w:rPr>
        <w:t xml:space="preserve">        </w:t>
      </w:r>
    </w:p>
    <w:p w14:paraId="1D3E00FE">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国别：</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品牌：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规格型号：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0A73E78">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否</w:t>
      </w:r>
    </w:p>
    <w:p w14:paraId="49FD4D98">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
        </w:rPr>
        <w:t>0</w:t>
      </w:r>
      <w:r>
        <w:rPr>
          <w:rFonts w:hint="eastAsia" w:ascii="宋体" w:hAnsi="宋体" w:eastAsia="宋体" w:cs="宋体"/>
          <w:color w:val="auto"/>
          <w:sz w:val="21"/>
          <w:szCs w:val="21"/>
          <w:highlight w:val="none"/>
        </w:rPr>
        <w:t>）是否涉及节能产品：</w:t>
      </w:r>
    </w:p>
    <w:p w14:paraId="7D9AF01C">
      <w:pPr>
        <w:pStyle w:val="387"/>
        <w:ind w:firstLine="420" w:firstLineChars="200"/>
        <w:outlineLvl w:val="9"/>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是，《节能产品政府采购品目清单》的底级品目名称：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iCs/>
          <w:color w:val="auto"/>
          <w:sz w:val="21"/>
          <w:szCs w:val="21"/>
          <w:highlight w:val="none"/>
        </w:rPr>
        <w:t xml:space="preserve">     </w:t>
      </w:r>
    </w:p>
    <w:p w14:paraId="03E13D65">
      <w:pPr>
        <w:pStyle w:val="387"/>
        <w:ind w:left="360" w:firstLine="420" w:firstLineChars="200"/>
        <w:outlineLvl w:val="9"/>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强制采购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优先采购    </w:t>
      </w:r>
    </w:p>
    <w:p w14:paraId="3E8C30FA">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否</w:t>
      </w:r>
    </w:p>
    <w:p w14:paraId="1C12A9D8">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是否涉及环境标志产品：</w:t>
      </w:r>
    </w:p>
    <w:p w14:paraId="07B6BD41">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是，《环境标志产品政府采购品目清单》的底级品目名称：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iCs/>
          <w:color w:val="auto"/>
          <w:sz w:val="21"/>
          <w:szCs w:val="21"/>
          <w:highlight w:val="none"/>
        </w:rPr>
        <w:t xml:space="preserve"> </w:t>
      </w:r>
    </w:p>
    <w:p w14:paraId="4118F521">
      <w:pPr>
        <w:pStyle w:val="387"/>
        <w:ind w:left="360" w:firstLine="420" w:firstLineChars="200"/>
        <w:outlineLvl w:val="9"/>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强制采购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优先采购    </w:t>
      </w:r>
    </w:p>
    <w:p w14:paraId="073194F0">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否</w:t>
      </w:r>
    </w:p>
    <w:p w14:paraId="0B96099F">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是否涉及绿色产品： </w:t>
      </w:r>
    </w:p>
    <w:p w14:paraId="46BCE510">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是，绿色产品政府采购相关政策确定的底级品目名称：</w:t>
      </w:r>
      <w:r>
        <w:rPr>
          <w:rFonts w:hint="eastAsia" w:ascii="宋体" w:hAnsi="宋体" w:eastAsia="宋体" w:cs="宋体"/>
          <w:color w:val="auto"/>
          <w:sz w:val="21"/>
          <w:szCs w:val="21"/>
          <w:highlight w:val="none"/>
          <w:u w:val="single"/>
        </w:rPr>
        <w:t xml:space="preserve">         </w:t>
      </w:r>
    </w:p>
    <w:p w14:paraId="406E07A9">
      <w:pPr>
        <w:pStyle w:val="387"/>
        <w:ind w:left="360" w:firstLine="420" w:firstLineChars="200"/>
        <w:outlineLvl w:val="9"/>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强制采购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优先采购    </w:t>
      </w:r>
    </w:p>
    <w:p w14:paraId="3C2925D2">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否</w:t>
      </w:r>
    </w:p>
    <w:p w14:paraId="23F444B7">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
        </w:rPr>
        <w:t>1</w:t>
      </w:r>
      <w:r>
        <w:rPr>
          <w:rFonts w:hint="eastAsia" w:ascii="宋体" w:hAnsi="宋体" w:eastAsia="宋体" w:cs="宋体"/>
          <w:color w:val="auto"/>
          <w:sz w:val="21"/>
          <w:szCs w:val="21"/>
          <w:highlight w:val="none"/>
        </w:rPr>
        <w:t>）涉及商品包装和快递包装的，是否参考《商品包装政府采购需求标准（试行）》、《快递包装政府采购需求标准（试行）》明确产品及相关快递服务的具体包装要求：</w:t>
      </w:r>
    </w:p>
    <w:p w14:paraId="377E8F82">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 xml:space="preserve">否      </w:t>
      </w: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不涉及</w:t>
      </w:r>
    </w:p>
    <w:p w14:paraId="2BA65715">
      <w:pPr>
        <w:pStyle w:val="387"/>
        <w:ind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2.合同金额</w:t>
      </w:r>
    </w:p>
    <w:p w14:paraId="551041C8">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（1）合同金额小写：</w:t>
      </w:r>
      <w:r>
        <w:rPr>
          <w:rFonts w:hint="eastAsia" w:ascii="宋体" w:hAnsi="宋体" w:eastAsia="宋体" w:cs="宋体"/>
          <w:color w:val="auto"/>
          <w:sz w:val="21"/>
          <w:szCs w:val="21"/>
          <w:highlight w:val="none"/>
          <w:u w:val="single"/>
        </w:rPr>
        <w:t xml:space="preserve">                           </w:t>
      </w:r>
    </w:p>
    <w:p w14:paraId="5853248C">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大写：</w:t>
      </w:r>
      <w:r>
        <w:rPr>
          <w:rFonts w:hint="eastAsia" w:ascii="宋体" w:hAnsi="宋体" w:eastAsia="宋体" w:cs="宋体"/>
          <w:color w:val="auto"/>
          <w:sz w:val="21"/>
          <w:szCs w:val="21"/>
          <w:highlight w:val="none"/>
          <w:u w:val="single"/>
        </w:rPr>
        <w:t xml:space="preserve">                           </w:t>
      </w:r>
    </w:p>
    <w:p w14:paraId="428EA808">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分包金额（如有）小写：</w:t>
      </w:r>
      <w:r>
        <w:rPr>
          <w:rFonts w:hint="eastAsia" w:ascii="宋体" w:hAnsi="宋体" w:eastAsia="宋体" w:cs="宋体"/>
          <w:color w:val="auto"/>
          <w:sz w:val="21"/>
          <w:szCs w:val="21"/>
          <w:highlight w:val="none"/>
          <w:u w:val="single"/>
        </w:rPr>
        <w:t xml:space="preserve">                   </w:t>
      </w:r>
    </w:p>
    <w:p w14:paraId="2EBA8978">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大写：</w:t>
      </w:r>
      <w:r>
        <w:rPr>
          <w:rFonts w:hint="eastAsia" w:ascii="宋体" w:hAnsi="宋体" w:eastAsia="宋体" w:cs="宋体"/>
          <w:color w:val="auto"/>
          <w:sz w:val="21"/>
          <w:szCs w:val="21"/>
          <w:highlight w:val="none"/>
          <w:u w:val="single"/>
        </w:rPr>
        <w:t xml:space="preserve">                   </w:t>
      </w:r>
    </w:p>
    <w:p w14:paraId="2D1DB4EC">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（注：固定单价合同应填写单价和最高限价）</w:t>
      </w:r>
    </w:p>
    <w:p w14:paraId="72ACD1C3">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（2）合同定价方式（采用组合定价方式的，可以勾选多项）：</w:t>
      </w:r>
    </w:p>
    <w:p w14:paraId="362F8402">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FE"/>
      </w:r>
      <w:r>
        <w:rPr>
          <w:rFonts w:hint="eastAsia" w:ascii="宋体" w:hAnsi="宋体" w:eastAsia="宋体" w:cs="宋体"/>
          <w:iCs/>
          <w:color w:val="auto"/>
          <w:sz w:val="21"/>
          <w:szCs w:val="21"/>
          <w:highlight w:val="none"/>
        </w:rPr>
        <w:t xml:space="preserve">固定总价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固定单价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固定费率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成本补偿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 xml:space="preserve">绩效激励 </w:t>
      </w:r>
      <w:r>
        <w:rPr>
          <w:rFonts w:hint="eastAsia" w:ascii="宋体" w:hAnsi="宋体" w:eastAsia="宋体" w:cs="宋体"/>
          <w:iCs/>
          <w:color w:val="auto"/>
          <w:sz w:val="21"/>
          <w:szCs w:val="21"/>
          <w:highlight w:val="none"/>
        </w:rPr>
        <w:sym w:font="Wingdings" w:char="F0A8"/>
      </w:r>
      <w:r>
        <w:rPr>
          <w:rFonts w:hint="eastAsia" w:ascii="宋体" w:hAnsi="宋体" w:eastAsia="宋体" w:cs="宋体"/>
          <w:iCs/>
          <w:color w:val="auto"/>
          <w:sz w:val="21"/>
          <w:szCs w:val="21"/>
          <w:highlight w:val="none"/>
        </w:rPr>
        <w:t>其他</w:t>
      </w:r>
      <w:r>
        <w:rPr>
          <w:rFonts w:hint="eastAsia" w:ascii="宋体" w:hAnsi="宋体" w:eastAsia="宋体" w:cs="宋体"/>
          <w:color w:val="auto"/>
          <w:sz w:val="21"/>
          <w:szCs w:val="21"/>
          <w:highlight w:val="none"/>
          <w:u w:val="single"/>
        </w:rPr>
        <w:t xml:space="preserve">       </w:t>
      </w:r>
    </w:p>
    <w:p w14:paraId="128816EC">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（3）付款方式（按项目实际勾选填写）：</w:t>
      </w:r>
    </w:p>
    <w:p w14:paraId="60DAF603">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全额付款：</w:t>
      </w:r>
      <w:r>
        <w:rPr>
          <w:rFonts w:hint="eastAsia" w:ascii="宋体" w:hAnsi="宋体" w:eastAsia="宋体" w:cs="宋体"/>
          <w:color w:val="auto"/>
          <w:sz w:val="21"/>
          <w:szCs w:val="21"/>
          <w:highlight w:val="none"/>
          <w:u w:val="single"/>
        </w:rPr>
        <w:t xml:space="preserve">                 </w:t>
      </w:r>
    </w:p>
    <w:p w14:paraId="6DF0F0DC">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分期付款：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(1)第一期:合同生效以及具备实施条件后10个工作日</w:t>
      </w:r>
      <w:ins w:id="138" w:author="JDZBzheng" w:date="2026-06-30T11:24:55Z">
        <w:r>
          <w:rPr>
            <w:rFonts w:hint="eastAsia" w:cs="宋体"/>
            <w:color w:val="auto"/>
            <w:sz w:val="21"/>
            <w:szCs w:val="21"/>
            <w:highlight w:val="none"/>
            <w:u w:val="single"/>
            <w:lang w:val="en-US" w:eastAsia="zh-CN"/>
          </w:rPr>
          <w:t>内</w:t>
        </w:r>
      </w:ins>
      <w:r>
        <w:rPr>
          <w:rFonts w:hint="eastAsia" w:eastAsia="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lang w:val="en-US" w:eastAsia="zh-CN"/>
        </w:rPr>
        <w:t>向</w:t>
      </w:r>
      <w:r>
        <w:rPr>
          <w:rFonts w:hint="eastAsia" w:eastAsia="宋体" w:cs="宋体"/>
          <w:color w:val="auto"/>
          <w:sz w:val="21"/>
          <w:szCs w:val="21"/>
          <w:highlight w:val="none"/>
          <w:u w:val="single"/>
          <w:lang w:val="en-US" w:eastAsia="zh-CN"/>
        </w:rPr>
        <w:t>乙方</w:t>
      </w:r>
      <w:r>
        <w:rPr>
          <w:rFonts w:hint="eastAsia" w:ascii="宋体" w:hAnsi="宋体" w:eastAsia="宋体" w:cs="宋体"/>
          <w:color w:val="auto"/>
          <w:sz w:val="21"/>
          <w:szCs w:val="21"/>
          <w:highlight w:val="none"/>
          <w:u w:val="single"/>
          <w:lang w:val="en-US" w:eastAsia="zh-CN"/>
        </w:rPr>
        <w:t>支付合同款30%作为预付款:(2)第二期:全部货物到达指定地点、安装调试并验收合格后，凭双方签署验收合格报告，</w:t>
      </w:r>
      <w:r>
        <w:rPr>
          <w:rFonts w:hint="eastAsia" w:eastAsia="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lang w:val="en-US" w:eastAsia="zh-CN"/>
        </w:rPr>
        <w:t>支付至合同总金额的97%（如</w:t>
      </w:r>
      <w:r>
        <w:rPr>
          <w:rFonts w:hint="eastAsia" w:eastAsia="宋体" w:cs="宋体"/>
          <w:color w:val="auto"/>
          <w:sz w:val="21"/>
          <w:szCs w:val="21"/>
          <w:highlight w:val="none"/>
          <w:u w:val="single"/>
          <w:lang w:val="en-US" w:eastAsia="zh-CN"/>
        </w:rPr>
        <w:t>乙方</w:t>
      </w:r>
      <w:r>
        <w:rPr>
          <w:rFonts w:hint="eastAsia" w:ascii="宋体" w:hAnsi="宋体" w:eastAsia="宋体" w:cs="宋体"/>
          <w:color w:val="auto"/>
          <w:sz w:val="21"/>
          <w:szCs w:val="21"/>
          <w:highlight w:val="none"/>
          <w:u w:val="single"/>
          <w:lang w:val="en-US" w:eastAsia="zh-CN"/>
        </w:rPr>
        <w:t>为中小企业的则为100%)。（3）第三期：3年内支付剩余3%尾款。转账前</w:t>
      </w:r>
      <w:r>
        <w:rPr>
          <w:rFonts w:hint="eastAsia" w:eastAsia="宋体" w:cs="宋体"/>
          <w:color w:val="auto"/>
          <w:sz w:val="21"/>
          <w:szCs w:val="21"/>
          <w:highlight w:val="none"/>
          <w:u w:val="single"/>
          <w:lang w:val="en-US" w:eastAsia="zh-CN"/>
        </w:rPr>
        <w:t>乙方</w:t>
      </w:r>
      <w:r>
        <w:rPr>
          <w:rFonts w:hint="eastAsia" w:ascii="宋体" w:hAnsi="宋体" w:eastAsia="宋体" w:cs="宋体"/>
          <w:color w:val="auto"/>
          <w:sz w:val="21"/>
          <w:szCs w:val="21"/>
          <w:highlight w:val="none"/>
          <w:u w:val="single"/>
          <w:lang w:val="en-US" w:eastAsia="zh-CN"/>
        </w:rPr>
        <w:t>需向</w:t>
      </w:r>
      <w:r>
        <w:rPr>
          <w:rFonts w:hint="eastAsia" w:eastAsia="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lang w:val="en-US" w:eastAsia="zh-CN"/>
        </w:rPr>
        <w:t>提供合法的等额发票。</w:t>
      </w:r>
      <w:r>
        <w:rPr>
          <w:rFonts w:hint="eastAsia"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23F6F07C">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成本补偿：</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p w14:paraId="3B7AB462">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绩效激励：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4FC100E7">
      <w:pPr>
        <w:pStyle w:val="387"/>
        <w:ind w:firstLineChars="200"/>
        <w:outlineLvl w:val="9"/>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rPr>
        <w:t>3.合同履行</w:t>
      </w:r>
    </w:p>
    <w:p w14:paraId="681C6C61">
      <w:pPr>
        <w:pStyle w:val="387"/>
        <w:ind w:firstLine="420" w:firstLineChars="200"/>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（1）起始日期：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日，完成日期：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r>
        <w:rPr>
          <w:rFonts w:hint="eastAsia" w:cs="宋体"/>
          <w:color w:val="auto"/>
          <w:sz w:val="21"/>
          <w:szCs w:val="21"/>
          <w:highlight w:val="none"/>
          <w:lang w:eastAsia="zh-CN"/>
        </w:rPr>
        <w:t>。</w:t>
      </w:r>
    </w:p>
    <w:p w14:paraId="00A92EDE">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（2）履约地点</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u w:val="single"/>
        </w:rPr>
        <w:t xml:space="preserve"> 北海市</w:t>
      </w:r>
      <w:r>
        <w:rPr>
          <w:rFonts w:hint="eastAsia" w:ascii="宋体" w:hAnsi="宋体" w:eastAsia="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 xml:space="preserve">指定地点 </w:t>
      </w:r>
    </w:p>
    <w:p w14:paraId="52C6F8DB">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（3）履约担保：</w:t>
      </w:r>
      <w:r>
        <w:rPr>
          <w:rFonts w:hint="eastAsia" w:ascii="宋体" w:hAnsi="宋体" w:eastAsia="宋体" w:cs="宋体"/>
          <w:color w:val="auto"/>
          <w:sz w:val="21"/>
          <w:szCs w:val="21"/>
          <w:highlight w:val="none"/>
        </w:rPr>
        <w:t>是否收取履约保证金：</w:t>
      </w:r>
      <w:r>
        <w:rPr>
          <w:rFonts w:hint="eastAsia" w:ascii="宋体" w:hAnsi="宋体" w:eastAsia="宋体" w:cs="宋体"/>
          <w:color w:val="auto"/>
          <w:sz w:val="21"/>
          <w:szCs w:val="21"/>
          <w:highlight w:val="none"/>
        </w:rPr>
        <w:sym w:font="Wingdings" w:char="F0A8"/>
      </w:r>
      <w:r>
        <w:rPr>
          <w:rFonts w:hint="eastAsia" w:ascii="宋体" w:hAnsi="宋体" w:eastAsia="宋体" w:cs="宋体"/>
          <w:color w:val="auto"/>
          <w:sz w:val="21"/>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否</w:t>
      </w:r>
    </w:p>
    <w:p w14:paraId="641E0B3B">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收取履约保证金形式：</w:t>
      </w:r>
      <w:r>
        <w:rPr>
          <w:rFonts w:hint="eastAsia" w:ascii="宋体" w:hAnsi="宋体" w:eastAsia="宋体" w:cs="宋体"/>
          <w:bCs/>
          <w:color w:val="auto"/>
          <w:sz w:val="21"/>
          <w:szCs w:val="21"/>
          <w:highlight w:val="none"/>
          <w:u w:val="single"/>
        </w:rPr>
        <w:t xml:space="preserve">                            </w:t>
      </w:r>
    </w:p>
    <w:p w14:paraId="5331E8DF">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收取履约保证金金额：</w:t>
      </w:r>
      <w:r>
        <w:rPr>
          <w:rFonts w:hint="eastAsia" w:ascii="宋体" w:hAnsi="宋体" w:eastAsia="宋体" w:cs="宋体"/>
          <w:bCs/>
          <w:color w:val="auto"/>
          <w:sz w:val="21"/>
          <w:szCs w:val="21"/>
          <w:highlight w:val="none"/>
          <w:u w:val="single"/>
        </w:rPr>
        <w:t xml:space="preserve">                            </w:t>
      </w:r>
    </w:p>
    <w:p w14:paraId="699852A9">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履约担保期限：</w:t>
      </w:r>
      <w:r>
        <w:rPr>
          <w:rFonts w:hint="eastAsia" w:ascii="宋体" w:hAnsi="宋体" w:eastAsia="宋体" w:cs="宋体"/>
          <w:bCs/>
          <w:color w:val="auto"/>
          <w:sz w:val="21"/>
          <w:szCs w:val="21"/>
          <w:highlight w:val="none"/>
          <w:u w:val="single"/>
        </w:rPr>
        <w:t xml:space="preserve">                                  </w:t>
      </w:r>
    </w:p>
    <w:p w14:paraId="04E9A3F2">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（4）分期履行要求：</w:t>
      </w:r>
      <w:r>
        <w:rPr>
          <w:rFonts w:hint="eastAsia" w:ascii="宋体" w:hAnsi="宋体" w:eastAsia="宋体" w:cs="宋体"/>
          <w:bCs/>
          <w:color w:val="auto"/>
          <w:sz w:val="21"/>
          <w:szCs w:val="21"/>
          <w:highlight w:val="none"/>
          <w:u w:val="single"/>
        </w:rPr>
        <w:t xml:space="preserve">                                                        </w:t>
      </w:r>
    </w:p>
    <w:p w14:paraId="29EC30D0">
      <w:pPr>
        <w:pStyle w:val="387"/>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（5）风险处置措施和替代方案：</w:t>
      </w:r>
      <w:r>
        <w:rPr>
          <w:rFonts w:hint="eastAsia" w:ascii="宋体" w:hAnsi="宋体" w:eastAsia="宋体" w:cs="宋体"/>
          <w:color w:val="auto"/>
          <w:sz w:val="21"/>
          <w:szCs w:val="21"/>
          <w:highlight w:val="none"/>
          <w:u w:val="single"/>
        </w:rPr>
        <w:t xml:space="preserve">                                                               </w:t>
      </w:r>
    </w:p>
    <w:p w14:paraId="60FEA917">
      <w:pPr>
        <w:pStyle w:val="387"/>
        <w:ind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4.合同验收</w:t>
      </w:r>
    </w:p>
    <w:p w14:paraId="13EEB3E4">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验收组织方式：</w:t>
      </w:r>
      <w:r>
        <w:rPr>
          <w:rFonts w:hint="eastAsia" w:ascii="宋体" w:hAnsi="宋体" w:eastAsia="宋体" w:cs="宋体"/>
          <w:color w:val="auto"/>
          <w:sz w:val="21"/>
          <w:szCs w:val="21"/>
          <w:highlight w:val="none"/>
        </w:rPr>
        <w:sym w:font="Wingdings" w:char="00FE"/>
      </w:r>
      <w:r>
        <w:rPr>
          <w:rFonts w:hint="eastAsia" w:ascii="宋体" w:hAnsi="宋体" w:eastAsia="宋体" w:cs="宋体"/>
          <w:bCs/>
          <w:color w:val="auto"/>
          <w:sz w:val="21"/>
          <w:szCs w:val="21"/>
          <w:highlight w:val="none"/>
        </w:rPr>
        <w:t xml:space="preserve">自行组织 </w:t>
      </w:r>
      <w:r>
        <w:rPr>
          <w:rFonts w:hint="eastAsia" w:ascii="宋体" w:hAnsi="宋体" w:eastAsia="宋体" w:cs="宋体"/>
          <w:color w:val="auto"/>
          <w:sz w:val="21"/>
          <w:szCs w:val="21"/>
          <w:highlight w:val="none"/>
        </w:rPr>
        <w:sym w:font="Wingdings" w:char="F0A8"/>
      </w:r>
      <w:r>
        <w:rPr>
          <w:rFonts w:hint="eastAsia" w:ascii="宋体" w:hAnsi="宋体" w:eastAsia="宋体" w:cs="宋体"/>
          <w:bCs/>
          <w:color w:val="auto"/>
          <w:sz w:val="21"/>
          <w:szCs w:val="21"/>
          <w:highlight w:val="none"/>
        </w:rPr>
        <w:t>委托第三方组织</w:t>
      </w:r>
    </w:p>
    <w:p w14:paraId="60353565">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验收主体：</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甲方</w:t>
      </w:r>
      <w:r>
        <w:rPr>
          <w:rFonts w:hint="eastAsia" w:ascii="宋体" w:hAnsi="宋体" w:eastAsia="宋体" w:cs="宋体"/>
          <w:bCs/>
          <w:color w:val="auto"/>
          <w:sz w:val="21"/>
          <w:szCs w:val="21"/>
          <w:highlight w:val="none"/>
          <w:u w:val="single"/>
        </w:rPr>
        <w:t xml:space="preserve"> </w:t>
      </w:r>
    </w:p>
    <w:p w14:paraId="5F74E9A1">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是否邀请本项目的其他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参加验收：</w:t>
      </w:r>
      <w:r>
        <w:rPr>
          <w:rFonts w:hint="eastAsia" w:ascii="宋体" w:hAnsi="宋体" w:eastAsia="宋体" w:cs="宋体"/>
          <w:color w:val="auto"/>
          <w:sz w:val="21"/>
          <w:szCs w:val="21"/>
          <w:highlight w:val="none"/>
        </w:rPr>
        <w:sym w:font="Wingdings" w:char="F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宋体"/>
          <w:bCs/>
          <w:color w:val="auto"/>
          <w:sz w:val="21"/>
          <w:szCs w:val="21"/>
          <w:highlight w:val="none"/>
        </w:rPr>
        <w:t>否</w:t>
      </w:r>
    </w:p>
    <w:p w14:paraId="15487CD4">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是否邀请专家参加验收：</w:t>
      </w:r>
      <w:r>
        <w:rPr>
          <w:rFonts w:hint="eastAsia" w:ascii="宋体" w:hAnsi="宋体" w:eastAsia="宋体" w:cs="宋体"/>
          <w:color w:val="auto"/>
          <w:sz w:val="21"/>
          <w:szCs w:val="21"/>
          <w:highlight w:val="none"/>
        </w:rPr>
        <w:sym w:font="Wingdings" w:char="F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宋体"/>
          <w:bCs/>
          <w:color w:val="auto"/>
          <w:sz w:val="21"/>
          <w:szCs w:val="21"/>
          <w:highlight w:val="none"/>
        </w:rPr>
        <w:t>否</w:t>
      </w:r>
    </w:p>
    <w:p w14:paraId="1C54C08F">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是否邀请服务对象参加验收：</w:t>
      </w:r>
      <w:r>
        <w:rPr>
          <w:rFonts w:hint="eastAsia" w:ascii="宋体" w:hAnsi="宋体" w:eastAsia="宋体" w:cs="宋体"/>
          <w:color w:val="auto"/>
          <w:sz w:val="21"/>
          <w:szCs w:val="21"/>
          <w:highlight w:val="none"/>
        </w:rPr>
        <w:sym w:font="Wingdings" w:char="F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宋体"/>
          <w:bCs/>
          <w:color w:val="auto"/>
          <w:sz w:val="21"/>
          <w:szCs w:val="21"/>
          <w:highlight w:val="none"/>
        </w:rPr>
        <w:t>否</w:t>
      </w:r>
    </w:p>
    <w:p w14:paraId="763D1001">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是否邀请第三方检测机构参加验收：</w:t>
      </w:r>
      <w:r>
        <w:rPr>
          <w:rFonts w:hint="eastAsia" w:ascii="宋体" w:hAnsi="宋体" w:eastAsia="宋体" w:cs="宋体"/>
          <w:color w:val="auto"/>
          <w:sz w:val="21"/>
          <w:szCs w:val="21"/>
          <w:highlight w:val="none"/>
        </w:rPr>
        <w:sym w:font="Wingdings" w:char="F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宋体"/>
          <w:bCs/>
          <w:color w:val="auto"/>
          <w:sz w:val="21"/>
          <w:szCs w:val="21"/>
          <w:highlight w:val="none"/>
        </w:rPr>
        <w:t>否</w:t>
      </w:r>
    </w:p>
    <w:p w14:paraId="5545A7F3">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是否进行抽查检测：</w:t>
      </w:r>
      <w:r>
        <w:rPr>
          <w:rFonts w:hint="eastAsia" w:ascii="宋体" w:hAnsi="宋体" w:eastAsia="宋体" w:cs="宋体"/>
          <w:color w:val="auto"/>
          <w:sz w:val="21"/>
          <w:szCs w:val="21"/>
          <w:highlight w:val="none"/>
        </w:rPr>
        <w:sym w:font="Wingdings" w:char="F0A8"/>
      </w:r>
      <w:r>
        <w:rPr>
          <w:rFonts w:hint="eastAsia" w:ascii="宋体" w:hAnsi="宋体" w:eastAsia="宋体" w:cs="宋体"/>
          <w:bCs/>
          <w:color w:val="auto"/>
          <w:sz w:val="21"/>
          <w:szCs w:val="21"/>
          <w:highlight w:val="none"/>
        </w:rPr>
        <w:t>是，抽查比例：</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r>
        <w:rPr>
          <w:rFonts w:hint="eastAsia" w:ascii="宋体" w:hAnsi="宋体" w:eastAsia="宋体" w:cs="宋体"/>
          <w:color w:val="auto"/>
          <w:sz w:val="21"/>
          <w:szCs w:val="21"/>
          <w:highlight w:val="none"/>
        </w:rPr>
        <w:sym w:font="Wingdings" w:char="00FE"/>
      </w:r>
      <w:r>
        <w:rPr>
          <w:rFonts w:hint="eastAsia" w:ascii="宋体" w:hAnsi="宋体" w:eastAsia="宋体" w:cs="宋体"/>
          <w:bCs/>
          <w:color w:val="auto"/>
          <w:sz w:val="21"/>
          <w:szCs w:val="21"/>
          <w:highlight w:val="none"/>
        </w:rPr>
        <w:t>否</w:t>
      </w:r>
    </w:p>
    <w:p w14:paraId="744A644F">
      <w:pPr>
        <w:pStyle w:val="387"/>
        <w:ind w:firstLine="420" w:firstLineChars="20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是否存在破坏性检测：</w:t>
      </w:r>
      <w:r>
        <w:rPr>
          <w:rFonts w:hint="eastAsia" w:ascii="宋体" w:hAnsi="宋体" w:eastAsia="宋体" w:cs="宋体"/>
          <w:color w:val="auto"/>
          <w:sz w:val="21"/>
          <w:szCs w:val="21"/>
          <w:highlight w:val="none"/>
        </w:rPr>
        <w:sym w:font="Wingdings" w:char="F0A8"/>
      </w:r>
      <w:r>
        <w:rPr>
          <w:rFonts w:hint="eastAsia" w:ascii="宋体" w:hAnsi="宋体" w:eastAsia="宋体" w:cs="宋体"/>
          <w:bCs/>
          <w:color w:val="auto"/>
          <w:sz w:val="21"/>
          <w:szCs w:val="21"/>
          <w:highlight w:val="none"/>
        </w:rPr>
        <w:t>是，</w:t>
      </w:r>
      <w:r>
        <w:rPr>
          <w:rFonts w:hint="eastAsia" w:ascii="宋体" w:hAnsi="宋体" w:eastAsia="宋体" w:cs="宋体"/>
          <w:bCs/>
          <w:color w:val="auto"/>
          <w:sz w:val="21"/>
          <w:szCs w:val="21"/>
          <w:highlight w:val="none"/>
          <w:u w:val="single"/>
        </w:rPr>
        <w:t>（应明确对被破坏的检测产品的处理方式）</w:t>
      </w:r>
    </w:p>
    <w:p w14:paraId="4F966C23">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w:t>
      </w:r>
      <w:r>
        <w:rPr>
          <w:rFonts w:hint="eastAsia" w:ascii="宋体" w:hAnsi="宋体" w:eastAsia="宋体" w:cs="宋体"/>
          <w:color w:val="auto"/>
          <w:sz w:val="21"/>
          <w:szCs w:val="21"/>
          <w:highlight w:val="none"/>
        </w:rPr>
        <w:sym w:font="Wingdings" w:char="00FE"/>
      </w:r>
      <w:r>
        <w:rPr>
          <w:rFonts w:hint="eastAsia" w:ascii="宋体" w:hAnsi="宋体" w:eastAsia="宋体" w:cs="宋体"/>
          <w:bCs/>
          <w:color w:val="auto"/>
          <w:sz w:val="21"/>
          <w:szCs w:val="21"/>
          <w:highlight w:val="none"/>
        </w:rPr>
        <w:t>否</w:t>
      </w:r>
    </w:p>
    <w:p w14:paraId="40C3424C">
      <w:pPr>
        <w:pStyle w:val="387"/>
        <w:ind w:firstLine="420" w:firstLineChars="20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验收组织的其他事项：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无</w:t>
      </w:r>
      <w:r>
        <w:rPr>
          <w:rFonts w:hint="eastAsia" w:ascii="宋体" w:hAnsi="宋体" w:eastAsia="宋体" w:cs="宋体"/>
          <w:bCs/>
          <w:color w:val="auto"/>
          <w:sz w:val="21"/>
          <w:szCs w:val="21"/>
          <w:highlight w:val="none"/>
          <w:u w:val="single"/>
        </w:rPr>
        <w:t xml:space="preserve">       </w:t>
      </w:r>
    </w:p>
    <w:p w14:paraId="7FE50577">
      <w:pPr>
        <w:pStyle w:val="387"/>
        <w:ind w:firstLine="420" w:firstLineChars="20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（2）履约验收时间：</w:t>
      </w:r>
      <w:r>
        <w:rPr>
          <w:rFonts w:hint="eastAsia" w:ascii="宋体" w:hAnsi="宋体" w:eastAsia="宋体" w:cs="宋体"/>
          <w:bCs/>
          <w:color w:val="auto"/>
          <w:sz w:val="21"/>
          <w:szCs w:val="21"/>
          <w:highlight w:val="none"/>
          <w:u w:val="single"/>
        </w:rPr>
        <w:t>（计划于何时验收/</w:t>
      </w:r>
      <w:r>
        <w:rPr>
          <w:rFonts w:hint="eastAsia" w:ascii="宋体" w:hAnsi="宋体" w:eastAsia="宋体" w:cs="宋体"/>
          <w:bCs/>
          <w:color w:val="auto"/>
          <w:sz w:val="21"/>
          <w:szCs w:val="21"/>
          <w:highlight w:val="none"/>
          <w:u w:val="single"/>
          <w:lang w:eastAsia="zh-CN"/>
        </w:rPr>
        <w:t>投标人</w:t>
      </w:r>
      <w:r>
        <w:rPr>
          <w:rFonts w:hint="eastAsia" w:ascii="宋体" w:hAnsi="宋体" w:eastAsia="宋体" w:cs="宋体"/>
          <w:bCs/>
          <w:color w:val="auto"/>
          <w:sz w:val="21"/>
          <w:szCs w:val="21"/>
          <w:highlight w:val="none"/>
          <w:u w:val="single"/>
        </w:rPr>
        <w:t>提出验收申请之日起</w:t>
      </w:r>
      <w:r>
        <w:rPr>
          <w:rFonts w:hint="eastAsia" w:ascii="宋体" w:hAnsi="宋体" w:eastAsia="宋体" w:cs="宋体"/>
          <w:bCs/>
          <w:color w:val="auto"/>
          <w:sz w:val="21"/>
          <w:szCs w:val="21"/>
          <w:highlight w:val="none"/>
          <w:u w:val="single"/>
          <w:lang w:val="en-US" w:eastAsia="zh-CN"/>
        </w:rPr>
        <w:t>5个工作</w:t>
      </w:r>
      <w:r>
        <w:rPr>
          <w:rFonts w:hint="eastAsia" w:ascii="宋体" w:hAnsi="宋体" w:eastAsia="宋体" w:cs="宋体"/>
          <w:bCs/>
          <w:color w:val="auto"/>
          <w:sz w:val="21"/>
          <w:szCs w:val="21"/>
          <w:highlight w:val="none"/>
          <w:u w:val="single"/>
        </w:rPr>
        <w:t xml:space="preserve">日内组织验收） </w:t>
      </w:r>
    </w:p>
    <w:p w14:paraId="4546779A">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（3）履约验收方式：</w:t>
      </w:r>
      <w:r>
        <w:rPr>
          <w:rFonts w:hint="eastAsia" w:ascii="宋体" w:hAnsi="宋体" w:eastAsia="宋体" w:cs="宋体"/>
          <w:color w:val="auto"/>
          <w:sz w:val="21"/>
          <w:szCs w:val="21"/>
          <w:highlight w:val="none"/>
        </w:rPr>
        <w:sym w:font="Wingdings" w:char="F0A8"/>
      </w:r>
      <w:r>
        <w:rPr>
          <w:rFonts w:hint="eastAsia" w:ascii="宋体" w:hAnsi="宋体" w:eastAsia="宋体" w:cs="宋体"/>
          <w:bCs/>
          <w:color w:val="auto"/>
          <w:sz w:val="21"/>
          <w:szCs w:val="21"/>
          <w:highlight w:val="none"/>
        </w:rPr>
        <w:t xml:space="preserve">一次性验收         </w:t>
      </w:r>
    </w:p>
    <w:p w14:paraId="7B10F93C">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w:t>
      </w:r>
      <w:r>
        <w:rPr>
          <w:rFonts w:hint="eastAsia" w:ascii="宋体" w:hAnsi="宋体" w:eastAsia="宋体" w:cs="宋体"/>
          <w:color w:val="auto"/>
          <w:sz w:val="21"/>
          <w:szCs w:val="21"/>
          <w:highlight w:val="none"/>
        </w:rPr>
        <w:sym w:font="Wingdings" w:char="F0A8"/>
      </w:r>
      <w:r>
        <w:rPr>
          <w:rFonts w:hint="eastAsia" w:ascii="宋体" w:hAnsi="宋体" w:eastAsia="宋体" w:cs="宋体"/>
          <w:bCs/>
          <w:color w:val="auto"/>
          <w:sz w:val="21"/>
          <w:szCs w:val="21"/>
          <w:highlight w:val="none"/>
        </w:rPr>
        <w:t>分期/分项验收：</w:t>
      </w:r>
      <w:r>
        <w:rPr>
          <w:rFonts w:hint="eastAsia" w:ascii="宋体" w:hAnsi="宋体" w:eastAsia="宋体" w:cs="宋体"/>
          <w:bCs/>
          <w:color w:val="auto"/>
          <w:sz w:val="21"/>
          <w:szCs w:val="21"/>
          <w:highlight w:val="none"/>
          <w:u w:val="single"/>
        </w:rPr>
        <w:t xml:space="preserve"> （应明确分期</w:t>
      </w:r>
      <w:r>
        <w:rPr>
          <w:rFonts w:hint="eastAsia" w:ascii="宋体" w:hAnsi="宋体" w:eastAsia="宋体" w:cs="宋体"/>
          <w:bCs/>
          <w:color w:val="auto"/>
          <w:sz w:val="21"/>
          <w:szCs w:val="21"/>
          <w:highlight w:val="none"/>
          <w:u w:val="single"/>
          <w:lang w:val="en"/>
        </w:rPr>
        <w:t>/分项验收的工作安排</w:t>
      </w:r>
      <w:r>
        <w:rPr>
          <w:rFonts w:hint="eastAsia" w:ascii="宋体" w:hAnsi="宋体" w:eastAsia="宋体" w:cs="宋体"/>
          <w:bCs/>
          <w:color w:val="auto"/>
          <w:sz w:val="21"/>
          <w:szCs w:val="21"/>
          <w:highlight w:val="none"/>
          <w:u w:val="single"/>
        </w:rPr>
        <w:t xml:space="preserve">）  </w:t>
      </w:r>
    </w:p>
    <w:p w14:paraId="30B7638E">
      <w:pPr>
        <w:pStyle w:val="387"/>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（4）履约验收程序：</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先进行名称、数量、品牌、型号的初步验收，</w:t>
      </w:r>
      <w:ins w:id="139" w:author="JDZBzheng" w:date="2026-06-30T11:25:04Z">
        <w:r>
          <w:rPr>
            <w:rFonts w:hint="eastAsia" w:cs="宋体"/>
            <w:bCs/>
            <w:color w:val="auto"/>
            <w:sz w:val="21"/>
            <w:szCs w:val="21"/>
            <w:highlight w:val="none"/>
            <w:u w:val="single"/>
            <w:lang w:val="en-US" w:eastAsia="zh-CN"/>
          </w:rPr>
          <w:t>再</w:t>
        </w:r>
      </w:ins>
      <w:r>
        <w:rPr>
          <w:rFonts w:hint="eastAsia" w:ascii="宋体" w:hAnsi="宋体" w:eastAsia="宋体" w:cs="宋体"/>
          <w:bCs/>
          <w:color w:val="auto"/>
          <w:sz w:val="21"/>
          <w:szCs w:val="21"/>
          <w:highlight w:val="none"/>
          <w:u w:val="single"/>
          <w:lang w:val="en-US" w:eastAsia="zh-CN"/>
        </w:rPr>
        <w:t>对设备的技术性能进行验收。</w:t>
      </w:r>
      <w:r>
        <w:rPr>
          <w:rFonts w:hint="eastAsia" w:ascii="宋体" w:hAnsi="宋体" w:eastAsia="宋体" w:cs="宋体"/>
          <w:bCs/>
          <w:color w:val="auto"/>
          <w:sz w:val="21"/>
          <w:szCs w:val="21"/>
          <w:highlight w:val="none"/>
          <w:u w:val="single"/>
        </w:rPr>
        <w:t xml:space="preserve">  </w:t>
      </w:r>
    </w:p>
    <w:p w14:paraId="6945D17A">
      <w:pPr>
        <w:pStyle w:val="387"/>
        <w:ind w:firstLine="420" w:firstLineChars="20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（5）履约验收的内容：</w:t>
      </w:r>
      <w:r>
        <w:rPr>
          <w:rFonts w:hint="eastAsia" w:ascii="宋体" w:hAnsi="宋体" w:eastAsia="宋体" w:cs="宋体"/>
          <w:bCs/>
          <w:color w:val="auto"/>
          <w:sz w:val="21"/>
          <w:szCs w:val="21"/>
          <w:highlight w:val="none"/>
          <w:u w:val="single"/>
        </w:rPr>
        <w:t xml:space="preserve"> （应当包括每一项技术和商务要求的履约情况，特别是落实政府采购扶持中小企业，支持绿色发展和乡村振兴等政策情况）                                      </w:t>
      </w:r>
    </w:p>
    <w:p w14:paraId="5024555F">
      <w:pPr>
        <w:pStyle w:val="387"/>
        <w:ind w:firstLine="420" w:firstLineChars="20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（6）履约验收标准：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产品合格，符合采购需求及投标文件承诺。</w:t>
      </w:r>
      <w:r>
        <w:rPr>
          <w:rFonts w:hint="eastAsia" w:ascii="宋体" w:hAnsi="宋体" w:eastAsia="宋体" w:cs="宋体"/>
          <w:bCs/>
          <w:color w:val="auto"/>
          <w:sz w:val="21"/>
          <w:szCs w:val="21"/>
          <w:highlight w:val="none"/>
          <w:u w:val="single"/>
        </w:rPr>
        <w:t xml:space="preserve">   </w:t>
      </w:r>
    </w:p>
    <w:p w14:paraId="71BD2781">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（7）是否以采购活动中</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提供的样品作为参考：</w:t>
      </w:r>
      <w:r>
        <w:rPr>
          <w:rFonts w:hint="eastAsia" w:ascii="宋体" w:hAnsi="宋体" w:eastAsia="宋体" w:cs="宋体"/>
          <w:color w:val="auto"/>
          <w:sz w:val="21"/>
          <w:szCs w:val="21"/>
          <w:highlight w:val="none"/>
        </w:rPr>
        <w:sym w:font="Wingdings" w:char="F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FE"/>
      </w:r>
      <w:r>
        <w:rPr>
          <w:rFonts w:hint="eastAsia" w:ascii="宋体" w:hAnsi="宋体" w:eastAsia="宋体" w:cs="宋体"/>
          <w:bCs/>
          <w:color w:val="auto"/>
          <w:sz w:val="21"/>
          <w:szCs w:val="21"/>
          <w:highlight w:val="none"/>
        </w:rPr>
        <w:t>否</w:t>
      </w:r>
    </w:p>
    <w:p w14:paraId="52E1498D">
      <w:pPr>
        <w:pStyle w:val="387"/>
        <w:ind w:firstLine="420" w:firstLineChars="20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（8）履约验收其他事项：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无</w:t>
      </w:r>
      <w:r>
        <w:rPr>
          <w:rFonts w:hint="eastAsia" w:ascii="宋体" w:hAnsi="宋体" w:eastAsia="宋体" w:cs="宋体"/>
          <w:bCs/>
          <w:color w:val="auto"/>
          <w:sz w:val="21"/>
          <w:szCs w:val="21"/>
          <w:highlight w:val="none"/>
          <w:u w:val="single"/>
        </w:rPr>
        <w:t xml:space="preserve">       </w:t>
      </w:r>
    </w:p>
    <w:p w14:paraId="65D8453F">
      <w:pPr>
        <w:pStyle w:val="387"/>
        <w:ind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5.组成合同的文件</w:t>
      </w:r>
    </w:p>
    <w:p w14:paraId="42434570">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本协议书与下列文件一起构成合同文件，如下述文件之间有任何抵触、矛盾或歧义，应按以下顺序解释：</w:t>
      </w:r>
    </w:p>
    <w:p w14:paraId="3BF993EA">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（1）政府采购合同协议书及其变更、补充协议</w:t>
      </w:r>
    </w:p>
    <w:p w14:paraId="759E8494">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（2）政府采购合同专用条款</w:t>
      </w:r>
    </w:p>
    <w:p w14:paraId="02604DFE">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（3）政府采购合同通用条款</w:t>
      </w:r>
    </w:p>
    <w:p w14:paraId="02887C7E">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（4）中标（成交）通知书</w:t>
      </w:r>
    </w:p>
    <w:p w14:paraId="003229F8">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（5）投标（响应）文件</w:t>
      </w:r>
    </w:p>
    <w:p w14:paraId="0B550E6E">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（6）采购文件</w:t>
      </w:r>
    </w:p>
    <w:p w14:paraId="43AFD786">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（7）有关技术文件，图纸</w:t>
      </w:r>
    </w:p>
    <w:p w14:paraId="73B1E15A">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（8）国家法律、行政法规和规章制度规定或合同约定的作为合同组成部分的其他文件</w:t>
      </w:r>
    </w:p>
    <w:p w14:paraId="0250250F">
      <w:pPr>
        <w:pStyle w:val="387"/>
        <w:ind w:firstLineChars="200"/>
        <w:outlineLvl w:val="9"/>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6.</w:t>
      </w:r>
      <w:r>
        <w:rPr>
          <w:rFonts w:hint="eastAsia" w:ascii="宋体" w:hAnsi="宋体" w:eastAsia="宋体" w:cs="宋体"/>
          <w:b/>
          <w:color w:val="auto"/>
          <w:sz w:val="21"/>
          <w:szCs w:val="21"/>
          <w:highlight w:val="none"/>
          <w:lang w:val="en-US" w:eastAsia="zh-CN"/>
        </w:rPr>
        <w:t>售后技术服务要求</w:t>
      </w:r>
    </w:p>
    <w:p w14:paraId="331B9DAB">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（1）免费送货上门、免费为用户安装、调试仪器；售后服务人员现场免费培训操作人员到能熟练操作（保证使用人员正常操作产品的各种功能；提供培训时长、内容等说明）。</w:t>
      </w:r>
    </w:p>
    <w:p w14:paraId="50BC8401">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（2）售后服务：</w:t>
      </w:r>
    </w:p>
    <w:p w14:paraId="549F1339">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①项目在安装调试过程中，乙方应派专业技术人员对施工进行同步指导，并负责全套机组的调试运行，达到验收要求。负责派合格的工程师到现场进行设备安装、调试，达到正常运作要求，保证机器正常使用。在保质期内，设备出现问题或甲方有服务需求的，乙方应在</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小时内响应，应在三个工作日内到达仪器现场；一般问题应在</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小时内解决，一周内未维修好的重大问题或其它无法迅速解决的问题须提供性能相同或更优的备用机给甲方使用，并在提供备用机一周内解决或提出明确解决方案。质保期内免费提供维护和保养服务并提供技术援助电话和售后服务电话，维修、换货中所有产生的一切费用由乙方承担。质保期外要求终身维护，零配件只收取成本费。</w:t>
      </w:r>
    </w:p>
    <w:p w14:paraId="10313C8F">
      <w:pPr>
        <w:keepNext w:val="0"/>
        <w:keepLines w:val="0"/>
        <w:pageBreakBefore w:val="0"/>
        <w:widowControl w:val="0"/>
        <w:kinsoku/>
        <w:wordWrap w:val="0"/>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（3）免费开放该设备所有数字接口，并配合接入医院信息系统，接入信息系统端口费用由乙方支付。如有需要时乙方免费提供医院信息系统对接的接口转换装置。</w:t>
      </w:r>
    </w:p>
    <w:p w14:paraId="0AB79F13">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（4）设备生产时间：乙方提供不符合本合同规定的货物，或提供货物生产日期自合同签订之日超过六个月(国产）的库存货物，采购人有权拒绝接受。</w:t>
      </w:r>
    </w:p>
    <w:p w14:paraId="4D900913">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（5）承诺提供保修服务须原厂保修。</w:t>
      </w:r>
    </w:p>
    <w:p w14:paraId="5684B0AE">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（6）乙方提供24小时365天免费维修服务热线支持。每半年至少提供一次维护保养，并提供保养报告单；定期的维护保养服务包括：设备的安全检查、影像质量检查、设备清洁保养、性能测试及校准、 运行状态检查等。质保期内需更换的损耗品由乙方免费提供。</w:t>
      </w:r>
    </w:p>
    <w:p w14:paraId="0DC86643">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（7）提供中文操作手册、维护手册、维修手册、软件备份、故障代码表、备件清单、零部件、维修密码等维护维修必需的材料和信息。</w:t>
      </w:r>
    </w:p>
    <w:p w14:paraId="1264405C">
      <w:pPr>
        <w:keepNext w:val="0"/>
        <w:keepLines w:val="0"/>
        <w:pageBreakBefore w:val="0"/>
        <w:widowControl w:val="0"/>
        <w:kinsoku/>
        <w:wordWrap w:val="0"/>
        <w:overflowPunct/>
        <w:topLinePunct w:val="0"/>
        <w:autoSpaceDE/>
        <w:autoSpaceDN/>
        <w:bidi w:val="0"/>
        <w:adjustRightInd/>
        <w:snapToGrid/>
        <w:spacing w:line="400" w:lineRule="exact"/>
        <w:ind w:firstLine="210" w:firstLineChars="100"/>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（8）售后服务承诺书中根据采购方的实际情况对质量保证及售后服务方案做出详细服务承诺、提供详细的保养计划。</w:t>
      </w:r>
    </w:p>
    <w:p w14:paraId="2C038A87">
      <w:pPr>
        <w:keepNext w:val="0"/>
        <w:keepLines w:val="0"/>
        <w:pageBreakBefore w:val="0"/>
        <w:widowControl w:val="0"/>
        <w:kinsoku/>
        <w:wordWrap w:val="0"/>
        <w:overflowPunct/>
        <w:topLinePunct w:val="0"/>
        <w:autoSpaceDE/>
        <w:autoSpaceDN/>
        <w:bidi w:val="0"/>
        <w:snapToGrid/>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sz w:val="21"/>
          <w:szCs w:val="21"/>
          <w:highlight w:val="none"/>
          <w:u w:val="none"/>
          <w:lang w:val="en-US" w:eastAsia="zh-CN"/>
        </w:rPr>
        <w:t>（9）在保质期满后，乙方应提供备件和维修服务。</w:t>
      </w:r>
    </w:p>
    <w:p w14:paraId="02592B2E">
      <w:pPr>
        <w:pStyle w:val="387"/>
        <w:ind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7.</w:t>
      </w:r>
      <w:r>
        <w:rPr>
          <w:rFonts w:hint="eastAsia" w:ascii="宋体" w:hAnsi="宋体" w:eastAsia="宋体" w:cs="宋体"/>
          <w:b/>
          <w:color w:val="auto"/>
          <w:sz w:val="21"/>
          <w:szCs w:val="21"/>
          <w:highlight w:val="none"/>
        </w:rPr>
        <w:t>合同生效</w:t>
      </w:r>
    </w:p>
    <w:p w14:paraId="019E392E">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甲乙双方合同签订之日起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生效。</w:t>
      </w:r>
    </w:p>
    <w:p w14:paraId="13295E87">
      <w:pPr>
        <w:pStyle w:val="387"/>
        <w:ind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8</w:t>
      </w:r>
      <w:r>
        <w:rPr>
          <w:rFonts w:hint="eastAsia" w:ascii="宋体" w:hAnsi="宋体" w:eastAsia="宋体" w:cs="宋体"/>
          <w:b/>
          <w:color w:val="auto"/>
          <w:sz w:val="21"/>
          <w:szCs w:val="21"/>
          <w:highlight w:val="none"/>
        </w:rPr>
        <w:t>.合同份数</w:t>
      </w:r>
    </w:p>
    <w:p w14:paraId="5FEDFA43">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份，甲方执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份，乙方执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val="en-US" w:eastAsia="zh-CN"/>
        </w:rPr>
        <w:t>代理机构壹份，</w:t>
      </w:r>
      <w:r>
        <w:rPr>
          <w:rFonts w:hint="eastAsia" w:ascii="宋体" w:hAnsi="宋体" w:eastAsia="宋体" w:cs="宋体"/>
          <w:color w:val="auto"/>
          <w:sz w:val="21"/>
          <w:szCs w:val="21"/>
          <w:highlight w:val="none"/>
        </w:rPr>
        <w:t>均具有同等法律效力。</w:t>
      </w:r>
    </w:p>
    <w:p w14:paraId="2C1A16EF">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11E95FC">
      <w:pPr>
        <w:pStyle w:val="387"/>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合同订立地点：</w:t>
      </w:r>
      <w:r>
        <w:rPr>
          <w:rFonts w:hint="eastAsia" w:ascii="宋体" w:hAnsi="宋体" w:eastAsia="宋体" w:cs="宋体"/>
          <w:color w:val="auto"/>
          <w:sz w:val="21"/>
          <w:szCs w:val="21"/>
          <w:highlight w:val="none"/>
          <w:u w:val="single"/>
        </w:rPr>
        <w:t xml:space="preserve">                           </w:t>
      </w:r>
    </w:p>
    <w:p w14:paraId="572216B5">
      <w:pPr>
        <w:pStyle w:val="387"/>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rPr>
        <w:t>附件：具体标的及其技术要求和商务要求、联合协议、分包意向协议等。</w:t>
      </w:r>
      <w:r>
        <w:rPr>
          <w:rFonts w:hint="eastAsia" w:ascii="宋体" w:hAnsi="宋体" w:eastAsia="宋体" w:cs="宋体"/>
          <w:color w:val="auto"/>
          <w:highlight w:val="none"/>
        </w:rPr>
        <w:br w:type="page"/>
      </w:r>
    </w:p>
    <w:p w14:paraId="6E7E1140">
      <w:pPr>
        <w:adjustRightInd/>
        <w:ind w:firstLine="420" w:firstLineChars="200"/>
        <w:outlineLvl w:val="9"/>
        <w:rPr>
          <w:rFonts w:hint="eastAsia" w:ascii="宋体" w:hAnsi="宋体" w:eastAsia="宋体" w:cs="宋体"/>
          <w:color w:val="auto"/>
          <w:szCs w:val="21"/>
          <w:highlight w:val="none"/>
        </w:rPr>
      </w:pPr>
    </w:p>
    <w:tbl>
      <w:tblPr>
        <w:tblStyle w:val="56"/>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8"/>
        <w:gridCol w:w="2156"/>
        <w:gridCol w:w="2307"/>
      </w:tblGrid>
      <w:tr w14:paraId="74EBCC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noWrap w:val="0"/>
            <w:vAlign w:val="center"/>
          </w:tcPr>
          <w:p w14:paraId="1F878DED">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甲方（采购人、受采购人委托签订合同的单位或采购文件约定的合同甲方）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noWrap w:val="0"/>
            <w:vAlign w:val="center"/>
          </w:tcPr>
          <w:p w14:paraId="5C3E2BC7">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w:t>
            </w:r>
          </w:p>
        </w:tc>
      </w:tr>
      <w:tr w14:paraId="4851B06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2CC9DC43">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F97F10E">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D20A31A">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2546C4B">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2C72488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noWrap w:val="0"/>
            <w:vAlign w:val="center"/>
          </w:tcPr>
          <w:p w14:paraId="12647163">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32DD3DAF">
            <w:pPr>
              <w:keepNext w:val="0"/>
              <w:keepLines w:val="0"/>
              <w:suppressLineNumbers w:val="0"/>
              <w:snapToGrid w:val="0"/>
              <w:spacing w:before="0" w:beforeAutospacing="0" w:after="0" w:afterAutospacing="0" w:line="360" w:lineRule="auto"/>
              <w:ind w:left="0" w:right="0" w:firstLine="100" w:firstLineChars="48"/>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noWrap w:val="0"/>
            <w:vAlign w:val="center"/>
          </w:tcPr>
          <w:p w14:paraId="400E8FDF">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A010B52">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751B04B1">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226C42C">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r>
      <w:tr w14:paraId="56783C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noWrap w:val="0"/>
            <w:vAlign w:val="center"/>
          </w:tcPr>
          <w:p w14:paraId="690E04F7">
            <w:pPr>
              <w:keepNext w:val="0"/>
              <w:keepLines w:val="0"/>
              <w:widowControl/>
              <w:suppressLineNumbers w:val="0"/>
              <w:adjustRightInd/>
              <w:spacing w:before="0" w:beforeAutospacing="0" w:after="0" w:afterAutospacing="0" w:line="360" w:lineRule="auto"/>
              <w:ind w:left="0" w:right="0"/>
              <w:jc w:val="left"/>
              <w:outlineLvl w:val="9"/>
              <w:rPr>
                <w:rFonts w:hint="eastAsia" w:ascii="宋体" w:hAnsi="宋体" w:eastAsia="宋体" w:cs="宋体"/>
                <w:color w:val="auto"/>
                <w:sz w:val="21"/>
                <w:szCs w:val="21"/>
                <w:highlight w:val="none"/>
              </w:rPr>
            </w:pPr>
          </w:p>
        </w:tc>
        <w:tc>
          <w:tcPr>
            <w:tcW w:w="0" w:type="auto"/>
            <w:vMerge w:val="continue"/>
            <w:tcBorders>
              <w:top w:val="single" w:color="auto" w:sz="2" w:space="0"/>
              <w:left w:val="single" w:color="auto" w:sz="2" w:space="0"/>
              <w:bottom w:val="single" w:color="auto" w:sz="2" w:space="0"/>
              <w:right w:val="single" w:color="auto" w:sz="2" w:space="0"/>
            </w:tcBorders>
            <w:noWrap w:val="0"/>
            <w:vAlign w:val="center"/>
          </w:tcPr>
          <w:p w14:paraId="66ABC84A">
            <w:pPr>
              <w:keepNext w:val="0"/>
              <w:keepLines w:val="0"/>
              <w:widowControl/>
              <w:suppressLineNumbers w:val="0"/>
              <w:adjustRightInd/>
              <w:spacing w:before="0" w:beforeAutospacing="0" w:after="0" w:afterAutospacing="0" w:line="360" w:lineRule="auto"/>
              <w:ind w:left="0" w:right="0"/>
              <w:jc w:val="left"/>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B838F23">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拥有者性别</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058EF94">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0786FCC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2A208C12">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住  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A372DA6">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62EC2B6">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住  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6832D6A">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0D49D59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4E24EB0F">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B93B48F">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86C93B8">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08DC4093">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1E7573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5EDA0B10">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A845559">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678C9C9">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68AF565E">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7141AA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D8E66FA">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115FB99">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2065065">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73185A3E">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0D484D5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6A04D79">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4C02F34">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53852E0">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644CC9D8">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368A1B4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45E2DC2E">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1F8DFE5">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F7CCF81">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087757AA">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6BFFFF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9446F3F">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3733AA7">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805EC70">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37833705">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793AB44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4F187152">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EFE69CB">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12C2F61">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01E96587">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22D283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F1365DC">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0E97C81">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4183D14">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25737E86">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6037D2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446386A">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D0466E8">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A1755EB">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6C429D76">
            <w:pPr>
              <w:keepNext w:val="0"/>
              <w:keepLines w:val="0"/>
              <w:suppressLineNumbers w:val="0"/>
              <w:snapToGrid w:val="0"/>
              <w:spacing w:before="0" w:beforeAutospacing="0" w:after="0" w:afterAutospacing="0" w:line="360" w:lineRule="auto"/>
              <w:ind w:left="0" w:right="0"/>
              <w:jc w:val="center"/>
              <w:outlineLvl w:val="9"/>
              <w:rPr>
                <w:rFonts w:hint="eastAsia" w:ascii="宋体" w:hAnsi="宋体" w:eastAsia="宋体" w:cs="宋体"/>
                <w:color w:val="auto"/>
                <w:spacing w:val="20"/>
                <w:sz w:val="21"/>
                <w:szCs w:val="21"/>
                <w:highlight w:val="none"/>
              </w:rPr>
            </w:pPr>
          </w:p>
        </w:tc>
      </w:tr>
      <w:tr w14:paraId="0A36565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noWrap w:val="0"/>
            <w:vAlign w:val="center"/>
          </w:tcPr>
          <w:p w14:paraId="363CB26A">
            <w:pPr>
              <w:keepNext w:val="0"/>
              <w:keepLines w:val="0"/>
              <w:suppressLineNumbers w:val="0"/>
              <w:snapToGrid w:val="0"/>
              <w:spacing w:before="0" w:beforeAutospacing="0" w:after="0" w:afterAutospacing="0" w:line="360" w:lineRule="auto"/>
              <w:ind w:left="0" w:right="0"/>
              <w:jc w:val="left"/>
              <w:outlineLvl w:val="9"/>
              <w:rPr>
                <w:rFonts w:hint="eastAsia" w:ascii="宋体" w:hAnsi="宋体" w:eastAsia="宋体" w:cs="宋体"/>
                <w:color w:val="auto"/>
                <w:spacing w:val="20"/>
                <w:sz w:val="21"/>
                <w:szCs w:val="21"/>
                <w:highlight w:val="none"/>
              </w:rPr>
            </w:pPr>
            <w:r>
              <w:rPr>
                <w:rFonts w:hint="eastAsia" w:ascii="宋体" w:hAnsi="宋体" w:eastAsia="宋体" w:cs="宋体"/>
                <w:color w:val="auto"/>
                <w:sz w:val="21"/>
                <w:szCs w:val="21"/>
                <w:highlight w:val="none"/>
              </w:rPr>
              <w:t>注：涉及联合体或其他合同主体的信息应按上表格式加列。</w:t>
            </w:r>
          </w:p>
        </w:tc>
      </w:tr>
    </w:tbl>
    <w:p w14:paraId="2828C0FD">
      <w:pPr>
        <w:keepNext/>
        <w:keepLines/>
        <w:snapToGrid w:val="0"/>
        <w:spacing w:before="120" w:beforeLines="50" w:line="360" w:lineRule="auto"/>
        <w:jc w:val="center"/>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Cs w:val="21"/>
          <w:highlight w:val="none"/>
          <w:u w:val="single"/>
        </w:rPr>
        <w:br w:type="page"/>
      </w:r>
      <w:bookmarkStart w:id="194" w:name="_Toc27624"/>
      <w:r>
        <w:rPr>
          <w:rFonts w:hint="eastAsia" w:ascii="宋体" w:hAnsi="宋体" w:eastAsia="宋体" w:cs="宋体"/>
          <w:b/>
          <w:bCs/>
          <w:color w:val="auto"/>
          <w:sz w:val="28"/>
          <w:szCs w:val="28"/>
          <w:highlight w:val="none"/>
        </w:rPr>
        <w:t>第二节 政府采购合同通用条款</w:t>
      </w:r>
      <w:bookmarkEnd w:id="194"/>
    </w:p>
    <w:p w14:paraId="377B5DDA">
      <w:pPr>
        <w:tabs>
          <w:tab w:val="left" w:pos="8820"/>
          <w:tab w:val="left" w:pos="9345"/>
          <w:tab w:val="left" w:pos="9765"/>
        </w:tabs>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 xml:space="preserve">1. </w:t>
      </w:r>
      <w:r>
        <w:rPr>
          <w:rFonts w:hint="eastAsia" w:ascii="宋体" w:hAnsi="宋体" w:eastAsia="宋体" w:cs="宋体"/>
          <w:b/>
          <w:bCs/>
          <w:color w:val="auto"/>
          <w:sz w:val="21"/>
          <w:szCs w:val="21"/>
          <w:highlight w:val="none"/>
        </w:rPr>
        <w:t>定义</w:t>
      </w:r>
    </w:p>
    <w:p w14:paraId="0153A969">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1.1合同当事人</w:t>
      </w:r>
    </w:p>
    <w:p w14:paraId="3837CF21">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（1）采购人（以下称甲方）是指使用财政性资金，通过政府采购方式向</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购买货物及其相关服务的国家机关、事业单位、团体组织。</w:t>
      </w:r>
    </w:p>
    <w:p w14:paraId="711511AC">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（以下称乙方）是指参加政府采购活动并且中标（成交），向采购人提供合同约定的货物及其相关服务的法人、非法人组织或者自然人。</w:t>
      </w:r>
    </w:p>
    <w:p w14:paraId="697FC527">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（3）其他合同主体是指除采购人和</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以外，</w:t>
      </w:r>
      <w:r>
        <w:rPr>
          <w:rFonts w:hint="eastAsia" w:ascii="宋体" w:hAnsi="宋体" w:eastAsia="宋体" w:cs="宋体"/>
          <w:bCs/>
          <w:color w:val="auto"/>
          <w:sz w:val="21"/>
          <w:szCs w:val="21"/>
          <w:highlight w:val="none"/>
        </w:rPr>
        <w:t>依法参与合同缔结或履行，享有权利、承担义务的合同当事人</w:t>
      </w:r>
      <w:r>
        <w:rPr>
          <w:rFonts w:hint="eastAsia" w:ascii="宋体" w:hAnsi="宋体" w:eastAsia="宋体" w:cs="宋体"/>
          <w:color w:val="auto"/>
          <w:sz w:val="21"/>
          <w:szCs w:val="21"/>
          <w:highlight w:val="none"/>
        </w:rPr>
        <w:t>。</w:t>
      </w:r>
    </w:p>
    <w:p w14:paraId="2E8AA9F0">
      <w:pPr>
        <w:tabs>
          <w:tab w:val="left" w:pos="570"/>
          <w:tab w:val="left" w:pos="9240"/>
          <w:tab w:val="left" w:pos="9555"/>
        </w:tabs>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1.2本合同下列术语应解释为：</w:t>
      </w:r>
    </w:p>
    <w:p w14:paraId="117742D1">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w:t>
      </w:r>
      <w:r>
        <w:rPr>
          <w:rFonts w:hint="eastAsia" w:ascii="宋体" w:hAnsi="宋体" w:eastAsia="宋体" w:cs="宋体"/>
          <w:bCs/>
          <w:color w:val="auto"/>
          <w:sz w:val="21"/>
          <w:szCs w:val="21"/>
          <w:highlight w:val="none"/>
        </w:rPr>
        <w:t>合同当事人意思表示达成一致的任何协议，包括签署的</w:t>
      </w:r>
      <w:r>
        <w:rPr>
          <w:rFonts w:hint="eastAsia" w:ascii="宋体" w:hAnsi="宋体" w:eastAsia="宋体" w:cs="宋体"/>
          <w:color w:val="auto"/>
          <w:sz w:val="21"/>
          <w:szCs w:val="21"/>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20CEC41B">
      <w:pPr>
        <w:tabs>
          <w:tab w:val="left" w:pos="570"/>
          <w:tab w:val="left" w:pos="9240"/>
          <w:tab w:val="left" w:pos="9555"/>
        </w:tabs>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（2）“合同价款”系指根据本合同规定乙方在全面履行合同义务后甲方应支付给乙方的价款。</w:t>
      </w:r>
    </w:p>
    <w:p w14:paraId="39A36EA4">
      <w:pPr>
        <w:tabs>
          <w:tab w:val="left" w:pos="570"/>
          <w:tab w:val="left" w:pos="9240"/>
          <w:tab w:val="left" w:pos="9555"/>
        </w:tabs>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技术资料和材料等。</w:t>
      </w:r>
    </w:p>
    <w:p w14:paraId="322CB8CB">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（4）“相关服务”系指根据合同规定，乙方应提供的与货物有关的技术、管理和</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服务，包括但不限于：管理和质量保证、运输、保险、检验、现场准备、安装、集成、调试、培训、维修、废弃处置、技术支持等以及合同中规定乙方应承担的</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义务。</w:t>
      </w:r>
    </w:p>
    <w:p w14:paraId="29B4C6C0">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（5）“分包”系指中标（成交）</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按采购文件、投标（响应）文件的规定，根据分包意向协议，将中标（成交）项目中的部分履约内容，分给具有相应资质条件的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履行合同的行为。</w:t>
      </w:r>
    </w:p>
    <w:p w14:paraId="59F1C754">
      <w:pPr>
        <w:tabs>
          <w:tab w:val="left" w:pos="570"/>
          <w:tab w:val="left" w:pos="9240"/>
          <w:tab w:val="left" w:pos="9555"/>
        </w:tabs>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（6）“联合体”系指由两个以上的自然人、法人或者非法人组织组成，以一个</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156297A9">
      <w:pPr>
        <w:tabs>
          <w:tab w:val="left" w:pos="570"/>
          <w:tab w:val="left" w:pos="9240"/>
          <w:tab w:val="left" w:pos="9555"/>
        </w:tabs>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（7）其他术语解释，见【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78F5548A">
      <w:pPr>
        <w:tabs>
          <w:tab w:val="left" w:pos="8820"/>
          <w:tab w:val="left" w:pos="9345"/>
          <w:tab w:val="left" w:pos="9765"/>
        </w:tabs>
        <w:snapToGrid w:val="0"/>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合同标的及金额</w:t>
      </w:r>
    </w:p>
    <w:p w14:paraId="3A2F5184">
      <w:pPr>
        <w:autoSpaceDE w:val="0"/>
        <w:autoSpaceDN w:val="0"/>
        <w:snapToGrid w:val="0"/>
        <w:spacing w:line="360" w:lineRule="auto"/>
        <w:ind w:firstLine="420" w:firstLineChars="200"/>
        <w:jc w:val="left"/>
        <w:outlineLvl w:val="9"/>
        <w:rPr>
          <w:rFonts w:hint="eastAsia" w:ascii="宋体" w:hAnsi="宋体" w:eastAsia="宋体" w:cs="宋体"/>
          <w:b/>
          <w:bCs/>
          <w:i/>
          <w:iCs/>
          <w:color w:val="auto"/>
          <w:sz w:val="21"/>
          <w:szCs w:val="21"/>
          <w:highlight w:val="none"/>
        </w:rPr>
      </w:pPr>
      <w:r>
        <w:rPr>
          <w:rFonts w:hint="eastAsia" w:ascii="宋体" w:hAnsi="宋体" w:eastAsia="宋体" w:cs="宋体"/>
          <w:color w:val="auto"/>
          <w:sz w:val="21"/>
          <w:szCs w:val="21"/>
          <w:highlight w:val="none"/>
        </w:rPr>
        <w:t>2.1 合同标的及金额应与中标（成交）结果一致。乙方为履行本合同而发生的所有费用均应包含在合同价款中，甲方不再另行支付</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任何费用。</w:t>
      </w:r>
    </w:p>
    <w:p w14:paraId="4F4A653D">
      <w:pPr>
        <w:snapToGrid w:val="0"/>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履行合同的时间、地点和方式</w:t>
      </w:r>
    </w:p>
    <w:p w14:paraId="30CF71A7">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乙方应当在约定的时间、地点，按照约定方式履行合同。</w:t>
      </w:r>
    </w:p>
    <w:p w14:paraId="0005CF7E">
      <w:pPr>
        <w:autoSpaceDE w:val="0"/>
        <w:autoSpaceDN w:val="0"/>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 甲方的权利和义务</w:t>
      </w:r>
    </w:p>
    <w:p w14:paraId="5FDC7693">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5AF48497">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甲方有权要求乙方按时提交各阶段有关安排计划，并有权定期核对乙方提供货物数量、规格、质量等内容。甲方有权督促乙方工作并要求乙方更换不符合要求的货物。</w:t>
      </w:r>
    </w:p>
    <w:p w14:paraId="409BEBE4">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 甲方有权要求乙方对缺陷部分予以修复，并按合同约定享有货物保修及其他合同约定的权利。</w:t>
      </w:r>
    </w:p>
    <w:p w14:paraId="7B86DC8A">
      <w:pPr>
        <w:adjustRightInd/>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 甲方应当按照合同约定及时对交付的货物进行验收，未在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约定的期限内对乙方履约提出任何异议或者向乙方作出任何说明的，视为验收通过。</w:t>
      </w:r>
    </w:p>
    <w:p w14:paraId="1F4C7F47">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 甲方应当根据合同约定及时向乙方支付合同价款，不得以内部人员变更、履行内部付款流程等为由，拒绝或迟延支付。</w:t>
      </w:r>
    </w:p>
    <w:p w14:paraId="2C395EEE">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4.6 国家法律法规规定及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约定应由甲方承担的其他义务和责任。</w:t>
      </w:r>
    </w:p>
    <w:p w14:paraId="149920E2">
      <w:pPr>
        <w:autoSpaceDE w:val="0"/>
        <w:autoSpaceDN w:val="0"/>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 乙方的权利和义务</w:t>
      </w:r>
    </w:p>
    <w:p w14:paraId="7FD7AB4D">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签署合同后，乙方应确定项目负责人（或项目联系人），负责与本合同有关的事务。</w:t>
      </w:r>
    </w:p>
    <w:p w14:paraId="5918B29C">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62C6F940">
      <w:pPr>
        <w:adjustRightInd/>
        <w:spacing w:line="360" w:lineRule="auto"/>
        <w:ind w:firstLine="369" w:firstLineChars="17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5.3乙方有权根据合同约定向甲方收取合同价款。</w:t>
      </w:r>
    </w:p>
    <w:p w14:paraId="7553446C">
      <w:pPr>
        <w:adjustRightInd/>
        <w:spacing w:line="360" w:lineRule="auto"/>
        <w:ind w:firstLine="369" w:firstLineChars="17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5.4国家法律法规规定及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约定应由乙方承担的其他义务和责任。</w:t>
      </w:r>
    </w:p>
    <w:p w14:paraId="2F527672">
      <w:pPr>
        <w:autoSpaceDE w:val="0"/>
        <w:autoSpaceDN w:val="0"/>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6.合同履行</w:t>
      </w:r>
    </w:p>
    <w:p w14:paraId="7D39012A">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 甲乙双方应当按照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约定顺序履行合同义务；如果没有先后顺序的，应当同时履行。</w:t>
      </w:r>
    </w:p>
    <w:p w14:paraId="23CD1A35">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15B13342">
      <w:pPr>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7. 货物包装、运输、保险和交付要求</w:t>
      </w:r>
    </w:p>
    <w:p w14:paraId="3A827199">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 本合同</w:t>
      </w:r>
      <w:r>
        <w:rPr>
          <w:rFonts w:hint="eastAsia" w:ascii="宋体" w:hAnsi="宋体" w:eastAsia="宋体" w:cs="宋体"/>
          <w:bCs/>
          <w:color w:val="auto"/>
          <w:sz w:val="21"/>
          <w:szCs w:val="21"/>
          <w:highlight w:val="none"/>
        </w:rPr>
        <w:t>涉及商品包装、快递包装的，</w:t>
      </w:r>
      <w:r>
        <w:rPr>
          <w:rFonts w:hint="eastAsia" w:ascii="宋体" w:hAnsi="宋体" w:eastAsia="宋体" w:cs="宋体"/>
          <w:color w:val="auto"/>
          <w:sz w:val="21"/>
          <w:szCs w:val="21"/>
          <w:highlight w:val="none"/>
        </w:rPr>
        <w:t>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另有约定外，</w:t>
      </w:r>
      <w:r>
        <w:rPr>
          <w:rFonts w:hint="eastAsia" w:ascii="宋体" w:hAnsi="宋体" w:eastAsia="宋体" w:cs="宋体"/>
          <w:color w:val="auto"/>
          <w:sz w:val="21"/>
          <w:szCs w:val="21"/>
          <w:highlight w:val="none"/>
        </w:rPr>
        <w:t>包装应适应远距离运输、防潮、防震、防锈和防野蛮装卸等要求，确保货物安全无损地运抵</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约定的</w:t>
      </w:r>
      <w:r>
        <w:rPr>
          <w:rFonts w:hint="eastAsia" w:ascii="宋体" w:hAnsi="宋体" w:eastAsia="宋体" w:cs="宋体"/>
          <w:color w:val="auto"/>
          <w:sz w:val="21"/>
          <w:szCs w:val="21"/>
          <w:highlight w:val="none"/>
        </w:rPr>
        <w:t>指定现场。</w:t>
      </w:r>
    </w:p>
    <w:p w14:paraId="79E71C66">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 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另有约定外，</w:t>
      </w:r>
      <w:r>
        <w:rPr>
          <w:rFonts w:hint="eastAsia" w:ascii="宋体" w:hAnsi="宋体" w:eastAsia="宋体" w:cs="宋体"/>
          <w:color w:val="auto"/>
          <w:sz w:val="21"/>
          <w:szCs w:val="21"/>
          <w:highlight w:val="none"/>
        </w:rPr>
        <w:t>乙方负责办理将货物运抵本合同规定的交货地点，并装卸、交付至甲方的一切运输事项，相关费用应包含在合同价款中。</w:t>
      </w:r>
    </w:p>
    <w:p w14:paraId="2015463F">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 货物保险要求按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规定执行</w:t>
      </w:r>
      <w:r>
        <w:rPr>
          <w:rFonts w:hint="eastAsia" w:ascii="宋体" w:hAnsi="宋体" w:eastAsia="宋体" w:cs="宋体"/>
          <w:color w:val="auto"/>
          <w:sz w:val="21"/>
          <w:szCs w:val="21"/>
          <w:highlight w:val="none"/>
        </w:rPr>
        <w:t>。</w:t>
      </w:r>
    </w:p>
    <w:p w14:paraId="15546FA4">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37853155">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 乙方在运输到达之前应提前通知甲方，并提示货物运输装卸的注意事项，甲方配合乙方做好货物的接收工作。</w:t>
      </w:r>
    </w:p>
    <w:p w14:paraId="19B9DE81">
      <w:pPr>
        <w:widowControl/>
        <w:autoSpaceDE w:val="0"/>
        <w:autoSpaceDN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7.6 如因包装、运输问题导致货物损毁、丢失或者品质下降，甲方有权要求降价、换货、拒收部分或整批货物，由此产生的费用和损失，均由乙方承担。</w:t>
      </w:r>
    </w:p>
    <w:p w14:paraId="2BF70E7B">
      <w:pPr>
        <w:snapToGrid w:val="0"/>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 质量标准和保证</w:t>
      </w:r>
    </w:p>
    <w:p w14:paraId="6483B8BD">
      <w:pPr>
        <w:snapToGrid w:val="0"/>
        <w:spacing w:line="360" w:lineRule="auto"/>
        <w:ind w:firstLine="420" w:firstLineChars="200"/>
        <w:jc w:val="left"/>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8.1 质量标准</w:t>
      </w:r>
    </w:p>
    <w:p w14:paraId="1171E271">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5A341EEB">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（2）采用中华人民共和国法定计量单位。</w:t>
      </w:r>
    </w:p>
    <w:p w14:paraId="0FFE2038">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（3）乙方所提供的货物应符合国家有关安全、环保、卫生的规定。</w:t>
      </w:r>
    </w:p>
    <w:p w14:paraId="7C89D1C1">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（4）乙方应向甲方提交所提供货物的技术文件，包括相应的中文技术文件，如：产品目录、图纸、操作手册、使用说明、维护手册或服务指南等。上述文件应包装好随货物一同发运。</w:t>
      </w:r>
    </w:p>
    <w:p w14:paraId="2EDA38CF">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 保证</w:t>
      </w:r>
    </w:p>
    <w:p w14:paraId="1862BF26">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规定或乙方书面承诺（两者以较长的为准）的质量保证期内，本保证保持有效。</w:t>
      </w:r>
    </w:p>
    <w:p w14:paraId="5F8039CB">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（2）在质量保证期内所发现的缺陷，甲方应尽快以书面形式通知乙方。</w:t>
      </w:r>
    </w:p>
    <w:p w14:paraId="7E4F3758">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（3）乙方收到通知后，应在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规定的响应时间内以合理的速度免费维修或更换有缺陷的货物或部件。</w:t>
      </w:r>
    </w:p>
    <w:p w14:paraId="1D28213B">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20F43CD0">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（5）乙方在约定的时间内未能弥补缺陷，甲方可采取必要的补救措施，但其风险和费用将由乙方承担，甲方根据合同约定对乙方行使的其他权利不受影响。</w:t>
      </w:r>
    </w:p>
    <w:p w14:paraId="1709DA07">
      <w:pPr>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9. 权利瑕疵担保</w:t>
      </w:r>
    </w:p>
    <w:p w14:paraId="33A3D10F">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 乙方保证对其出售的货物享有合法的权利。</w:t>
      </w:r>
    </w:p>
    <w:p w14:paraId="72B5BB0A">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 乙方保证在交付的货物上不存在抵押权等担保物权。</w:t>
      </w:r>
    </w:p>
    <w:p w14:paraId="1D203CED">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 如甲方使用上述货物构成对第三人侵权的，则由乙方承担全部责任。</w:t>
      </w:r>
    </w:p>
    <w:p w14:paraId="3183BF5B">
      <w:pPr>
        <w:autoSpaceDE w:val="0"/>
        <w:autoSpaceDN w:val="0"/>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10. 知识产权保护</w:t>
      </w:r>
    </w:p>
    <w:p w14:paraId="7892E46B">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 乙方对其所销售的货物应当享有知识产权或经权利人合法授权，保证没有侵犯任何第三人的知识产权等权利。</w:t>
      </w:r>
      <w:bookmarkStart w:id="195" w:name="_Hlk163047038"/>
      <w:r>
        <w:rPr>
          <w:rFonts w:hint="eastAsia" w:ascii="宋体" w:hAnsi="宋体" w:eastAsia="宋体" w:cs="宋体"/>
          <w:color w:val="auto"/>
          <w:sz w:val="21"/>
          <w:szCs w:val="21"/>
          <w:highlight w:val="none"/>
        </w:rPr>
        <w:t>因违反前述约定对第三人构成侵权的，应当由乙方向第三人承担法律责任；甲方依法向第三人赔偿后，有权向乙方追偿。甲方有其他损失的，乙方应当赔偿</w:t>
      </w:r>
      <w:bookmarkEnd w:id="195"/>
      <w:r>
        <w:rPr>
          <w:rFonts w:hint="eastAsia" w:ascii="宋体" w:hAnsi="宋体" w:eastAsia="宋体" w:cs="宋体"/>
          <w:color w:val="auto"/>
          <w:sz w:val="21"/>
          <w:szCs w:val="21"/>
          <w:highlight w:val="none"/>
        </w:rPr>
        <w:t>。</w:t>
      </w:r>
    </w:p>
    <w:p w14:paraId="4724841C">
      <w:pPr>
        <w:autoSpaceDE w:val="0"/>
        <w:autoSpaceDN w:val="0"/>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 保密义务</w:t>
      </w:r>
    </w:p>
    <w:p w14:paraId="10BFF181">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中约定。</w:t>
      </w:r>
    </w:p>
    <w:p w14:paraId="3EEFFD86">
      <w:pPr>
        <w:autoSpaceDE w:val="0"/>
        <w:autoSpaceDN w:val="0"/>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12. 合同价款支付</w:t>
      </w:r>
    </w:p>
    <w:p w14:paraId="6B07DC7D">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 合同价款支付按照国库集中支付制度及财政管理相关规定执行。</w:t>
      </w:r>
    </w:p>
    <w:p w14:paraId="5DDA3996">
      <w:pPr>
        <w:keepNext/>
        <w:keepLines/>
        <w:adjustRightInd/>
        <w:spacing w:line="360" w:lineRule="auto"/>
        <w:ind w:firstLine="420" w:firstLineChars="200"/>
        <w:outlineLvl w:val="9"/>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】中约定。</w:t>
      </w:r>
    </w:p>
    <w:p w14:paraId="467409C8">
      <w:pPr>
        <w:adjustRightInd/>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 履约保证金</w:t>
      </w:r>
    </w:p>
    <w:p w14:paraId="55F52AC7">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 乙方应当以支票、汇票、本票或者金融机构、担保机构出具的保函等非现金形式提交。</w:t>
      </w:r>
    </w:p>
    <w:p w14:paraId="30ACDBBB">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 如果乙方出现</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7C33F804">
      <w:pPr>
        <w:adjustRightInd/>
        <w:spacing w:line="360" w:lineRule="auto"/>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 甲方在项目通过验收后按照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规定的时间内将履约保证金退还乙方；逾期退还的，乙方可要求甲方支付违约金，违约金按照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规定支付。</w:t>
      </w:r>
    </w:p>
    <w:p w14:paraId="024F112A">
      <w:pPr>
        <w:autoSpaceDE w:val="0"/>
        <w:autoSpaceDN w:val="0"/>
        <w:snapToGrid w:val="0"/>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 xml:space="preserve">14. </w:t>
      </w:r>
      <w:r>
        <w:rPr>
          <w:rFonts w:hint="eastAsia" w:ascii="宋体" w:hAnsi="宋体" w:eastAsia="宋体" w:cs="宋体"/>
          <w:b/>
          <w:color w:val="auto"/>
          <w:sz w:val="21"/>
          <w:szCs w:val="21"/>
          <w:highlight w:val="none"/>
        </w:rPr>
        <w:t>售后服务</w:t>
      </w:r>
    </w:p>
    <w:p w14:paraId="091154E9">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除项目不涉及或采购活动中明确约定无须承担外，乙方还应提供下列服务：</w:t>
      </w:r>
    </w:p>
    <w:p w14:paraId="5785FDDC">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（1）货物的现场移动、安装、调试、启动监督及技术支持；</w:t>
      </w:r>
    </w:p>
    <w:p w14:paraId="2FE71F5C">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（2）提供货物组装和维修所需的专用工具和辅助材料；</w:t>
      </w:r>
    </w:p>
    <w:p w14:paraId="0E9014CE">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约定的期限内对所有的货物实施运行监督、维修，但前提条件是该服务并不能免除乙方在质量保证期内所承担的义务；</w:t>
      </w:r>
    </w:p>
    <w:p w14:paraId="5CFF92D2">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（4）在制造商所在地或指定现场就货物的安装、启动、运营、维护、废弃处置等对甲方操作人员进行培训；</w:t>
      </w:r>
    </w:p>
    <w:p w14:paraId="4186D9FE">
      <w:pPr>
        <w:widowControl/>
        <w:autoSpaceDE w:val="0"/>
        <w:autoSpaceDN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（5）依照法律、行政法规的规定或者按照</w:t>
      </w:r>
      <w:r>
        <w:rPr>
          <w:rFonts w:hint="eastAsia" w:ascii="宋体" w:hAnsi="宋体" w:eastAsia="宋体" w:cs="宋体"/>
          <w:b/>
          <w:bCs/>
          <w:color w:val="auto"/>
          <w:kern w:val="0"/>
          <w:sz w:val="21"/>
          <w:szCs w:val="21"/>
          <w:highlight w:val="none"/>
        </w:rPr>
        <w:t>【政府采购合同专用条款】</w:t>
      </w:r>
      <w:r>
        <w:rPr>
          <w:rFonts w:hint="eastAsia" w:ascii="宋体" w:hAnsi="宋体" w:eastAsia="宋体" w:cs="宋体"/>
          <w:color w:val="auto"/>
          <w:kern w:val="0"/>
          <w:sz w:val="21"/>
          <w:szCs w:val="21"/>
          <w:highlight w:val="none"/>
        </w:rPr>
        <w:t>约定，货物在有效使用年限届满后应予回收的，乙方负有自行或者委托第三人对货物予以回收的义务；</w:t>
      </w:r>
    </w:p>
    <w:p w14:paraId="65846FB4">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规定由乙方提供的其他服务。</w:t>
      </w:r>
    </w:p>
    <w:p w14:paraId="1E14F6E9">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乙方提供的售后服务的费用已包含在合同价款中，甲方不再另行支付。</w:t>
      </w:r>
    </w:p>
    <w:p w14:paraId="139361AF">
      <w:pPr>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15. 违约责任</w:t>
      </w:r>
    </w:p>
    <w:p w14:paraId="3CC305AA">
      <w:pPr>
        <w:snapToGrid w:val="0"/>
        <w:spacing w:line="360" w:lineRule="auto"/>
        <w:ind w:firstLine="420" w:firstLineChars="200"/>
        <w:jc w:val="left"/>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15.1质量瑕疵的违约责任</w:t>
      </w:r>
    </w:p>
    <w:p w14:paraId="56555F9A">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乙方提供的产品不符合合同约定的质量标准或存在产品质量缺陷，甲方有权要求乙方根据</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要求</w:t>
      </w:r>
      <w:r>
        <w:rPr>
          <w:rFonts w:hint="eastAsia" w:ascii="宋体" w:hAnsi="宋体" w:eastAsia="宋体" w:cs="宋体"/>
          <w:color w:val="auto"/>
          <w:sz w:val="21"/>
          <w:szCs w:val="21"/>
          <w:highlight w:val="none"/>
        </w:rPr>
        <w:t>及时修理、重作、更换，并承担由此给甲方造成的损失。</w:t>
      </w:r>
    </w:p>
    <w:p w14:paraId="373A3C36">
      <w:pPr>
        <w:autoSpaceDE w:val="0"/>
        <w:autoSpaceDN w:val="0"/>
        <w:snapToGrid w:val="0"/>
        <w:spacing w:line="360" w:lineRule="auto"/>
        <w:ind w:firstLine="420" w:firstLineChars="200"/>
        <w:jc w:val="left"/>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15.2 迟延交货的违约责任</w:t>
      </w:r>
    </w:p>
    <w:p w14:paraId="1C82B1A5">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4D020386">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规定执行。如果涉及公共利益，且赔偿金额无法弥补公共利益损失，甲方可要求继续履行或者采取其他补救措施。</w:t>
      </w:r>
    </w:p>
    <w:p w14:paraId="6572325B">
      <w:pPr>
        <w:autoSpaceDE w:val="0"/>
        <w:autoSpaceDN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 迟延支付的违约责任</w:t>
      </w:r>
    </w:p>
    <w:p w14:paraId="0DF6D517">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甲方存在迟延支付乙方合同款项的，应当承担</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规定的逾期付款利息。</w:t>
      </w:r>
    </w:p>
    <w:p w14:paraId="0567586B">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15.4其他违约责任根据项目实际需要按</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规定执行。</w:t>
      </w:r>
    </w:p>
    <w:p w14:paraId="5D35688C">
      <w:pPr>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16. 合同变更、中止与终止</w:t>
      </w:r>
    </w:p>
    <w:p w14:paraId="2210D89F">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16.1合同的变更</w:t>
      </w:r>
    </w:p>
    <w:p w14:paraId="3404614A">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政府采购合同履行中，在不改变合同其他条款的前提下，甲方可以在合同价款10%的范围内追加与合同标的相同的货物，并就此与乙方协商一致后签订补充协议。</w:t>
      </w:r>
    </w:p>
    <w:p w14:paraId="200ADA9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16.2合同的中止</w:t>
      </w:r>
    </w:p>
    <w:p w14:paraId="7C14E374">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（1）合同履行过程中因</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就采购文件、采购过程或结果提起投诉的，甲方认为有必要的，可以中止合同的履行。</w:t>
      </w:r>
    </w:p>
    <w:p w14:paraId="028755DE">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149E656">
      <w:pPr>
        <w:widowControl/>
        <w:autoSpaceDE w:val="0"/>
        <w:autoSpaceDN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（3）乙方分立、合并或者变更住所的，应当及时以书面形式告知甲方。乙方没有及时告知甲方，致使合同履行发生困难的，甲方可以中止合同履行并要求乙方承担由此给甲方造成的损失。</w:t>
      </w:r>
    </w:p>
    <w:p w14:paraId="4120F149">
      <w:pPr>
        <w:adjustRightInd/>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（4）甲方不得以行政区划调整、政府换届、机构或者职能调整以及相关责任人更替为由中止合同。</w:t>
      </w:r>
    </w:p>
    <w:p w14:paraId="1F1F742D">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16.3合同的终止</w:t>
      </w:r>
    </w:p>
    <w:p w14:paraId="546DE495">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（1）合同因有效期限届满而终止；</w:t>
      </w:r>
    </w:p>
    <w:p w14:paraId="43362AFC">
      <w:pPr>
        <w:adjustRightInd/>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（2）乙方未按合同约定履行，构成根本性违约的，甲方有权终止合同，并追究乙方的违约责任。</w:t>
      </w:r>
    </w:p>
    <w:p w14:paraId="4A2A69B2">
      <w:pPr>
        <w:widowControl/>
        <w:autoSpaceDE w:val="0"/>
        <w:autoSpaceDN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16.4 </w:t>
      </w:r>
      <w:r>
        <w:rPr>
          <w:rFonts w:hint="eastAsia" w:ascii="宋体" w:hAnsi="宋体" w:eastAsia="宋体" w:cs="宋体"/>
          <w:color w:val="auto"/>
          <w:sz w:val="21"/>
          <w:szCs w:val="21"/>
          <w:highlight w:val="none"/>
        </w:rPr>
        <w:t>涉及国家利益、社会公共利益的情形</w:t>
      </w:r>
    </w:p>
    <w:p w14:paraId="2C300353">
      <w:pPr>
        <w:widowControl/>
        <w:autoSpaceDE w:val="0"/>
        <w:autoSpaceDN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政府采购合同继续履行将损害国家利益和社会公共利益的，双方当事人应当变更、中止或者终止合同。有过错的一方应当承担赔偿责任，双方都有过错的，各自承担相应的责任。</w:t>
      </w:r>
    </w:p>
    <w:p w14:paraId="1205BFB4">
      <w:pPr>
        <w:autoSpaceDE w:val="0"/>
        <w:autoSpaceDN w:val="0"/>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17. 合同分包</w:t>
      </w:r>
    </w:p>
    <w:p w14:paraId="5C66C4C7">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 乙方不得将合同转包给其他</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。涉及合同分包的，乙方应根据采购文件和投标（响应）文件规定进行合同分包。</w:t>
      </w:r>
    </w:p>
    <w:p w14:paraId="5B031E1B">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 乙方执行政府采购政策向中小企业依法分包的，乙方应当按采购文件和投标（响应）文件签订分包意向协议，分包意向协议属于本合同组成部分。</w:t>
      </w:r>
    </w:p>
    <w:p w14:paraId="3D7342D9">
      <w:pPr>
        <w:autoSpaceDE w:val="0"/>
        <w:autoSpaceDN w:val="0"/>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18. 不可抗力</w:t>
      </w:r>
    </w:p>
    <w:p w14:paraId="653E6BC1">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 不可抗力是指合同双方不能预见、不能避免且不能克服的客观情况。</w:t>
      </w:r>
    </w:p>
    <w:p w14:paraId="08C75C08">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 任何一方对由于不可抗力造成的部分或全部不能履行合同不承担违约责任。但迟延履行后发生不可抗力的，不能免除责任。</w:t>
      </w:r>
    </w:p>
    <w:p w14:paraId="52C13254">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EB2DAC4">
      <w:pPr>
        <w:autoSpaceDE w:val="0"/>
        <w:autoSpaceDN w:val="0"/>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19. 解决争议的方法</w:t>
      </w:r>
    </w:p>
    <w:p w14:paraId="09F6205D">
      <w:pPr>
        <w:widowControl/>
        <w:autoSpaceDE w:val="0"/>
        <w:autoSpaceDN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2E689F97">
      <w:pPr>
        <w:widowControl/>
        <w:autoSpaceDE w:val="0"/>
        <w:autoSpaceDN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19.2 选择仲裁的，应在</w:t>
      </w:r>
      <w:r>
        <w:rPr>
          <w:rFonts w:hint="eastAsia" w:ascii="宋体" w:hAnsi="宋体" w:eastAsia="宋体" w:cs="宋体"/>
          <w:b/>
          <w:bCs/>
          <w:color w:val="auto"/>
          <w:kern w:val="0"/>
          <w:sz w:val="21"/>
          <w:szCs w:val="21"/>
          <w:highlight w:val="none"/>
        </w:rPr>
        <w:t>【政府采购合同专用条款】</w:t>
      </w:r>
      <w:r>
        <w:rPr>
          <w:rFonts w:hint="eastAsia" w:ascii="宋体" w:hAnsi="宋体" w:eastAsia="宋体" w:cs="宋体"/>
          <w:color w:val="auto"/>
          <w:kern w:val="0"/>
          <w:sz w:val="21"/>
          <w:szCs w:val="21"/>
          <w:highlight w:val="none"/>
        </w:rPr>
        <w:t>中明确仲裁机构及仲裁地；通过诉讼方式解决的，可以在</w:t>
      </w:r>
      <w:r>
        <w:rPr>
          <w:rFonts w:hint="eastAsia" w:ascii="宋体" w:hAnsi="宋体" w:eastAsia="宋体" w:cs="宋体"/>
          <w:b/>
          <w:bCs/>
          <w:color w:val="auto"/>
          <w:kern w:val="0"/>
          <w:sz w:val="21"/>
          <w:szCs w:val="21"/>
          <w:highlight w:val="none"/>
        </w:rPr>
        <w:t>【政府采购合同专用条款】</w:t>
      </w:r>
      <w:r>
        <w:rPr>
          <w:rFonts w:hint="eastAsia" w:ascii="宋体" w:hAnsi="宋体" w:eastAsia="宋体" w:cs="宋体"/>
          <w:color w:val="auto"/>
          <w:kern w:val="0"/>
          <w:sz w:val="21"/>
          <w:szCs w:val="21"/>
          <w:highlight w:val="none"/>
        </w:rPr>
        <w:t>中进一步约定选择与争议有实际联系的地点的人民法院管辖，但管辖法院的约定不得违反级别管辖和专属管辖的规定。</w:t>
      </w:r>
    </w:p>
    <w:p w14:paraId="6C4D4AA0">
      <w:pPr>
        <w:widowControl/>
        <w:autoSpaceDE w:val="0"/>
        <w:autoSpaceDN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19.3 如甲乙双方有争议的事项不影响合同其他部分的履行，在争议解决期间，合同其他部分应当继续履行。</w:t>
      </w:r>
    </w:p>
    <w:p w14:paraId="0E9B2796">
      <w:pPr>
        <w:autoSpaceDE w:val="0"/>
        <w:autoSpaceDN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20. 政府采购政策</w:t>
      </w:r>
    </w:p>
    <w:p w14:paraId="056DC708">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20.1 </w:t>
      </w:r>
      <w:r>
        <w:rPr>
          <w:rFonts w:hint="eastAsia" w:ascii="宋体" w:hAnsi="宋体" w:eastAsia="宋体" w:cs="宋体"/>
          <w:color w:val="auto"/>
          <w:sz w:val="21"/>
          <w:szCs w:val="21"/>
          <w:highlight w:val="none"/>
          <w:lang w:val="en-GB"/>
        </w:rPr>
        <w:t>本合同应当按照规定执行政府采购政策。</w:t>
      </w:r>
    </w:p>
    <w:p w14:paraId="379B3CA5">
      <w:pPr>
        <w:autoSpaceDE w:val="0"/>
        <w:autoSpaceDN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 本合同依法执行政府采购政策的方式和内容，属于合同履约验收的范围。甲乙双方</w:t>
      </w:r>
      <w:r>
        <w:rPr>
          <w:rFonts w:hint="eastAsia" w:ascii="宋体" w:hAnsi="宋体" w:eastAsia="宋体" w:cs="宋体"/>
          <w:color w:val="auto"/>
          <w:sz w:val="21"/>
          <w:szCs w:val="21"/>
          <w:highlight w:val="none"/>
          <w:lang w:val="en-GB"/>
        </w:rPr>
        <w:t>未按规定要求执行政府采购政策造成损失的</w:t>
      </w:r>
      <w:r>
        <w:rPr>
          <w:rFonts w:hint="eastAsia" w:ascii="宋体" w:hAnsi="宋体" w:eastAsia="宋体" w:cs="宋体"/>
          <w:color w:val="auto"/>
          <w:sz w:val="21"/>
          <w:szCs w:val="21"/>
          <w:highlight w:val="none"/>
        </w:rPr>
        <w:t>，有过错的一方应当承担赔偿责任，双方都有过错的，各自承担相应的责任。</w:t>
      </w:r>
    </w:p>
    <w:p w14:paraId="70D141C2">
      <w:pPr>
        <w:adjustRightIn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6BFA621">
      <w:pPr>
        <w:autoSpaceDE w:val="0"/>
        <w:autoSpaceDN w:val="0"/>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21. 法律适用</w:t>
      </w:r>
    </w:p>
    <w:p w14:paraId="371F62FA">
      <w:pPr>
        <w:widowControl/>
        <w:autoSpaceDE w:val="0"/>
        <w:autoSpaceDN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21.1 本合同的订立、生效、解释、履行及与本合同有关的争议解决，均适用法律、行政法规。</w:t>
      </w:r>
    </w:p>
    <w:p w14:paraId="0BD440AA">
      <w:pPr>
        <w:widowControl/>
        <w:autoSpaceDE w:val="0"/>
        <w:autoSpaceDN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21.2 本合同条款与法律、行政法规的强制性规定不一致的，双方当事人应按照法律、行政法规的强制性规定修改本合同的相关条款。</w:t>
      </w:r>
    </w:p>
    <w:p w14:paraId="54C39CDA">
      <w:pPr>
        <w:autoSpaceDE w:val="0"/>
        <w:autoSpaceDN w:val="0"/>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22. 通知</w:t>
      </w:r>
    </w:p>
    <w:p w14:paraId="2F1B4122">
      <w:pPr>
        <w:widowControl/>
        <w:autoSpaceDE w:val="0"/>
        <w:autoSpaceDN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22.1 本合同任何一方向对方发出的通知、信件、数据电文等，应当发送至本合同第一部分《政府采购合同协议书》所约定的通讯地址、联系人、联系电话或电子邮箱。</w:t>
      </w:r>
    </w:p>
    <w:p w14:paraId="46C413F9">
      <w:pPr>
        <w:widowControl/>
        <w:autoSpaceDE w:val="0"/>
        <w:autoSpaceDN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22.2 一方当事人变更名称、住所、联系人、联系电话或电子邮箱等信息的，应当在变更后3日内及时书面通知对方，对方实际收到变更通知前的送达仍为有效送达。</w:t>
      </w:r>
    </w:p>
    <w:p w14:paraId="1EFEC341">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22.3本合同一方给另一方的通知均应采用书面形式，传真或快递送到本合同中规定的对方的地址和办理签收手续。</w:t>
      </w:r>
    </w:p>
    <w:p w14:paraId="1FD57C11">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22.4通知以送达之日或通知书中规定的生效之日起生效，两者中以较迟之日为准。</w:t>
      </w:r>
    </w:p>
    <w:p w14:paraId="28914F2B">
      <w:pPr>
        <w:autoSpaceDE w:val="0"/>
        <w:autoSpaceDN w:val="0"/>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23. 合同未尽事项</w:t>
      </w:r>
    </w:p>
    <w:p w14:paraId="44E47966">
      <w:pPr>
        <w:snapToGrid w:val="0"/>
        <w:spacing w:line="36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23.1合同未尽事项见</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w:t>
      </w:r>
    </w:p>
    <w:p w14:paraId="26FA13D3">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 xml:space="preserve">    23.2 合同附件与合同正文具有同等的法律效力。</w:t>
      </w:r>
      <w:bookmarkStart w:id="196" w:name="_Toc20313"/>
      <w:r>
        <w:rPr>
          <w:rFonts w:hint="eastAsia" w:ascii="宋体" w:hAnsi="宋体" w:eastAsia="宋体" w:cs="宋体"/>
          <w:color w:val="auto"/>
          <w:sz w:val="21"/>
          <w:szCs w:val="21"/>
          <w:highlight w:val="none"/>
        </w:rPr>
        <w:br w:type="page"/>
      </w:r>
    </w:p>
    <w:p w14:paraId="13C4C4F5">
      <w:pPr>
        <w:keepNext/>
        <w:keepLines/>
        <w:snapToGrid w:val="0"/>
        <w:spacing w:line="360" w:lineRule="auto"/>
        <w:jc w:val="center"/>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第三节 政府采购合同专用条款</w:t>
      </w:r>
      <w:bookmarkEnd w:id="196"/>
    </w:p>
    <w:tbl>
      <w:tblPr>
        <w:tblStyle w:val="56"/>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276FF7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noWrap w:val="0"/>
            <w:vAlign w:val="center"/>
          </w:tcPr>
          <w:p w14:paraId="0FCEDB43">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772A22DE">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第1.2（6）项</w:t>
            </w:r>
          </w:p>
        </w:tc>
        <w:tc>
          <w:tcPr>
            <w:tcW w:w="1742" w:type="dxa"/>
            <w:tcBorders>
              <w:top w:val="double" w:color="auto" w:sz="4" w:space="0"/>
              <w:left w:val="single" w:color="auto" w:sz="6" w:space="0"/>
              <w:bottom w:val="single" w:color="auto" w:sz="6" w:space="0"/>
              <w:right w:val="single" w:color="auto" w:sz="6" w:space="0"/>
            </w:tcBorders>
            <w:noWrap w:val="0"/>
            <w:vAlign w:val="center"/>
          </w:tcPr>
          <w:p w14:paraId="359413F6">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联合体具体要求</w:t>
            </w:r>
          </w:p>
        </w:tc>
        <w:tc>
          <w:tcPr>
            <w:tcW w:w="5171" w:type="dxa"/>
            <w:tcBorders>
              <w:top w:val="double" w:color="auto" w:sz="4" w:space="0"/>
              <w:left w:val="single" w:color="auto" w:sz="6" w:space="0"/>
              <w:bottom w:val="single" w:color="auto" w:sz="6" w:space="0"/>
              <w:right w:val="double" w:color="auto" w:sz="4" w:space="0"/>
            </w:tcBorders>
            <w:noWrap w:val="0"/>
            <w:vAlign w:val="center"/>
          </w:tcPr>
          <w:p w14:paraId="64A7A8E4">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05B17B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751F424D">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963FE1C">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第1.2（7）项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2FE0F2A2">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其他术语解释</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66B052A9">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5ED34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73550B13">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0D0BCD97">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第4.4款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5738990E">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履约验收中甲方提出异议或作出说明的期限</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0E0024C1">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自知道或应当知道之日起5个工作日内</w:t>
            </w:r>
          </w:p>
        </w:tc>
      </w:tr>
      <w:tr w14:paraId="43383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6918485C">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2B554CF">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第4.6款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7FFD7639">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约定甲方承担的其他义务和责任</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1125E094">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45FCDE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271A20AE">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5E95D600">
            <w:pPr>
              <w:keepNext w:val="0"/>
              <w:keepLines w:val="0"/>
              <w:suppressLineNumbers w:val="0"/>
              <w:adjustRightInd/>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第5.4款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449F7F63">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约定乙方承担的其他义务和责任</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542B2C4F">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乙方应将所提供货物的装箱清单、用户手册、原厂保修卡、随机资料、工具和备品、备件等交付给甲方，如有缺失应及时补齐，否则视为逾期交货。</w:t>
            </w:r>
          </w:p>
        </w:tc>
      </w:tr>
      <w:tr w14:paraId="2B486B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004E2F17">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1B58DAAA">
            <w:pPr>
              <w:keepNext w:val="0"/>
              <w:keepLines w:val="0"/>
              <w:suppressLineNumbers w:val="0"/>
              <w:adjustRightInd/>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第6.1款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35050E50">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履行合同义务的顺序</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244AF61F">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甲方先履行</w:t>
            </w:r>
          </w:p>
        </w:tc>
      </w:tr>
      <w:tr w14:paraId="1269AE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noWrap w:val="0"/>
            <w:vAlign w:val="center"/>
          </w:tcPr>
          <w:p w14:paraId="73F4E392">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71536606">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第7.1款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4F759ED4">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包装特殊要求</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21D7F8BA">
            <w:pPr>
              <w:keepNext w:val="0"/>
              <w:keepLines w:val="0"/>
              <w:suppressLineNumbers w:val="0"/>
              <w:adjustRightInd/>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1F7EA0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noWrap w:val="0"/>
            <w:vAlign w:val="center"/>
          </w:tcPr>
          <w:p w14:paraId="28121CE2">
            <w:pPr>
              <w:keepNext w:val="0"/>
              <w:keepLines w:val="0"/>
              <w:widowControl/>
              <w:suppressLineNumbers w:val="0"/>
              <w:adjustRightInd/>
              <w:spacing w:before="0" w:beforeAutospacing="0" w:after="0" w:afterAutospacing="0" w:line="360" w:lineRule="auto"/>
              <w:ind w:left="0" w:right="0"/>
              <w:jc w:val="left"/>
              <w:rPr>
                <w:rFonts w:hint="eastAsia" w:ascii="宋体" w:hAnsi="宋体" w:eastAsia="宋体" w:cs="宋体"/>
                <w:color w:val="auto"/>
                <w:sz w:val="21"/>
                <w:szCs w:val="21"/>
                <w:highlight w:val="none"/>
              </w:rPr>
            </w:pPr>
          </w:p>
        </w:tc>
        <w:tc>
          <w:tcPr>
            <w:tcW w:w="1742" w:type="dxa"/>
            <w:tcBorders>
              <w:top w:val="single" w:color="auto" w:sz="6" w:space="0"/>
              <w:left w:val="single" w:color="auto" w:sz="6" w:space="0"/>
              <w:bottom w:val="single" w:color="auto" w:sz="6" w:space="0"/>
              <w:right w:val="single" w:color="auto" w:sz="6" w:space="0"/>
            </w:tcBorders>
            <w:noWrap w:val="0"/>
            <w:vAlign w:val="center"/>
          </w:tcPr>
          <w:p w14:paraId="1B22CADA">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指定现场</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7C2D860E">
            <w:pPr>
              <w:keepNext w:val="0"/>
              <w:keepLines w:val="0"/>
              <w:suppressLineNumbers w:val="0"/>
              <w:adjustRightInd/>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p>
        </w:tc>
      </w:tr>
      <w:tr w14:paraId="1BAE94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31ED6C8E">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E80A4C5">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第7.2款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6AED3678">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运输特殊要求</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57963C3B">
            <w:pPr>
              <w:keepNext w:val="0"/>
              <w:keepLines w:val="0"/>
              <w:suppressLineNumbers w:val="0"/>
              <w:adjustRightInd/>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08AE32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25057F4D">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0363BA8">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第7.3款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76D940D9">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保险要求</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57A69B03">
            <w:pPr>
              <w:keepNext w:val="0"/>
              <w:keepLines w:val="0"/>
              <w:suppressLineNumbers w:val="0"/>
              <w:adjustRightInd/>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5B2A49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214E2604">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1509FF1">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第8.2（1）项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7BD873AC">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质量保证期</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5C7D318B">
            <w:pPr>
              <w:keepNext w:val="0"/>
              <w:keepLines w:val="0"/>
              <w:suppressLineNumbers w:val="0"/>
              <w:autoSpaceDE w:val="0"/>
              <w:autoSpaceDN w:val="0"/>
              <w:snapToGrid w:val="0"/>
              <w:spacing w:before="0" w:beforeAutospacing="0" w:after="0" w:afterAutospacing="0" w:line="360" w:lineRule="auto"/>
              <w:ind w:left="0" w:right="0" w:firstLine="420" w:firstLineChars="200"/>
              <w:jc w:val="left"/>
              <w:rPr>
                <w:rFonts w:hint="eastAsia" w:ascii="宋体" w:hAnsi="宋体" w:eastAsia="宋体" w:cs="宋体"/>
                <w:color w:val="auto"/>
                <w:sz w:val="21"/>
                <w:szCs w:val="21"/>
                <w:highlight w:val="none"/>
              </w:rPr>
            </w:pPr>
          </w:p>
        </w:tc>
      </w:tr>
      <w:tr w14:paraId="51C32C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467B5D69">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4D3D8EC">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第8.2（3）项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68AABF67">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货物质量缺陷</w:t>
            </w:r>
          </w:p>
          <w:p w14:paraId="49921B4F">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响应时间</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19C88B1A">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p>
        </w:tc>
      </w:tr>
      <w:tr w14:paraId="0292C5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524A6F0D">
            <w:pPr>
              <w:keepNext w:val="0"/>
              <w:keepLines w:val="0"/>
              <w:suppressLineNumbers w:val="0"/>
              <w:adjustRightInd/>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4D858198">
            <w:pPr>
              <w:keepNext w:val="0"/>
              <w:keepLines w:val="0"/>
              <w:widowControl/>
              <w:suppressLineNumbers w:val="0"/>
              <w:autoSpaceDE w:val="0"/>
              <w:autoSpaceDN w:val="0"/>
              <w:spacing w:before="0" w:beforeAutospacing="0" w:after="0" w:afterAutospacing="0" w:line="36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第11.1款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5248D5C6">
            <w:pPr>
              <w:keepNext w:val="0"/>
              <w:keepLines w:val="0"/>
              <w:suppressLineNumbers w:val="0"/>
              <w:snapToGrid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其他应当保密的信息</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5668F4D0">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p>
        </w:tc>
      </w:tr>
      <w:tr w14:paraId="7E592D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53DDA84B">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4CFACE5">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第12.2款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6E9455EB">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合同价款支付时间</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2826ED31">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按协议书约定</w:t>
            </w:r>
          </w:p>
        </w:tc>
      </w:tr>
      <w:tr w14:paraId="3FA7D0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78E3F836">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17104837">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第13.2款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65C55F6A">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履约保证金不予退还的情形</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4DF21950">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66421D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735E197F">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0DAC3F43">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第13.3款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15B592AC">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履约保证金退还时间及逾期退还的违约金</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6D38F07E">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080FC6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77F8A1FD">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0CC16B77">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第14.1（3）项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183D9BAE">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运行监督、维修期限</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169F5193">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p>
        </w:tc>
      </w:tr>
      <w:tr w14:paraId="437D6F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78CC5D36">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05EE4744">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第14.1（5）项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4D513674">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货物回收的约定</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373B71E4">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p>
        </w:tc>
      </w:tr>
      <w:tr w14:paraId="6E2284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72F600E9">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17103BE1">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第14.1（6）项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1C23C9CB">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乙方提供的其他服务</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165444E9">
            <w:pPr>
              <w:pStyle w:val="27"/>
              <w:keepNext w:val="0"/>
              <w:keepLines w:val="0"/>
              <w:suppressLineNumbers w:val="0"/>
              <w:adjustRightInd w:val="0"/>
              <w:snapToGrid w:val="0"/>
              <w:spacing w:before="0" w:beforeAutospacing="0" w:after="0" w:afterAutospacing="0" w:line="400" w:lineRule="exact"/>
              <w:ind w:left="0" w:right="0" w:firstLine="420" w:firstLineChars="200"/>
              <w:rPr>
                <w:rFonts w:hint="eastAsia" w:ascii="宋体" w:hAnsi="宋体" w:eastAsia="宋体" w:cs="宋体"/>
                <w:color w:val="auto"/>
                <w:sz w:val="21"/>
                <w:szCs w:val="21"/>
                <w:highlight w:val="none"/>
              </w:rPr>
            </w:pPr>
          </w:p>
        </w:tc>
      </w:tr>
      <w:tr w14:paraId="29DADE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024A8AFD">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E5C048D">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第15.1款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550A494F">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修理、重作、更换相关具体规定</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245CC9F0">
            <w:pPr>
              <w:keepNext w:val="0"/>
              <w:keepLines w:val="0"/>
              <w:suppressLineNumbers w:val="0"/>
              <w:adjustRightInd w:val="0"/>
              <w:snapToGrid w:val="0"/>
              <w:spacing w:before="0" w:beforeAutospacing="0" w:after="0" w:afterAutospacing="0" w:line="400" w:lineRule="exact"/>
              <w:ind w:left="0"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应按招标文件规定的货物性能、技术要求、质量标准向甲方提供未经使用的全新产品。乙方提供货物的质量保证期按交货验收合格之日起计（期限见《招标项目采购需求》的要求）。在保证期内因货物本身的质量问题发生故障，乙方应负责免费修理和更换零部件。对达不到技术要求者，根据实际情况，经双方协商，可按以下办法处理：</w:t>
            </w:r>
          </w:p>
          <w:p w14:paraId="6CD356DD">
            <w:pPr>
              <w:pStyle w:val="27"/>
              <w:keepNext w:val="0"/>
              <w:keepLines w:val="0"/>
              <w:suppressLineNumbers w:val="0"/>
              <w:adjustRightInd w:val="0"/>
              <w:snapToGrid w:val="0"/>
              <w:spacing w:before="0" w:beforeAutospacing="0" w:after="0" w:afterAutospacing="0" w:line="400" w:lineRule="exact"/>
              <w:ind w:left="0"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（1）更换：由乙方承担所发生的全部费用。</w:t>
            </w:r>
          </w:p>
          <w:p w14:paraId="6F44E1A6">
            <w:pPr>
              <w:pStyle w:val="27"/>
              <w:keepNext w:val="0"/>
              <w:keepLines w:val="0"/>
              <w:suppressLineNumbers w:val="0"/>
              <w:adjustRightInd w:val="0"/>
              <w:snapToGrid w:val="0"/>
              <w:spacing w:before="0" w:beforeAutospacing="0" w:after="0" w:afterAutospacing="0" w:line="400" w:lineRule="exact"/>
              <w:ind w:left="0"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（2）贬值处理：由甲乙双方合议定价。</w:t>
            </w:r>
          </w:p>
          <w:p w14:paraId="3BA262F4">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（3）退货处理：乙方应退还甲方支付的合同款，同时应承担该货物的直接费用（运输、保险、检验、货款利息及银行手续费等）。</w:t>
            </w:r>
          </w:p>
        </w:tc>
      </w:tr>
      <w:tr w14:paraId="37BD9F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58D53E26">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86C21F5">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第15.2（2）项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71BDD734">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迟延交货赔偿费</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2E927E31">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甲方无故延期接收货物、乙方逾期交货的，每天向对方偿付违约货款额3‰违约金，但违约金累计不得超过违约货款额</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，超过</w:t>
            </w:r>
            <w:r>
              <w:rPr>
                <w:rFonts w:hint="eastAsia" w:ascii="宋体" w:hAnsi="宋体" w:eastAsia="宋体" w:cs="宋体"/>
                <w:color w:val="auto"/>
                <w:sz w:val="21"/>
                <w:szCs w:val="21"/>
                <w:highlight w:val="none"/>
                <w:u w:val="single"/>
              </w:rPr>
              <w:t xml:space="preserve"> 30 </w:t>
            </w:r>
            <w:r>
              <w:rPr>
                <w:rFonts w:hint="eastAsia" w:ascii="宋体" w:hAnsi="宋体" w:eastAsia="宋体" w:cs="宋体"/>
                <w:color w:val="auto"/>
                <w:sz w:val="21"/>
                <w:szCs w:val="21"/>
                <w:highlight w:val="none"/>
              </w:rPr>
              <w:t>天对方有权解除合同，违约方承担因此给对方造成经济损失；甲方延期付货款的，乙方有权每日向甲方索赔延期货款额</w:t>
            </w:r>
            <w:r>
              <w:rPr>
                <w:rFonts w:hint="eastAsia" w:ascii="宋体" w:hAnsi="宋体" w:eastAsia="宋体" w:cs="宋体"/>
                <w:color w:val="auto"/>
                <w:sz w:val="21"/>
                <w:szCs w:val="21"/>
                <w:highlight w:val="none"/>
                <w:u w:val="single"/>
              </w:rPr>
              <w:t xml:space="preserve">3‰ </w:t>
            </w:r>
            <w:r>
              <w:rPr>
                <w:rFonts w:hint="eastAsia" w:ascii="宋体" w:hAnsi="宋体" w:eastAsia="宋体" w:cs="宋体"/>
                <w:color w:val="auto"/>
                <w:sz w:val="21"/>
                <w:szCs w:val="21"/>
                <w:highlight w:val="none"/>
              </w:rPr>
              <w:t>滞纳金，但滞纳金累计不得超过延期货款额</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w:t>
            </w:r>
          </w:p>
        </w:tc>
      </w:tr>
      <w:tr w14:paraId="2F2BE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noWrap w:val="0"/>
            <w:vAlign w:val="center"/>
          </w:tcPr>
          <w:p w14:paraId="66754931">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7B50B107">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第15.3款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373A6B33">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逾期付款利息</w:t>
            </w:r>
          </w:p>
        </w:tc>
        <w:tc>
          <w:tcPr>
            <w:tcW w:w="5171" w:type="dxa"/>
            <w:tcBorders>
              <w:top w:val="single" w:color="auto" w:sz="6" w:space="0"/>
              <w:left w:val="single" w:color="auto" w:sz="6" w:space="0"/>
              <w:bottom w:val="single" w:color="auto" w:sz="6" w:space="0"/>
              <w:right w:val="double" w:color="auto" w:sz="4" w:space="0"/>
            </w:tcBorders>
            <w:noWrap w:val="0"/>
            <w:vAlign w:val="center"/>
          </w:tcPr>
          <w:p w14:paraId="75833072">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按银行孳息</w:t>
            </w:r>
          </w:p>
        </w:tc>
      </w:tr>
      <w:tr w14:paraId="4F0220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noWrap w:val="0"/>
            <w:vAlign w:val="center"/>
          </w:tcPr>
          <w:p w14:paraId="1E6AE74F">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1FA01A00">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第15.4款</w:t>
            </w:r>
          </w:p>
        </w:tc>
        <w:tc>
          <w:tcPr>
            <w:tcW w:w="1742" w:type="dxa"/>
            <w:tcBorders>
              <w:top w:val="single" w:color="auto" w:sz="6" w:space="0"/>
              <w:left w:val="single" w:color="auto" w:sz="2" w:space="0"/>
              <w:bottom w:val="single" w:color="auto" w:sz="2" w:space="0"/>
              <w:right w:val="single" w:color="auto" w:sz="2" w:space="0"/>
            </w:tcBorders>
            <w:noWrap w:val="0"/>
            <w:vAlign w:val="center"/>
          </w:tcPr>
          <w:p w14:paraId="5D9F5AFC">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其他违约责任</w:t>
            </w:r>
          </w:p>
        </w:tc>
        <w:tc>
          <w:tcPr>
            <w:tcW w:w="5171" w:type="dxa"/>
            <w:tcBorders>
              <w:top w:val="single" w:color="auto" w:sz="6" w:space="0"/>
              <w:left w:val="single" w:color="auto" w:sz="2" w:space="0"/>
              <w:bottom w:val="single" w:color="auto" w:sz="2" w:space="0"/>
              <w:right w:val="double" w:color="auto" w:sz="4" w:space="0"/>
            </w:tcBorders>
            <w:noWrap w:val="0"/>
            <w:vAlign w:val="center"/>
          </w:tcPr>
          <w:p w14:paraId="30E9623A">
            <w:pPr>
              <w:keepNext w:val="0"/>
              <w:keepLines w:val="0"/>
              <w:suppressLineNumbers w:val="0"/>
              <w:adjustRightInd w:val="0"/>
              <w:snapToGrid w:val="0"/>
              <w:spacing w:before="0" w:beforeAutospacing="0" w:after="0" w:afterAutospacing="0" w:line="400" w:lineRule="exact"/>
              <w:ind w:left="0" w:righ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乙方提供的货物如侵犯了第三方合法权益而引发的任何纠纷或诉讼，均由乙方负责交涉并承担全部责任。</w:t>
            </w:r>
          </w:p>
          <w:p w14:paraId="5231D4B7">
            <w:pPr>
              <w:keepNext w:val="0"/>
              <w:keepLines w:val="0"/>
              <w:suppressLineNumbers w:val="0"/>
              <w:adjustRightInd w:val="0"/>
              <w:snapToGrid w:val="0"/>
              <w:spacing w:before="0" w:beforeAutospacing="0" w:after="0" w:afterAutospacing="0" w:line="400" w:lineRule="exact"/>
              <w:ind w:left="0" w:righ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.因包装、运输引起的货物损坏，按质量不合格处罚。</w:t>
            </w:r>
          </w:p>
          <w:p w14:paraId="15012082">
            <w:pPr>
              <w:keepNext w:val="0"/>
              <w:keepLines w:val="0"/>
              <w:suppressLineNumbers w:val="0"/>
              <w:adjustRightInd w:val="0"/>
              <w:snapToGrid w:val="0"/>
              <w:spacing w:before="0" w:beforeAutospacing="0" w:after="0" w:afterAutospacing="0" w:line="400" w:lineRule="exact"/>
              <w:ind w:left="0" w:right="0"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3.乙方未按本合同和投标文件中规定的服务承诺提供售后服务的，乙方应按本合同总金额 5%向甲方支付违约金。</w:t>
            </w:r>
          </w:p>
          <w:p w14:paraId="0046638C">
            <w:pPr>
              <w:keepNext w:val="0"/>
              <w:keepLines w:val="0"/>
              <w:suppressLineNumbers w:val="0"/>
              <w:adjustRightInd w:val="0"/>
              <w:snapToGrid w:val="0"/>
              <w:spacing w:before="0" w:beforeAutospacing="0" w:after="0" w:afterAutospacing="0" w:line="400" w:lineRule="exact"/>
              <w:ind w:left="0" w:right="0"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4.乙方提供的货物在质量保证期内，因设计、工艺或材料的缺陷和其它质量原因造成的问题，由乙方负责，费用从设备尾款中扣除，不足另补。</w:t>
            </w:r>
          </w:p>
          <w:p w14:paraId="42CABC9D">
            <w:pPr>
              <w:keepNext w:val="0"/>
              <w:keepLines w:val="0"/>
              <w:suppressLineNumbers w:val="0"/>
              <w:adjustRightInd w:val="0"/>
              <w:snapToGrid w:val="0"/>
              <w:spacing w:before="0" w:beforeAutospacing="0" w:after="0" w:afterAutospacing="0" w:line="400" w:lineRule="exact"/>
              <w:ind w:left="0" w:right="0"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5.其它违约行为按违约货款额5% 收取违约金并赔偿经济损失。</w:t>
            </w:r>
          </w:p>
          <w:p w14:paraId="29B4F95C">
            <w:pPr>
              <w:keepNext w:val="0"/>
              <w:keepLines w:val="0"/>
              <w:suppressLineNumbers w:val="0"/>
              <w:adjustRightInd w:val="0"/>
              <w:snapToGrid w:val="0"/>
              <w:spacing w:before="0" w:beforeAutospacing="0" w:after="0" w:afterAutospacing="0" w:line="400" w:lineRule="exact"/>
              <w:ind w:left="0" w:right="0"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6.甲方为维护权益向乙方追偿的一切费用（包括但不限于律师费、诉讼费、保全费、担保费、交通费、差旅费、鉴定费等等）均由乙方承担。</w:t>
            </w:r>
          </w:p>
        </w:tc>
      </w:tr>
      <w:tr w14:paraId="7FCE3A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noWrap w:val="0"/>
            <w:vAlign w:val="center"/>
          </w:tcPr>
          <w:p w14:paraId="2080958C">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088A57FC">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第19.2款</w:t>
            </w:r>
          </w:p>
        </w:tc>
        <w:tc>
          <w:tcPr>
            <w:tcW w:w="1742" w:type="dxa"/>
            <w:tcBorders>
              <w:top w:val="single" w:color="auto" w:sz="2" w:space="0"/>
              <w:left w:val="single" w:color="auto" w:sz="2" w:space="0"/>
              <w:bottom w:val="single" w:color="auto" w:sz="6" w:space="0"/>
              <w:right w:val="single" w:color="auto" w:sz="2" w:space="0"/>
            </w:tcBorders>
            <w:noWrap w:val="0"/>
            <w:vAlign w:val="center"/>
          </w:tcPr>
          <w:p w14:paraId="47451525">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解决争议的方法</w:t>
            </w:r>
          </w:p>
        </w:tc>
        <w:tc>
          <w:tcPr>
            <w:tcW w:w="5171" w:type="dxa"/>
            <w:tcBorders>
              <w:top w:val="single" w:color="auto" w:sz="2" w:space="0"/>
              <w:left w:val="single" w:color="auto" w:sz="2" w:space="0"/>
              <w:bottom w:val="single" w:color="auto" w:sz="6" w:space="0"/>
              <w:right w:val="double" w:color="auto" w:sz="4" w:space="0"/>
            </w:tcBorders>
            <w:noWrap w:val="0"/>
            <w:vAlign w:val="center"/>
          </w:tcPr>
          <w:p w14:paraId="7C9ED37F">
            <w:pPr>
              <w:keepNext w:val="0"/>
              <w:keepLines w:val="0"/>
              <w:suppressLineNumbers w:val="0"/>
              <w:autoSpaceDE w:val="0"/>
              <w:autoSpaceDN w:val="0"/>
              <w:snapToGrid w:val="0"/>
              <w:spacing w:before="0" w:beforeAutospacing="0" w:after="0" w:afterAutospacing="0" w:line="360" w:lineRule="auto"/>
              <w:ind w:left="0" w:right="0"/>
              <w:jc w:val="left"/>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t>因本合同及合同有关事项发生的争议，按下列第</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u w:val="single"/>
                <w:lang w:eastAsia="zh-CN"/>
              </w:rPr>
              <w:t>（</w:t>
            </w:r>
            <w:r>
              <w:rPr>
                <w:rFonts w:hint="eastAsia" w:ascii="宋体" w:hAnsi="宋体" w:eastAsia="宋体" w:cs="宋体"/>
                <w:iCs/>
                <w:color w:val="auto"/>
                <w:sz w:val="21"/>
                <w:szCs w:val="21"/>
                <w:highlight w:val="none"/>
                <w:u w:val="single"/>
                <w:lang w:val="en-US" w:eastAsia="zh-CN"/>
              </w:rPr>
              <w:t>2</w:t>
            </w:r>
            <w:r>
              <w:rPr>
                <w:rFonts w:hint="eastAsia" w:ascii="宋体" w:hAnsi="宋体" w:eastAsia="宋体" w:cs="宋体"/>
                <w:iCs/>
                <w:color w:val="auto"/>
                <w:sz w:val="21"/>
                <w:szCs w:val="21"/>
                <w:highlight w:val="none"/>
                <w:u w:val="single"/>
                <w:lang w:eastAsia="zh-CN"/>
              </w:rPr>
              <w:t>）</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rPr>
              <w:t>种方式解决：</w:t>
            </w:r>
          </w:p>
          <w:p w14:paraId="5C44E52F">
            <w:pPr>
              <w:keepNext w:val="0"/>
              <w:keepLines w:val="0"/>
              <w:suppressLineNumbers w:val="0"/>
              <w:autoSpaceDE w:val="0"/>
              <w:autoSpaceDN w:val="0"/>
              <w:snapToGrid w:val="0"/>
              <w:spacing w:before="0" w:beforeAutospacing="0" w:after="0" w:afterAutospacing="0" w:line="360" w:lineRule="auto"/>
              <w:ind w:left="0" w:right="0"/>
              <w:jc w:val="left"/>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t>（1）向</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rPr>
              <w:t>仲裁委员会申请仲裁，仲裁地点为</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rPr>
              <w:t>；</w:t>
            </w:r>
          </w:p>
          <w:p w14:paraId="2B15CAA5">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u w:val="single"/>
              </w:rPr>
            </w:pPr>
            <w:r>
              <w:rPr>
                <w:rFonts w:hint="eastAsia" w:ascii="宋体" w:hAnsi="宋体" w:eastAsia="宋体" w:cs="宋体"/>
                <w:iCs/>
                <w:color w:val="auto"/>
                <w:sz w:val="21"/>
                <w:szCs w:val="21"/>
                <w:highlight w:val="none"/>
              </w:rPr>
              <w:t>（2）向</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u w:val="single"/>
                <w:lang w:val="en-US" w:eastAsia="zh-CN"/>
              </w:rPr>
              <w:t>甲方所在地</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rPr>
              <w:t>人民法院起诉。</w:t>
            </w:r>
          </w:p>
        </w:tc>
      </w:tr>
      <w:tr w14:paraId="1A8B10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noWrap w:val="0"/>
            <w:vAlign w:val="center"/>
          </w:tcPr>
          <w:p w14:paraId="5BBD9F45">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4A60D634">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第23.1款</w:t>
            </w:r>
          </w:p>
        </w:tc>
        <w:tc>
          <w:tcPr>
            <w:tcW w:w="1742" w:type="dxa"/>
            <w:tcBorders>
              <w:top w:val="single" w:color="auto" w:sz="6" w:space="0"/>
              <w:left w:val="single" w:color="auto" w:sz="6" w:space="0"/>
              <w:bottom w:val="double" w:color="auto" w:sz="4" w:space="0"/>
              <w:right w:val="single" w:color="auto" w:sz="6" w:space="0"/>
            </w:tcBorders>
            <w:noWrap w:val="0"/>
            <w:vAlign w:val="center"/>
          </w:tcPr>
          <w:p w14:paraId="771E76A6">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其他专用条款</w:t>
            </w:r>
          </w:p>
        </w:tc>
        <w:tc>
          <w:tcPr>
            <w:tcW w:w="5171" w:type="dxa"/>
            <w:tcBorders>
              <w:top w:val="single" w:color="auto" w:sz="6" w:space="0"/>
              <w:left w:val="single" w:color="auto" w:sz="6" w:space="0"/>
              <w:bottom w:val="double" w:color="auto" w:sz="4" w:space="0"/>
              <w:right w:val="double" w:color="auto" w:sz="4" w:space="0"/>
            </w:tcBorders>
            <w:noWrap w:val="0"/>
            <w:vAlign w:val="center"/>
          </w:tcPr>
          <w:p w14:paraId="0490D70B">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p>
        </w:tc>
      </w:tr>
    </w:tbl>
    <w:p w14:paraId="686603D3">
      <w:pPr>
        <w:rPr>
          <w:highlight w:val="none"/>
        </w:rPr>
      </w:pPr>
    </w:p>
    <w:p w14:paraId="4CF91792">
      <w:pPr>
        <w:spacing w:line="360" w:lineRule="auto"/>
        <w:outlineLvl w:val="1"/>
        <w:rPr>
          <w:rFonts w:hint="eastAsia" w:ascii="仿宋_GB2312" w:hAnsi="仿宋_GB2312" w:eastAsia="仿宋_GB2312" w:cs="仿宋_GB2312"/>
          <w:b/>
          <w:bCs/>
          <w:color w:val="000000"/>
          <w:sz w:val="28"/>
          <w:szCs w:val="28"/>
          <w:highlight w:val="none"/>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type="lines" w:linePitch="312" w:charSpace="0"/>
        </w:sectPr>
      </w:pPr>
    </w:p>
    <w:p w14:paraId="34D49AF8">
      <w:pPr>
        <w:spacing w:before="120" w:line="320" w:lineRule="atLeast"/>
        <w:jc w:val="left"/>
        <w:outlineLvl w:val="1"/>
        <w:rPr>
          <w:b/>
          <w:bCs/>
          <w:color w:val="auto"/>
          <w:szCs w:val="21"/>
          <w:highlight w:val="none"/>
        </w:rPr>
      </w:pPr>
      <w:r>
        <w:rPr>
          <w:b/>
          <w:bCs/>
          <w:color w:val="auto"/>
          <w:szCs w:val="21"/>
          <w:highlight w:val="none"/>
        </w:rPr>
        <w:t>合同附件1</w:t>
      </w:r>
    </w:p>
    <w:p w14:paraId="6D415B7F">
      <w:pPr>
        <w:spacing w:line="360" w:lineRule="exact"/>
        <w:jc w:val="center"/>
        <w:rPr>
          <w:b/>
          <w:bCs/>
          <w:color w:val="auto"/>
          <w:szCs w:val="21"/>
          <w:highlight w:val="none"/>
        </w:rPr>
      </w:pPr>
      <w:r>
        <w:rPr>
          <w:b/>
          <w:bCs/>
          <w:color w:val="auto"/>
          <w:szCs w:val="21"/>
          <w:highlight w:val="none"/>
        </w:rPr>
        <w:t>政府采购项目履约保证金退付意见书</w:t>
      </w:r>
    </w:p>
    <w:p w14:paraId="1D3AF4A4">
      <w:pPr>
        <w:jc w:val="center"/>
        <w:rPr>
          <w:color w:val="auto"/>
          <w:sz w:val="36"/>
          <w:szCs w:val="36"/>
          <w:highlight w:val="none"/>
        </w:rPr>
      </w:pP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2B08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3086871A">
            <w:pPr>
              <w:jc w:val="center"/>
              <w:rPr>
                <w:color w:val="auto"/>
                <w:szCs w:val="21"/>
                <w:highlight w:val="none"/>
              </w:rPr>
            </w:pPr>
            <w:r>
              <w:rPr>
                <w:color w:val="auto"/>
                <w:szCs w:val="21"/>
                <w:highlight w:val="none"/>
              </w:rPr>
              <w:t>供</w:t>
            </w:r>
          </w:p>
          <w:p w14:paraId="3ABF816B">
            <w:pPr>
              <w:jc w:val="center"/>
              <w:rPr>
                <w:color w:val="auto"/>
                <w:szCs w:val="21"/>
                <w:highlight w:val="none"/>
              </w:rPr>
            </w:pPr>
            <w:r>
              <w:rPr>
                <w:color w:val="auto"/>
                <w:szCs w:val="21"/>
                <w:highlight w:val="none"/>
              </w:rPr>
              <w:t>应</w:t>
            </w:r>
          </w:p>
          <w:p w14:paraId="56133749">
            <w:pPr>
              <w:jc w:val="center"/>
              <w:rPr>
                <w:color w:val="auto"/>
                <w:szCs w:val="21"/>
                <w:highlight w:val="none"/>
              </w:rPr>
            </w:pPr>
            <w:r>
              <w:rPr>
                <w:color w:val="auto"/>
                <w:szCs w:val="21"/>
                <w:highlight w:val="none"/>
              </w:rPr>
              <w:t>商</w:t>
            </w:r>
          </w:p>
          <w:p w14:paraId="4F57C570">
            <w:pPr>
              <w:jc w:val="center"/>
              <w:rPr>
                <w:color w:val="auto"/>
                <w:szCs w:val="21"/>
                <w:highlight w:val="none"/>
              </w:rPr>
            </w:pPr>
            <w:r>
              <w:rPr>
                <w:color w:val="auto"/>
                <w:szCs w:val="21"/>
                <w:highlight w:val="none"/>
              </w:rPr>
              <w:t>申</w:t>
            </w:r>
          </w:p>
          <w:p w14:paraId="13CA9E2F">
            <w:pPr>
              <w:jc w:val="center"/>
              <w:rPr>
                <w:color w:val="auto"/>
                <w:szCs w:val="21"/>
                <w:highlight w:val="none"/>
              </w:rPr>
            </w:pPr>
            <w:r>
              <w:rPr>
                <w:color w:val="auto"/>
                <w:szCs w:val="21"/>
                <w:highlight w:val="none"/>
              </w:rPr>
              <w:t>请</w:t>
            </w:r>
          </w:p>
        </w:tc>
        <w:tc>
          <w:tcPr>
            <w:tcW w:w="8640" w:type="dxa"/>
            <w:noWrap w:val="0"/>
            <w:vAlign w:val="center"/>
          </w:tcPr>
          <w:p w14:paraId="28776434">
            <w:pPr>
              <w:rPr>
                <w:color w:val="auto"/>
                <w:szCs w:val="21"/>
                <w:highlight w:val="none"/>
              </w:rPr>
            </w:pPr>
            <w:r>
              <w:rPr>
                <w:color w:val="auto"/>
                <w:szCs w:val="21"/>
                <w:highlight w:val="none"/>
              </w:rPr>
              <w:t>项目编号：</w:t>
            </w:r>
          </w:p>
        </w:tc>
      </w:tr>
      <w:tr w14:paraId="4286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0808AAC6">
            <w:pPr>
              <w:rPr>
                <w:color w:val="auto"/>
                <w:szCs w:val="21"/>
                <w:highlight w:val="none"/>
              </w:rPr>
            </w:pPr>
          </w:p>
        </w:tc>
        <w:tc>
          <w:tcPr>
            <w:tcW w:w="8640" w:type="dxa"/>
            <w:noWrap w:val="0"/>
            <w:vAlign w:val="center"/>
          </w:tcPr>
          <w:p w14:paraId="505EC005">
            <w:pPr>
              <w:rPr>
                <w:color w:val="auto"/>
                <w:szCs w:val="21"/>
                <w:highlight w:val="none"/>
              </w:rPr>
            </w:pPr>
            <w:r>
              <w:rPr>
                <w:color w:val="auto"/>
                <w:szCs w:val="21"/>
                <w:highlight w:val="none"/>
              </w:rPr>
              <w:t>项目名称：</w:t>
            </w:r>
          </w:p>
        </w:tc>
      </w:tr>
      <w:tr w14:paraId="2EA9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tcPr>
          <w:p w14:paraId="721233B8">
            <w:pPr>
              <w:rPr>
                <w:color w:val="auto"/>
                <w:szCs w:val="21"/>
                <w:highlight w:val="none"/>
              </w:rPr>
            </w:pPr>
          </w:p>
        </w:tc>
        <w:tc>
          <w:tcPr>
            <w:tcW w:w="8640" w:type="dxa"/>
            <w:noWrap w:val="0"/>
          </w:tcPr>
          <w:p w14:paraId="6CF63B77">
            <w:pPr>
              <w:rPr>
                <w:color w:val="auto"/>
                <w:szCs w:val="21"/>
                <w:highlight w:val="none"/>
              </w:rPr>
            </w:pPr>
            <w:r>
              <w:rPr>
                <w:color w:val="auto"/>
                <w:szCs w:val="21"/>
                <w:highlight w:val="none"/>
              </w:rPr>
              <w:t xml:space="preserve">  </w:t>
            </w:r>
          </w:p>
          <w:p w14:paraId="35C8574E">
            <w:pPr>
              <w:spacing w:line="400" w:lineRule="exact"/>
              <w:ind w:firstLine="420"/>
              <w:rPr>
                <w:color w:val="auto"/>
                <w:szCs w:val="21"/>
                <w:highlight w:val="none"/>
              </w:rPr>
            </w:pPr>
            <w:r>
              <w:rPr>
                <w:color w:val="auto"/>
                <w:szCs w:val="21"/>
                <w:highlight w:val="none"/>
              </w:rPr>
              <w:t>该项目已于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日验收并交付使用。根据合同规定，该项目的履约保证金期限于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日已满，请将履约保证金</w:t>
            </w:r>
          </w:p>
          <w:p w14:paraId="4655646B">
            <w:pPr>
              <w:spacing w:line="400" w:lineRule="exact"/>
              <w:rPr>
                <w:color w:val="auto"/>
                <w:szCs w:val="21"/>
                <w:highlight w:val="none"/>
              </w:rPr>
            </w:pPr>
            <w:r>
              <w:rPr>
                <w:color w:val="auto"/>
                <w:szCs w:val="21"/>
                <w:highlight w:val="none"/>
                <w:u w:val="single"/>
              </w:rPr>
              <w:t xml:space="preserve">                                        </w:t>
            </w:r>
            <w:r>
              <w:rPr>
                <w:color w:val="auto"/>
                <w:szCs w:val="21"/>
                <w:highlight w:val="none"/>
              </w:rPr>
              <w:t>（大写）¥</w:t>
            </w:r>
            <w:r>
              <w:rPr>
                <w:color w:val="auto"/>
                <w:szCs w:val="21"/>
                <w:highlight w:val="none"/>
                <w:u w:val="single"/>
              </w:rPr>
              <w:t xml:space="preserve">          </w:t>
            </w:r>
            <w:r>
              <w:rPr>
                <w:color w:val="auto"/>
                <w:szCs w:val="21"/>
                <w:highlight w:val="none"/>
              </w:rPr>
              <w:t>（小写）退付到达以下账户。</w:t>
            </w:r>
          </w:p>
          <w:p w14:paraId="40229CBF">
            <w:pPr>
              <w:spacing w:line="400" w:lineRule="exact"/>
              <w:ind w:firstLine="705"/>
              <w:rPr>
                <w:color w:val="auto"/>
                <w:szCs w:val="21"/>
                <w:highlight w:val="none"/>
              </w:rPr>
            </w:pPr>
            <w:r>
              <w:rPr>
                <w:color w:val="auto"/>
                <w:szCs w:val="21"/>
                <w:highlight w:val="none"/>
              </w:rPr>
              <w:t>单位名称：</w:t>
            </w:r>
          </w:p>
          <w:p w14:paraId="7B4D9708">
            <w:pPr>
              <w:spacing w:line="400" w:lineRule="exact"/>
              <w:ind w:firstLine="705"/>
              <w:rPr>
                <w:color w:val="auto"/>
                <w:szCs w:val="21"/>
                <w:highlight w:val="none"/>
              </w:rPr>
            </w:pPr>
            <w:r>
              <w:rPr>
                <w:color w:val="auto"/>
                <w:szCs w:val="21"/>
                <w:highlight w:val="none"/>
              </w:rPr>
              <w:t>开户银行：</w:t>
            </w:r>
          </w:p>
          <w:p w14:paraId="69EA09D0">
            <w:pPr>
              <w:spacing w:line="400" w:lineRule="exact"/>
              <w:ind w:firstLine="705"/>
              <w:rPr>
                <w:color w:val="auto"/>
                <w:szCs w:val="21"/>
                <w:highlight w:val="none"/>
              </w:rPr>
            </w:pPr>
            <w:r>
              <w:rPr>
                <w:color w:val="auto"/>
                <w:szCs w:val="21"/>
                <w:highlight w:val="none"/>
              </w:rPr>
              <w:t>账   号：</w:t>
            </w:r>
          </w:p>
          <w:p w14:paraId="6BE3F0A9">
            <w:pPr>
              <w:spacing w:line="400" w:lineRule="exact"/>
              <w:rPr>
                <w:color w:val="auto"/>
                <w:szCs w:val="21"/>
                <w:highlight w:val="none"/>
              </w:rPr>
            </w:pPr>
            <w:r>
              <w:rPr>
                <w:color w:val="auto"/>
                <w:szCs w:val="21"/>
                <w:highlight w:val="none"/>
              </w:rPr>
              <w:t>联系人及电话：</w:t>
            </w:r>
          </w:p>
          <w:p w14:paraId="382371F5">
            <w:pPr>
              <w:spacing w:line="400" w:lineRule="exact"/>
              <w:rPr>
                <w:color w:val="auto"/>
                <w:szCs w:val="21"/>
                <w:highlight w:val="none"/>
              </w:rPr>
            </w:pPr>
          </w:p>
          <w:p w14:paraId="3DF34895">
            <w:pPr>
              <w:spacing w:line="520" w:lineRule="exact"/>
              <w:jc w:val="center"/>
              <w:rPr>
                <w:color w:val="auto"/>
                <w:szCs w:val="21"/>
                <w:highlight w:val="none"/>
              </w:rPr>
            </w:pPr>
            <w:r>
              <w:rPr>
                <w:color w:val="auto"/>
                <w:szCs w:val="21"/>
                <w:highlight w:val="none"/>
              </w:rPr>
              <w:t xml:space="preserve">                                     供应商</w:t>
            </w:r>
            <w:r>
              <w:rPr>
                <w:rFonts w:hint="eastAsia"/>
                <w:color w:val="auto"/>
                <w:szCs w:val="21"/>
                <w:highlight w:val="none"/>
              </w:rPr>
              <w:t>公</w:t>
            </w:r>
            <w:r>
              <w:rPr>
                <w:color w:val="auto"/>
                <w:szCs w:val="21"/>
                <w:highlight w:val="none"/>
              </w:rPr>
              <w:t>章：</w:t>
            </w:r>
          </w:p>
          <w:p w14:paraId="21D5470F">
            <w:pPr>
              <w:spacing w:line="520" w:lineRule="exact"/>
              <w:jc w:val="center"/>
              <w:rPr>
                <w:color w:val="auto"/>
                <w:szCs w:val="21"/>
                <w:highlight w:val="none"/>
              </w:rPr>
            </w:pPr>
            <w:r>
              <w:rPr>
                <w:color w:val="auto"/>
                <w:szCs w:val="21"/>
                <w:highlight w:val="none"/>
              </w:rPr>
              <w:t xml:space="preserve">                           年    月     日</w:t>
            </w:r>
          </w:p>
        </w:tc>
      </w:tr>
      <w:tr w14:paraId="1FF5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31E73AFA">
            <w:pPr>
              <w:jc w:val="center"/>
              <w:rPr>
                <w:color w:val="auto"/>
                <w:szCs w:val="21"/>
                <w:highlight w:val="none"/>
              </w:rPr>
            </w:pPr>
            <w:r>
              <w:rPr>
                <w:color w:val="auto"/>
                <w:szCs w:val="21"/>
                <w:highlight w:val="none"/>
              </w:rPr>
              <w:t>采</w:t>
            </w:r>
          </w:p>
          <w:p w14:paraId="15CF2C42">
            <w:pPr>
              <w:jc w:val="center"/>
              <w:rPr>
                <w:color w:val="auto"/>
                <w:szCs w:val="21"/>
                <w:highlight w:val="none"/>
              </w:rPr>
            </w:pPr>
            <w:r>
              <w:rPr>
                <w:color w:val="auto"/>
                <w:szCs w:val="21"/>
                <w:highlight w:val="none"/>
              </w:rPr>
              <w:t>购</w:t>
            </w:r>
          </w:p>
          <w:p w14:paraId="2621E125">
            <w:pPr>
              <w:jc w:val="center"/>
              <w:rPr>
                <w:color w:val="auto"/>
                <w:szCs w:val="21"/>
                <w:highlight w:val="none"/>
              </w:rPr>
            </w:pPr>
            <w:r>
              <w:rPr>
                <w:color w:val="auto"/>
                <w:szCs w:val="21"/>
                <w:highlight w:val="none"/>
              </w:rPr>
              <w:t>单</w:t>
            </w:r>
          </w:p>
          <w:p w14:paraId="0A02DCF5">
            <w:pPr>
              <w:jc w:val="center"/>
              <w:rPr>
                <w:color w:val="auto"/>
                <w:szCs w:val="21"/>
                <w:highlight w:val="none"/>
              </w:rPr>
            </w:pPr>
            <w:r>
              <w:rPr>
                <w:color w:val="auto"/>
                <w:szCs w:val="21"/>
                <w:highlight w:val="none"/>
              </w:rPr>
              <w:t>位</w:t>
            </w:r>
          </w:p>
          <w:p w14:paraId="4AC58BAE">
            <w:pPr>
              <w:jc w:val="center"/>
              <w:rPr>
                <w:color w:val="auto"/>
                <w:szCs w:val="21"/>
                <w:highlight w:val="none"/>
              </w:rPr>
            </w:pPr>
            <w:r>
              <w:rPr>
                <w:color w:val="auto"/>
                <w:szCs w:val="21"/>
                <w:highlight w:val="none"/>
              </w:rPr>
              <w:t>意</w:t>
            </w:r>
          </w:p>
          <w:p w14:paraId="5E764475">
            <w:pPr>
              <w:jc w:val="center"/>
              <w:rPr>
                <w:color w:val="auto"/>
                <w:szCs w:val="21"/>
                <w:highlight w:val="none"/>
              </w:rPr>
            </w:pPr>
            <w:r>
              <w:rPr>
                <w:color w:val="auto"/>
                <w:szCs w:val="21"/>
                <w:highlight w:val="none"/>
              </w:rPr>
              <w:t>见</w:t>
            </w:r>
          </w:p>
        </w:tc>
        <w:tc>
          <w:tcPr>
            <w:tcW w:w="8640" w:type="dxa"/>
            <w:noWrap w:val="0"/>
          </w:tcPr>
          <w:p w14:paraId="35BA1042">
            <w:pPr>
              <w:rPr>
                <w:color w:val="auto"/>
                <w:szCs w:val="21"/>
                <w:highlight w:val="none"/>
              </w:rPr>
            </w:pPr>
          </w:p>
          <w:p w14:paraId="26623977">
            <w:pPr>
              <w:rPr>
                <w:color w:val="auto"/>
                <w:szCs w:val="21"/>
                <w:highlight w:val="none"/>
              </w:rPr>
            </w:pPr>
            <w:r>
              <w:rPr>
                <w:color w:val="auto"/>
                <w:szCs w:val="21"/>
                <w:highlight w:val="none"/>
              </w:rPr>
              <w:t>退付意见：是否同意退付履约保证金及退付金额：</w:t>
            </w:r>
          </w:p>
          <w:p w14:paraId="213DE247">
            <w:pPr>
              <w:rPr>
                <w:color w:val="auto"/>
                <w:szCs w:val="21"/>
                <w:highlight w:val="none"/>
              </w:rPr>
            </w:pPr>
          </w:p>
          <w:p w14:paraId="5108DB9C">
            <w:pPr>
              <w:rPr>
                <w:color w:val="auto"/>
                <w:szCs w:val="21"/>
                <w:highlight w:val="none"/>
              </w:rPr>
            </w:pPr>
          </w:p>
          <w:p w14:paraId="197FC7D2">
            <w:pPr>
              <w:spacing w:line="520" w:lineRule="exact"/>
              <w:rPr>
                <w:color w:val="auto"/>
                <w:szCs w:val="21"/>
                <w:highlight w:val="none"/>
              </w:rPr>
            </w:pPr>
            <w:r>
              <w:rPr>
                <w:color w:val="auto"/>
                <w:szCs w:val="21"/>
                <w:highlight w:val="none"/>
              </w:rPr>
              <w:t>联系人及电话：                                 采购单位</w:t>
            </w:r>
            <w:r>
              <w:rPr>
                <w:rFonts w:hint="eastAsia"/>
                <w:color w:val="auto"/>
                <w:szCs w:val="21"/>
                <w:highlight w:val="none"/>
              </w:rPr>
              <w:t>公</w:t>
            </w:r>
            <w:r>
              <w:rPr>
                <w:color w:val="auto"/>
                <w:szCs w:val="21"/>
                <w:highlight w:val="none"/>
              </w:rPr>
              <w:t>章</w:t>
            </w:r>
          </w:p>
          <w:p w14:paraId="486726E9">
            <w:pPr>
              <w:spacing w:line="520" w:lineRule="exact"/>
              <w:jc w:val="center"/>
              <w:rPr>
                <w:color w:val="auto"/>
                <w:szCs w:val="21"/>
                <w:highlight w:val="none"/>
              </w:rPr>
            </w:pPr>
            <w:r>
              <w:rPr>
                <w:color w:val="auto"/>
                <w:szCs w:val="21"/>
                <w:highlight w:val="none"/>
              </w:rPr>
              <w:t xml:space="preserve">                                        年    月     日</w:t>
            </w:r>
          </w:p>
        </w:tc>
      </w:tr>
      <w:tr w14:paraId="400C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54108641">
            <w:pPr>
              <w:jc w:val="center"/>
              <w:rPr>
                <w:color w:val="auto"/>
                <w:szCs w:val="21"/>
                <w:highlight w:val="none"/>
              </w:rPr>
            </w:pPr>
            <w:r>
              <w:rPr>
                <w:color w:val="auto"/>
                <w:szCs w:val="21"/>
                <w:highlight w:val="none"/>
              </w:rPr>
              <w:t>财</w:t>
            </w:r>
          </w:p>
          <w:p w14:paraId="6BC16AA0">
            <w:pPr>
              <w:jc w:val="center"/>
              <w:rPr>
                <w:color w:val="auto"/>
                <w:szCs w:val="21"/>
                <w:highlight w:val="none"/>
              </w:rPr>
            </w:pPr>
            <w:r>
              <w:rPr>
                <w:color w:val="auto"/>
                <w:szCs w:val="21"/>
                <w:highlight w:val="none"/>
              </w:rPr>
              <w:t>务</w:t>
            </w:r>
          </w:p>
          <w:p w14:paraId="748289E4">
            <w:pPr>
              <w:jc w:val="center"/>
              <w:rPr>
                <w:color w:val="auto"/>
                <w:szCs w:val="21"/>
                <w:highlight w:val="none"/>
              </w:rPr>
            </w:pPr>
            <w:r>
              <w:rPr>
                <w:color w:val="auto"/>
                <w:szCs w:val="21"/>
                <w:highlight w:val="none"/>
              </w:rPr>
              <w:t>部</w:t>
            </w:r>
          </w:p>
          <w:p w14:paraId="4F31EE82">
            <w:pPr>
              <w:jc w:val="center"/>
              <w:rPr>
                <w:color w:val="auto"/>
                <w:szCs w:val="21"/>
                <w:highlight w:val="none"/>
              </w:rPr>
            </w:pPr>
            <w:r>
              <w:rPr>
                <w:color w:val="auto"/>
                <w:szCs w:val="21"/>
                <w:highlight w:val="none"/>
              </w:rPr>
              <w:t>门</w:t>
            </w:r>
          </w:p>
          <w:p w14:paraId="11937F1E">
            <w:pPr>
              <w:jc w:val="center"/>
              <w:rPr>
                <w:color w:val="auto"/>
                <w:szCs w:val="21"/>
                <w:highlight w:val="none"/>
              </w:rPr>
            </w:pPr>
            <w:r>
              <w:rPr>
                <w:color w:val="auto"/>
                <w:szCs w:val="21"/>
                <w:highlight w:val="none"/>
              </w:rPr>
              <w:t>意</w:t>
            </w:r>
          </w:p>
          <w:p w14:paraId="1FD90B75">
            <w:pPr>
              <w:jc w:val="center"/>
              <w:rPr>
                <w:color w:val="auto"/>
                <w:szCs w:val="21"/>
                <w:highlight w:val="none"/>
              </w:rPr>
            </w:pPr>
            <w:r>
              <w:rPr>
                <w:color w:val="auto"/>
                <w:szCs w:val="21"/>
                <w:highlight w:val="none"/>
              </w:rPr>
              <w:t>见</w:t>
            </w:r>
          </w:p>
        </w:tc>
        <w:tc>
          <w:tcPr>
            <w:tcW w:w="8640" w:type="dxa"/>
            <w:noWrap w:val="0"/>
          </w:tcPr>
          <w:p w14:paraId="045840FC">
            <w:pPr>
              <w:spacing w:line="640" w:lineRule="exact"/>
              <w:rPr>
                <w:color w:val="auto"/>
                <w:szCs w:val="21"/>
                <w:highlight w:val="none"/>
              </w:rPr>
            </w:pPr>
            <w:r>
              <w:rPr>
                <w:color w:val="auto"/>
                <w:szCs w:val="21"/>
                <w:highlight w:val="none"/>
              </w:rPr>
              <w:t>此表于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 xml:space="preserve"> 月 </w:t>
            </w:r>
            <w:r>
              <w:rPr>
                <w:color w:val="auto"/>
                <w:szCs w:val="21"/>
                <w:highlight w:val="none"/>
                <w:u w:val="single"/>
              </w:rPr>
              <w:t xml:space="preserve">   </w:t>
            </w:r>
            <w:r>
              <w:rPr>
                <w:color w:val="auto"/>
                <w:szCs w:val="21"/>
                <w:highlight w:val="none"/>
              </w:rPr>
              <w:t xml:space="preserve"> 日收到。</w:t>
            </w:r>
          </w:p>
          <w:p w14:paraId="61CDB614">
            <w:pPr>
              <w:spacing w:line="640" w:lineRule="exact"/>
              <w:rPr>
                <w:color w:val="auto"/>
                <w:szCs w:val="21"/>
                <w:highlight w:val="none"/>
              </w:rPr>
            </w:pPr>
            <w:r>
              <w:rPr>
                <w:color w:val="auto"/>
                <w:szCs w:val="21"/>
                <w:highlight w:val="none"/>
              </w:rPr>
              <w:t>会计审核：</w:t>
            </w:r>
          </w:p>
          <w:p w14:paraId="0CEFC04B">
            <w:pPr>
              <w:spacing w:line="640" w:lineRule="exact"/>
              <w:rPr>
                <w:color w:val="auto"/>
                <w:szCs w:val="21"/>
                <w:highlight w:val="none"/>
              </w:rPr>
            </w:pPr>
            <w:r>
              <w:rPr>
                <w:color w:val="auto"/>
                <w:szCs w:val="21"/>
                <w:highlight w:val="none"/>
              </w:rPr>
              <w:t>财务负责人审核：</w:t>
            </w:r>
          </w:p>
          <w:p w14:paraId="4CB35689">
            <w:pPr>
              <w:spacing w:line="640" w:lineRule="exact"/>
              <w:rPr>
                <w:color w:val="auto"/>
                <w:szCs w:val="21"/>
                <w:highlight w:val="none"/>
              </w:rPr>
            </w:pPr>
            <w:r>
              <w:rPr>
                <w:color w:val="auto"/>
                <w:szCs w:val="21"/>
                <w:highlight w:val="none"/>
              </w:rPr>
              <w:t>单位负责人签字：</w:t>
            </w:r>
          </w:p>
          <w:p w14:paraId="0AB6E157">
            <w:pPr>
              <w:spacing w:line="640" w:lineRule="exact"/>
              <w:rPr>
                <w:color w:val="auto"/>
                <w:szCs w:val="21"/>
                <w:highlight w:val="none"/>
              </w:rPr>
            </w:pPr>
            <w:r>
              <w:rPr>
                <w:color w:val="auto"/>
                <w:szCs w:val="21"/>
                <w:highlight w:val="none"/>
              </w:rPr>
              <w:t>出纳办理转账日期：</w:t>
            </w:r>
          </w:p>
        </w:tc>
      </w:tr>
    </w:tbl>
    <w:p w14:paraId="389B019D">
      <w:pPr>
        <w:pStyle w:val="20"/>
        <w:ind w:left="450" w:hanging="211"/>
        <w:rPr>
          <w:b/>
          <w:bCs/>
          <w:color w:val="auto"/>
          <w:sz w:val="21"/>
          <w:szCs w:val="21"/>
          <w:highlight w:val="none"/>
        </w:rPr>
      </w:pPr>
      <w:r>
        <w:rPr>
          <w:b/>
          <w:bCs/>
          <w:color w:val="auto"/>
          <w:sz w:val="21"/>
          <w:szCs w:val="21"/>
          <w:highlight w:val="none"/>
        </w:rPr>
        <w:t>注：供应商凭经采购单位审批的退付意见书到相关财务部办理履约保证金退付事宜。</w:t>
      </w:r>
    </w:p>
    <w:p w14:paraId="7668A006">
      <w:pPr>
        <w:widowControl/>
        <w:jc w:val="left"/>
        <w:rPr>
          <w:b/>
          <w:bCs/>
          <w:color w:val="auto"/>
          <w:szCs w:val="21"/>
          <w:highlight w:val="none"/>
        </w:rPr>
      </w:pPr>
      <w:r>
        <w:rPr>
          <w:b/>
          <w:bCs/>
          <w:color w:val="auto"/>
          <w:szCs w:val="21"/>
          <w:highlight w:val="none"/>
        </w:rPr>
        <w:br w:type="page" w:clear="all"/>
      </w:r>
    </w:p>
    <w:p w14:paraId="34A6C3D1">
      <w:pPr>
        <w:spacing w:before="120" w:line="320" w:lineRule="atLeast"/>
        <w:jc w:val="left"/>
        <w:outlineLvl w:val="1"/>
        <w:rPr>
          <w:b/>
          <w:bCs/>
          <w:color w:val="auto"/>
          <w:szCs w:val="21"/>
          <w:highlight w:val="none"/>
        </w:rPr>
      </w:pPr>
      <w:r>
        <w:rPr>
          <w:b/>
          <w:bCs/>
          <w:color w:val="auto"/>
          <w:szCs w:val="21"/>
          <w:highlight w:val="none"/>
        </w:rPr>
        <w:t>合同附件2</w:t>
      </w:r>
    </w:p>
    <w:p w14:paraId="34DA36B3">
      <w:pPr>
        <w:spacing w:line="360" w:lineRule="exact"/>
        <w:jc w:val="center"/>
        <w:rPr>
          <w:b/>
          <w:bCs/>
          <w:color w:val="auto"/>
          <w:szCs w:val="21"/>
          <w:highlight w:val="none"/>
        </w:rPr>
      </w:pPr>
      <w:bookmarkStart w:id="197" w:name="_Hlk80978015"/>
    </w:p>
    <w:p w14:paraId="5CC10F8F">
      <w:pPr>
        <w:spacing w:line="360" w:lineRule="exact"/>
        <w:jc w:val="center"/>
        <w:rPr>
          <w:b/>
          <w:bCs/>
          <w:color w:val="auto"/>
          <w:szCs w:val="21"/>
          <w:highlight w:val="none"/>
        </w:rPr>
      </w:pPr>
      <w:bookmarkStart w:id="198" w:name="_Hlk77607667"/>
      <w:r>
        <w:rPr>
          <w:b/>
          <w:bCs/>
          <w:color w:val="auto"/>
          <w:szCs w:val="21"/>
          <w:highlight w:val="none"/>
        </w:rPr>
        <w:t>履约</w:t>
      </w:r>
      <w:r>
        <w:rPr>
          <w:rFonts w:hint="eastAsia"/>
          <w:b/>
          <w:bCs/>
          <w:color w:val="auto"/>
          <w:szCs w:val="21"/>
          <w:highlight w:val="none"/>
        </w:rPr>
        <w:t>验收方案</w:t>
      </w:r>
    </w:p>
    <w:p w14:paraId="18728DC6">
      <w:pPr>
        <w:widowControl/>
        <w:jc w:val="left"/>
        <w:rPr>
          <w:color w:val="auto"/>
          <w:szCs w:val="21"/>
          <w:highlight w:val="none"/>
        </w:rPr>
      </w:pPr>
    </w:p>
    <w:p w14:paraId="5EE8FE54">
      <w:pPr>
        <w:pStyle w:val="241"/>
        <w:ind w:firstLine="0"/>
        <w:rPr>
          <w:rFonts w:ascii="Times New Roman" w:hAnsi="Times New Roman" w:eastAsia="宋体"/>
          <w:color w:val="auto"/>
          <w:sz w:val="21"/>
          <w:szCs w:val="21"/>
          <w:highlight w:val="none"/>
        </w:rPr>
      </w:pPr>
    </w:p>
    <w:p w14:paraId="67D6A0C2">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1.履约验收工作参加人员</w:t>
      </w:r>
    </w:p>
    <w:p w14:paraId="64718C03">
      <w:pPr>
        <w:spacing w:before="120" w:line="320" w:lineRule="exact"/>
        <w:jc w:val="left"/>
        <w:rPr>
          <w:rFonts w:ascii="宋体" w:hAnsi="宋体" w:cs="宋体"/>
          <w:color w:val="auto"/>
          <w:szCs w:val="21"/>
          <w:highlight w:val="none"/>
        </w:rPr>
      </w:pPr>
      <w:r>
        <w:rPr>
          <w:rFonts w:hint="eastAsia" w:ascii="宋体" w:hAnsi="宋体" w:cs="宋体"/>
          <w:b/>
          <w:bCs/>
          <w:color w:val="auto"/>
          <w:szCs w:val="21"/>
          <w:highlight w:val="none"/>
        </w:rPr>
        <w:t>1.1履约验收主体单位</w:t>
      </w:r>
    </w:p>
    <w:p w14:paraId="65975471">
      <w:pPr>
        <w:spacing w:before="120" w:line="320" w:lineRule="exact"/>
        <w:ind w:firstLine="420"/>
        <w:jc w:val="left"/>
        <w:rPr>
          <w:rFonts w:ascii="宋体" w:hAnsi="宋体" w:cs="宋体"/>
          <w:color w:val="auto"/>
          <w:szCs w:val="21"/>
          <w:highlight w:val="none"/>
          <w:u w:val="single"/>
        </w:rPr>
      </w:pPr>
      <w:r>
        <w:rPr>
          <w:rStyle w:val="67"/>
          <w:rFonts w:hint="eastAsia"/>
          <w:color w:val="auto"/>
          <w:highlight w:val="none"/>
        </w:rPr>
        <w:t>采购人或采购人委托的机构</w:t>
      </w:r>
    </w:p>
    <w:p w14:paraId="101D75C8">
      <w:pPr>
        <w:spacing w:before="120" w:line="320" w:lineRule="exact"/>
        <w:jc w:val="left"/>
        <w:rPr>
          <w:rFonts w:ascii="宋体" w:hAnsi="宋体" w:cs="宋体"/>
          <w:color w:val="auto"/>
          <w:szCs w:val="21"/>
          <w:highlight w:val="none"/>
        </w:rPr>
      </w:pPr>
      <w:r>
        <w:rPr>
          <w:rFonts w:hint="eastAsia" w:ascii="宋体" w:hAnsi="宋体" w:cs="宋体"/>
          <w:b/>
          <w:bCs/>
          <w:color w:val="auto"/>
          <w:szCs w:val="21"/>
          <w:highlight w:val="none"/>
        </w:rPr>
        <w:t>1.2履约验收参加人员</w:t>
      </w:r>
    </w:p>
    <w:p w14:paraId="7956E482">
      <w:pPr>
        <w:spacing w:before="120" w:line="320" w:lineRule="exact"/>
        <w:ind w:firstLine="420"/>
        <w:jc w:val="left"/>
        <w:rPr>
          <w:rFonts w:ascii="宋体" w:hAnsi="宋体" w:cs="宋体"/>
          <w:color w:val="auto"/>
          <w:szCs w:val="21"/>
          <w:highlight w:val="none"/>
          <w:u w:val="single"/>
        </w:rPr>
      </w:pPr>
      <w:r>
        <w:rPr>
          <w:rFonts w:hint="eastAsia"/>
          <w:color w:val="auto"/>
          <w:highlight w:val="none"/>
        </w:rPr>
        <w:t>采购人代表、委托机构代表、中标供应商代表及采购人邀请的其他人员</w:t>
      </w:r>
    </w:p>
    <w:p w14:paraId="773120FD">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2.履约验收时间</w:t>
      </w:r>
    </w:p>
    <w:p w14:paraId="2A596E4F">
      <w:pPr>
        <w:spacing w:before="120" w:line="320" w:lineRule="exact"/>
        <w:ind w:firstLine="420"/>
        <w:jc w:val="left"/>
        <w:rPr>
          <w:color w:val="auto"/>
          <w:highlight w:val="none"/>
        </w:rPr>
      </w:pPr>
      <w:r>
        <w:rPr>
          <w:rFonts w:hint="eastAsia"/>
          <w:color w:val="auto"/>
          <w:highlight w:val="none"/>
        </w:rPr>
        <w:t>按签订的政府采购合同实施</w:t>
      </w:r>
    </w:p>
    <w:p w14:paraId="01CC2C58">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3.履约验收地点</w:t>
      </w:r>
    </w:p>
    <w:p w14:paraId="494437EB">
      <w:pPr>
        <w:spacing w:before="120" w:line="320" w:lineRule="exact"/>
        <w:ind w:firstLine="420"/>
        <w:jc w:val="left"/>
        <w:rPr>
          <w:color w:val="auto"/>
          <w:highlight w:val="none"/>
        </w:rPr>
      </w:pPr>
      <w:r>
        <w:rPr>
          <w:rFonts w:hint="eastAsia"/>
          <w:color w:val="auto"/>
          <w:highlight w:val="none"/>
        </w:rPr>
        <w:t>采购人指定地点</w:t>
      </w:r>
    </w:p>
    <w:p w14:paraId="481CFA09">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4.履约验收方式</w:t>
      </w:r>
    </w:p>
    <w:p w14:paraId="667FF36E">
      <w:pPr>
        <w:spacing w:before="120" w:line="320" w:lineRule="exact"/>
        <w:ind w:firstLine="420"/>
        <w:jc w:val="left"/>
        <w:rPr>
          <w:color w:val="auto"/>
          <w:highlight w:val="none"/>
        </w:rPr>
      </w:pPr>
      <w:r>
        <w:rPr>
          <w:rFonts w:hint="eastAsia"/>
          <w:color w:val="auto"/>
          <w:highlight w:val="none"/>
        </w:rPr>
        <w:t>采购人自行验收</w:t>
      </w:r>
    </w:p>
    <w:p w14:paraId="0733EAC3">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5.履约验收程序</w:t>
      </w:r>
    </w:p>
    <w:p w14:paraId="14A2626D">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5.1成立验收小组</w:t>
      </w:r>
    </w:p>
    <w:p w14:paraId="2E44E46D">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.2</w:t>
      </w:r>
      <w:r>
        <w:rPr>
          <w:rFonts w:hint="eastAsia" w:ascii="宋体" w:hAnsi="宋体" w:cs="宋体"/>
          <w:b/>
          <w:bCs/>
          <w:color w:val="auto"/>
          <w:szCs w:val="21"/>
          <w:highlight w:val="none"/>
        </w:rPr>
        <w:t>量化验收标准</w:t>
      </w:r>
    </w:p>
    <w:p w14:paraId="6D6EF75C">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3</w:t>
      </w:r>
      <w:r>
        <w:rPr>
          <w:rFonts w:hint="eastAsia" w:ascii="宋体" w:hAnsi="宋体" w:cs="宋体"/>
          <w:b/>
          <w:bCs/>
          <w:color w:val="auto"/>
          <w:szCs w:val="21"/>
          <w:highlight w:val="none"/>
        </w:rPr>
        <w:t>组织验收</w:t>
      </w:r>
    </w:p>
    <w:p w14:paraId="4795B761">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4</w:t>
      </w:r>
      <w:r>
        <w:rPr>
          <w:rFonts w:hint="eastAsia" w:ascii="宋体" w:hAnsi="宋体" w:cs="宋体"/>
          <w:b/>
          <w:bCs/>
          <w:color w:val="auto"/>
          <w:szCs w:val="21"/>
          <w:highlight w:val="none"/>
        </w:rPr>
        <w:t>出具验收报告</w:t>
      </w:r>
    </w:p>
    <w:p w14:paraId="6F42B53C">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5</w:t>
      </w:r>
      <w:r>
        <w:rPr>
          <w:rFonts w:hint="eastAsia" w:ascii="宋体" w:hAnsi="宋体" w:cs="宋体"/>
          <w:b/>
          <w:bCs/>
          <w:color w:val="auto"/>
          <w:szCs w:val="21"/>
          <w:highlight w:val="none"/>
        </w:rPr>
        <w:t>验收结果公告</w:t>
      </w:r>
    </w:p>
    <w:p w14:paraId="3DC9C0E6">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6</w:t>
      </w:r>
      <w:r>
        <w:rPr>
          <w:rFonts w:hint="eastAsia" w:ascii="宋体" w:hAnsi="宋体" w:cs="宋体"/>
          <w:b/>
          <w:bCs/>
          <w:color w:val="auto"/>
          <w:szCs w:val="21"/>
          <w:highlight w:val="none"/>
        </w:rPr>
        <w:t>验收资料归档</w:t>
      </w:r>
    </w:p>
    <w:p w14:paraId="72E0F4EF">
      <w:pPr>
        <w:spacing w:before="120" w:line="320" w:lineRule="exact"/>
        <w:ind w:firstLine="420"/>
        <w:jc w:val="left"/>
        <w:rPr>
          <w:rFonts w:ascii="宋体" w:hAnsi="宋体" w:cs="宋体"/>
          <w:color w:val="auto"/>
          <w:szCs w:val="21"/>
          <w:highlight w:val="none"/>
        </w:rPr>
      </w:pPr>
      <w:r>
        <w:rPr>
          <w:rFonts w:hint="eastAsia" w:ascii="宋体" w:hAnsi="宋体" w:cs="宋体"/>
          <w:color w:val="auto"/>
          <w:szCs w:val="21"/>
          <w:highlight w:val="none"/>
        </w:rPr>
        <w:t>采购合同项目完成验收后，采购人整理好验收原始记录、验收书等资料后妥善保管，不得变造、隐匿或者销毁，验收资料保存期为采购结束之日起至少保存15年。</w:t>
      </w:r>
    </w:p>
    <w:p w14:paraId="276B5B7A">
      <w:pPr>
        <w:spacing w:before="120" w:line="320" w:lineRule="exact"/>
        <w:jc w:val="left"/>
        <w:rPr>
          <w:rFonts w:ascii="宋体" w:hAnsi="宋体" w:cs="宋体"/>
          <w:b/>
          <w:bCs/>
          <w:iCs/>
          <w:color w:val="auto"/>
          <w:szCs w:val="21"/>
          <w:highlight w:val="none"/>
        </w:rPr>
      </w:pPr>
      <w:r>
        <w:rPr>
          <w:rFonts w:hint="eastAsia" w:ascii="宋体" w:hAnsi="宋体" w:cs="宋体"/>
          <w:b/>
          <w:bCs/>
          <w:color w:val="auto"/>
          <w:szCs w:val="21"/>
          <w:highlight w:val="none"/>
        </w:rPr>
        <w:t>6.履约验收内容</w:t>
      </w:r>
    </w:p>
    <w:p w14:paraId="28ADAEF3">
      <w:pPr>
        <w:spacing w:before="120" w:line="320" w:lineRule="exact"/>
        <w:jc w:val="left"/>
        <w:rPr>
          <w:rFonts w:ascii="宋体" w:hAnsi="宋体" w:cs="宋体"/>
          <w:iCs/>
          <w:color w:val="auto"/>
          <w:szCs w:val="21"/>
          <w:highlight w:val="none"/>
        </w:rPr>
      </w:pPr>
      <w:r>
        <w:rPr>
          <w:rFonts w:hint="eastAsia" w:ascii="宋体" w:hAnsi="宋体" w:cs="宋体"/>
          <w:b/>
          <w:bCs/>
          <w:color w:val="auto"/>
          <w:szCs w:val="21"/>
          <w:highlight w:val="none"/>
        </w:rPr>
        <w:t>6.1商务验收内容</w:t>
      </w:r>
    </w:p>
    <w:p w14:paraId="321C4D6C">
      <w:pPr>
        <w:spacing w:before="120" w:line="320" w:lineRule="exact"/>
        <w:ind w:firstLine="420"/>
        <w:jc w:val="left"/>
        <w:rPr>
          <w:rFonts w:ascii="宋体" w:hAnsi="宋体" w:eastAsia="Microsoft YaHei UI" w:cs="宋体"/>
          <w:color w:val="auto"/>
          <w:szCs w:val="21"/>
          <w:highlight w:val="none"/>
          <w:u w:val="single"/>
        </w:rPr>
      </w:pPr>
      <w:r>
        <w:rPr>
          <w:rFonts w:hint="eastAsia" w:ascii="宋体" w:hAnsi="宋体" w:cs="宋体"/>
          <w:color w:val="auto"/>
          <w:szCs w:val="21"/>
          <w:highlight w:val="none"/>
        </w:rPr>
        <w:t>对采购标的交付的情况、财务和服务要求，包括交付（实施）的时间（期限）和地点（范围），付款条件（进度和方式），包装和运输，售后服务，保险等进行验收。</w:t>
      </w:r>
    </w:p>
    <w:p w14:paraId="3D94B1D8">
      <w:pPr>
        <w:spacing w:before="120" w:line="320" w:lineRule="exact"/>
        <w:jc w:val="left"/>
        <w:rPr>
          <w:rFonts w:ascii="宋体" w:hAnsi="宋体" w:cs="宋体"/>
          <w:iCs/>
          <w:color w:val="auto"/>
          <w:szCs w:val="21"/>
          <w:highlight w:val="none"/>
        </w:rPr>
      </w:pPr>
      <w:r>
        <w:rPr>
          <w:rFonts w:hint="eastAsia" w:ascii="宋体" w:hAnsi="宋体" w:cs="宋体"/>
          <w:b/>
          <w:bCs/>
          <w:color w:val="auto"/>
          <w:szCs w:val="21"/>
          <w:highlight w:val="none"/>
        </w:rPr>
        <w:t>6.2技术验收内容</w:t>
      </w:r>
    </w:p>
    <w:p w14:paraId="26A16784">
      <w:pPr>
        <w:spacing w:before="120" w:line="320" w:lineRule="exact"/>
        <w:ind w:firstLine="420"/>
        <w:jc w:val="left"/>
        <w:rPr>
          <w:rFonts w:ascii="宋体" w:hAnsi="宋体" w:cs="宋体"/>
          <w:color w:val="auto"/>
          <w:szCs w:val="21"/>
          <w:highlight w:val="none"/>
          <w:u w:val="single"/>
        </w:rPr>
      </w:pPr>
      <w:r>
        <w:rPr>
          <w:rFonts w:hint="eastAsia" w:ascii="宋体" w:hAnsi="宋体" w:cs="宋体"/>
          <w:color w:val="auto"/>
          <w:szCs w:val="21"/>
          <w:highlight w:val="none"/>
        </w:rPr>
        <w:t>对采购标的的功能和质量要求，包括性能、材料、结构、外观、安全，或者服务内容和标准等进行验收。</w:t>
      </w:r>
    </w:p>
    <w:p w14:paraId="2F0B20E1">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7.履约验收标准</w:t>
      </w:r>
    </w:p>
    <w:p w14:paraId="3F4CCCB5">
      <w:pPr>
        <w:pStyle w:val="241"/>
        <w:spacing w:before="120" w:line="32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p w14:paraId="2B33805A">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1.采购人对中标人提交的货物依据招标文件上的技术规格要求和国家有关质量标准进行现场初步验收，外观、说明书符合招标文件技术要求的，给予签收，初步验收不合格的不予签收。货到后，采购人应当在到货（安装、调试完）后七个工作日内进行验收。</w:t>
      </w:r>
    </w:p>
    <w:p w14:paraId="1435D52B">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2.中标人交货前应对产品作出全面检查和对验收文件进行整理，并列出清单，作为采购人收货验收和使用的技术条件依据，检验的结果应随货物交采购人。</w:t>
      </w:r>
    </w:p>
    <w:p w14:paraId="6E4ABEF6">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3.采购人对中标人提供的货物在使用前进行调试时，中标人须负责安装并培训采购人的使用操作人员，直到符合技术要求，采购人才做最终验收。</w:t>
      </w:r>
    </w:p>
    <w:p w14:paraId="7D3188C0">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4.对技术复杂的货物，采购人可请国家认可的专业检测机构参与初步验收及最终验收，并由其出具质量检测报告。</w:t>
      </w:r>
    </w:p>
    <w:p w14:paraId="16724891">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5.项目实施过程中，非中标人责任发生不可履约情况的，中标人须立即通知采购人，且在5 个工作日内提交书面情况说明及应对措施给采购人。</w:t>
      </w:r>
    </w:p>
    <w:p w14:paraId="55D5CCCF">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6.验收时中标人必须在现场，验收完毕后作出验收结果报告；验收费用由中标人负责。</w:t>
      </w:r>
    </w:p>
    <w:p w14:paraId="4DBD8405">
      <w:pPr>
        <w:spacing w:before="120" w:line="320" w:lineRule="exact"/>
        <w:jc w:val="left"/>
        <w:rPr>
          <w:rFonts w:ascii="宋体" w:hAnsi="宋体" w:cs="宋体"/>
          <w:color w:val="auto"/>
          <w:szCs w:val="21"/>
          <w:highlight w:val="none"/>
        </w:rPr>
      </w:pPr>
      <w:r>
        <w:rPr>
          <w:rFonts w:hint="eastAsia"/>
          <w:color w:val="auto"/>
          <w:szCs w:val="21"/>
          <w:highlight w:val="none"/>
          <w:lang w:val="en-US" w:eastAsia="zh-CN"/>
        </w:rPr>
        <w:t>7.其余未尽事项按相关法律规定及售后服务承诺书及招标、投标文件相应约定办理。</w:t>
      </w:r>
      <w:r>
        <w:rPr>
          <w:rFonts w:hint="default" w:ascii="黑体" w:hAnsi="黑体" w:eastAsia="黑体" w:cs="Arial"/>
          <w:b/>
          <w:color w:val="auto"/>
          <w:sz w:val="28"/>
          <w:szCs w:val="28"/>
          <w:highlight w:val="none"/>
          <w:vertAlign w:val="baseline"/>
          <w:lang w:val="en-US" w:eastAsia="zh-CN"/>
        </w:rPr>
        <w:t xml:space="preserve"> </w:t>
      </w:r>
    </w:p>
    <w:p w14:paraId="3AD495EE">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8.履约验收其他事项</w:t>
      </w:r>
    </w:p>
    <w:p w14:paraId="05241A9F">
      <w:pPr>
        <w:spacing w:before="120" w:line="320" w:lineRule="exact"/>
        <w:rPr>
          <w:rFonts w:ascii="仿宋" w:hAnsi="仿宋" w:eastAsia="仿宋"/>
          <w:color w:val="auto"/>
          <w:szCs w:val="21"/>
          <w:highlight w:val="none"/>
          <w:u w:val="single"/>
        </w:rPr>
      </w:pPr>
      <w:r>
        <w:rPr>
          <w:rFonts w:hint="eastAsia" w:ascii="宋体" w:hAnsi="宋体" w:cs="宋体"/>
          <w:color w:val="auto"/>
          <w:szCs w:val="21"/>
          <w:highlight w:val="none"/>
        </w:rPr>
        <w:t>无</w:t>
      </w:r>
      <w:r>
        <w:rPr>
          <w:rFonts w:hint="eastAsia" w:ascii="仿宋" w:hAnsi="仿宋" w:eastAsia="仿宋"/>
          <w:color w:val="auto"/>
          <w:szCs w:val="21"/>
          <w:highlight w:val="none"/>
          <w:u w:val="single"/>
        </w:rPr>
        <w:br w:type="page" w:clear="all"/>
      </w:r>
      <w:bookmarkEnd w:id="197"/>
      <w:bookmarkEnd w:id="198"/>
    </w:p>
    <w:p w14:paraId="1ECC6860">
      <w:pPr>
        <w:spacing w:line="360" w:lineRule="exact"/>
        <w:jc w:val="center"/>
        <w:rPr>
          <w:b/>
          <w:bCs/>
          <w:color w:val="auto"/>
          <w:szCs w:val="21"/>
          <w:highlight w:val="none"/>
        </w:rPr>
      </w:pPr>
      <w:r>
        <w:rPr>
          <w:b/>
          <w:bCs/>
          <w:color w:val="auto"/>
          <w:szCs w:val="21"/>
          <w:highlight w:val="none"/>
        </w:rPr>
        <w:t>广西壮族自治区政府采购项目合同验收书</w:t>
      </w:r>
    </w:p>
    <w:p w14:paraId="1A1F0DE4">
      <w:pPr>
        <w:widowControl/>
        <w:spacing w:before="100" w:beforeAutospacing="1" w:after="100" w:afterAutospacing="1" w:line="320" w:lineRule="exact"/>
        <w:ind w:left="-359" w:firstLine="420"/>
        <w:jc w:val="left"/>
        <w:rPr>
          <w:color w:val="auto"/>
          <w:szCs w:val="21"/>
          <w:highlight w:val="none"/>
        </w:rPr>
      </w:pPr>
      <w:r>
        <w:rPr>
          <w:color w:val="auto"/>
          <w:szCs w:val="21"/>
          <w:highlight w:val="none"/>
        </w:rPr>
        <w:t>根据政府采购项目（</w:t>
      </w:r>
      <w:r>
        <w:rPr>
          <w:color w:val="auto"/>
          <w:szCs w:val="21"/>
          <w:highlight w:val="none"/>
          <w:u w:val="single"/>
        </w:rPr>
        <w:t>采购合同编号：</w:t>
      </w:r>
      <w:r>
        <w:rPr>
          <w:rFonts w:hint="eastAsia"/>
          <w:color w:val="auto"/>
          <w:szCs w:val="21"/>
          <w:highlight w:val="none"/>
          <w:u w:val="single"/>
        </w:rPr>
        <w:t xml:space="preserve">             </w:t>
      </w:r>
      <w:r>
        <w:rPr>
          <w:color w:val="auto"/>
          <w:szCs w:val="21"/>
          <w:highlight w:val="none"/>
        </w:rPr>
        <w:t>）的约定，我单位对（</w:t>
      </w:r>
      <w:r>
        <w:rPr>
          <w:color w:val="auto"/>
          <w:szCs w:val="21"/>
          <w:highlight w:val="none"/>
          <w:u w:val="single"/>
        </w:rPr>
        <w:t>项目名称</w:t>
      </w:r>
      <w:r>
        <w:rPr>
          <w:color w:val="auto"/>
          <w:szCs w:val="21"/>
          <w:highlight w:val="none"/>
        </w:rPr>
        <w:t>）政府采购项目中标（或成交）供应商</w:t>
      </w:r>
      <w:r>
        <w:rPr>
          <w:rFonts w:hint="eastAsia"/>
          <w:color w:val="auto"/>
          <w:szCs w:val="21"/>
          <w:highlight w:val="none"/>
          <w:u w:val="single"/>
        </w:rPr>
        <w:t xml:space="preserve"> （填写供应商名称）</w:t>
      </w:r>
      <w:r>
        <w:rPr>
          <w:color w:val="auto"/>
          <w:szCs w:val="21"/>
          <w:highlight w:val="none"/>
        </w:rPr>
        <w:t>提供的</w:t>
      </w:r>
      <w:r>
        <w:rPr>
          <w:rFonts w:hint="eastAsia"/>
          <w:color w:val="auto"/>
          <w:szCs w:val="21"/>
          <w:highlight w:val="none"/>
        </w:rPr>
        <w:t>货物（或工程、服务）</w:t>
      </w:r>
      <w:r>
        <w:rPr>
          <w:color w:val="auto"/>
          <w:szCs w:val="21"/>
          <w:highlight w:val="none"/>
        </w:rPr>
        <w:t>进行了验收，验收情况如下：</w:t>
      </w:r>
    </w:p>
    <w:tbl>
      <w:tblPr>
        <w:tblStyle w:val="56"/>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693B35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noWrap w:val="0"/>
            <w:vAlign w:val="center"/>
          </w:tcPr>
          <w:p w14:paraId="5EDB49BC">
            <w:pPr>
              <w:widowControl/>
              <w:spacing w:before="100" w:beforeAutospacing="1" w:after="100" w:afterAutospacing="1" w:line="320" w:lineRule="exact"/>
              <w:ind w:left="-3" w:firstLine="4"/>
              <w:jc w:val="center"/>
              <w:rPr>
                <w:color w:val="auto"/>
                <w:szCs w:val="21"/>
                <w:highlight w:val="none"/>
              </w:rPr>
            </w:pPr>
            <w:r>
              <w:rPr>
                <w:color w:val="auto"/>
                <w:szCs w:val="21"/>
                <w:highlight w:val="none"/>
              </w:rPr>
              <w:t>验收方式：</w:t>
            </w:r>
          </w:p>
        </w:tc>
        <w:tc>
          <w:tcPr>
            <w:tcW w:w="7123" w:type="dxa"/>
            <w:gridSpan w:val="5"/>
            <w:tcBorders>
              <w:top w:val="single" w:color="auto" w:sz="8" w:space="0"/>
              <w:left w:val="single" w:color="auto" w:sz="8" w:space="0"/>
              <w:bottom w:val="single" w:color="auto" w:sz="8" w:space="0"/>
              <w:right w:val="single" w:color="auto" w:sz="8" w:space="0"/>
            </w:tcBorders>
            <w:noWrap w:val="0"/>
            <w:vAlign w:val="center"/>
          </w:tcPr>
          <w:p w14:paraId="0C826997">
            <w:pPr>
              <w:widowControl/>
              <w:spacing w:before="100" w:beforeAutospacing="1" w:after="100" w:afterAutospacing="1" w:line="320" w:lineRule="exact"/>
              <w:ind w:left="-3" w:firstLine="420"/>
              <w:jc w:val="center"/>
              <w:rPr>
                <w:color w:val="auto"/>
                <w:szCs w:val="21"/>
                <w:highlight w:val="none"/>
              </w:rPr>
            </w:pPr>
            <w:r>
              <w:rPr>
                <w:rFonts w:hint="eastAsia" w:cs="Arial"/>
                <w:color w:val="auto"/>
                <w:szCs w:val="21"/>
                <w:highlight w:val="none"/>
              </w:rPr>
              <w:t>□</w:t>
            </w:r>
            <w:r>
              <w:rPr>
                <w:color w:val="auto"/>
                <w:szCs w:val="21"/>
                <w:highlight w:val="none"/>
              </w:rPr>
              <w:t>自行验收        </w:t>
            </w:r>
            <w:r>
              <w:rPr>
                <w:rFonts w:ascii="Wingdings 2" w:hAnsi="Wingdings 2" w:eastAsia="Wingdings 2" w:cs="Wingdings 2"/>
                <w:color w:val="auto"/>
                <w:szCs w:val="21"/>
                <w:highlight w:val="none"/>
              </w:rPr>
              <w:t>£</w:t>
            </w:r>
            <w:r>
              <w:rPr>
                <w:color w:val="auto"/>
                <w:szCs w:val="21"/>
                <w:highlight w:val="none"/>
              </w:rPr>
              <w:t>委托验收</w:t>
            </w:r>
          </w:p>
        </w:tc>
      </w:tr>
      <w:tr w14:paraId="4D416A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423A9202">
            <w:pPr>
              <w:widowControl/>
              <w:spacing w:before="100" w:beforeAutospacing="1" w:after="100" w:afterAutospacing="1" w:line="320" w:lineRule="exact"/>
              <w:ind w:firstLine="2"/>
              <w:jc w:val="center"/>
              <w:rPr>
                <w:color w:val="auto"/>
                <w:szCs w:val="21"/>
                <w:highlight w:val="none"/>
              </w:rPr>
            </w:pPr>
            <w:r>
              <w:rPr>
                <w:color w:val="auto"/>
                <w:szCs w:val="21"/>
                <w:highlight w:val="none"/>
              </w:rPr>
              <w:t>序号</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36D1092D">
            <w:pPr>
              <w:widowControl/>
              <w:spacing w:before="100" w:beforeAutospacing="1" w:after="100" w:afterAutospacing="1" w:line="320" w:lineRule="exact"/>
              <w:ind w:left="-3" w:firstLine="2"/>
              <w:jc w:val="center"/>
              <w:rPr>
                <w:color w:val="auto"/>
                <w:szCs w:val="21"/>
                <w:highlight w:val="none"/>
              </w:rPr>
            </w:pPr>
            <w:r>
              <w:rPr>
                <w:color w:val="auto"/>
                <w:szCs w:val="21"/>
                <w:highlight w:val="none"/>
              </w:rPr>
              <w:t>名  称</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252B45D5">
            <w:pPr>
              <w:widowControl/>
              <w:spacing w:before="100" w:beforeAutospacing="1" w:after="100" w:afterAutospacing="1" w:line="320" w:lineRule="exact"/>
              <w:ind w:left="-3" w:firstLine="2"/>
              <w:jc w:val="center"/>
              <w:rPr>
                <w:color w:val="auto"/>
                <w:szCs w:val="21"/>
                <w:highlight w:val="none"/>
              </w:rPr>
            </w:pPr>
            <w:r>
              <w:rPr>
                <w:color w:val="auto"/>
                <w:szCs w:val="21"/>
                <w:highlight w:val="none"/>
              </w:rPr>
              <w:t>货物型号规格、标准及配置等（或服务内容、标准）</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0CFD6AAF">
            <w:pPr>
              <w:widowControl/>
              <w:spacing w:before="100" w:beforeAutospacing="1" w:after="100" w:afterAutospacing="1" w:line="320" w:lineRule="exact"/>
              <w:jc w:val="center"/>
              <w:rPr>
                <w:color w:val="auto"/>
                <w:szCs w:val="21"/>
                <w:highlight w:val="none"/>
              </w:rPr>
            </w:pPr>
            <w:r>
              <w:rPr>
                <w:color w:val="auto"/>
                <w:szCs w:val="21"/>
                <w:highlight w:val="none"/>
              </w:rPr>
              <w:t>数量</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0716C1B1">
            <w:pPr>
              <w:widowControl/>
              <w:spacing w:before="100" w:beforeAutospacing="1" w:after="100" w:afterAutospacing="1" w:line="320" w:lineRule="exact"/>
              <w:ind w:left="-3" w:firstLine="2"/>
              <w:jc w:val="center"/>
              <w:rPr>
                <w:color w:val="auto"/>
                <w:szCs w:val="21"/>
                <w:highlight w:val="none"/>
              </w:rPr>
            </w:pPr>
            <w:r>
              <w:rPr>
                <w:color w:val="auto"/>
                <w:szCs w:val="21"/>
                <w:highlight w:val="none"/>
              </w:rPr>
              <w:t>金  额</w:t>
            </w:r>
          </w:p>
        </w:tc>
      </w:tr>
      <w:tr w14:paraId="310913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6DD27C29">
            <w:pPr>
              <w:widowControl/>
              <w:spacing w:before="100" w:beforeAutospacing="1" w:after="100" w:afterAutospacing="1" w:line="320" w:lineRule="exact"/>
              <w:ind w:left="-3" w:firstLine="4"/>
              <w:jc w:val="center"/>
              <w:rPr>
                <w:color w:val="auto"/>
                <w:szCs w:val="21"/>
                <w:highlight w:val="none"/>
              </w:rPr>
            </w:pPr>
            <w:r>
              <w:rPr>
                <w:rFonts w:hint="eastAsia"/>
                <w:color w:val="auto"/>
                <w:szCs w:val="21"/>
                <w:highlight w:val="none"/>
              </w:rPr>
              <w:t>1</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69F74333">
            <w:pPr>
              <w:widowControl/>
              <w:spacing w:before="100" w:beforeAutospacing="1" w:after="100" w:afterAutospacing="1" w:line="320" w:lineRule="exact"/>
              <w:ind w:left="-3" w:firstLine="420"/>
              <w:jc w:val="left"/>
              <w:rPr>
                <w:color w:val="auto"/>
                <w:szCs w:val="21"/>
                <w:highlight w:val="none"/>
              </w:rPr>
            </w:pPr>
            <w:r>
              <w:rPr>
                <w:rFonts w:hint="eastAsia"/>
                <w:color w:val="auto"/>
                <w:szCs w:val="21"/>
                <w:highlight w:val="none"/>
              </w:rPr>
              <w:t xml:space="preserve"> </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014AC4EA">
            <w:pPr>
              <w:pStyle w:val="253"/>
              <w:ind w:firstLine="0"/>
              <w:rPr>
                <w:color w:val="auto"/>
                <w:szCs w:val="21"/>
                <w:highlight w:val="none"/>
              </w:rPr>
            </w:pPr>
          </w:p>
        </w:tc>
        <w:tc>
          <w:tcPr>
            <w:tcW w:w="850" w:type="dxa"/>
            <w:tcBorders>
              <w:top w:val="single" w:color="auto" w:sz="8" w:space="0"/>
              <w:left w:val="single" w:color="auto" w:sz="8" w:space="0"/>
              <w:bottom w:val="single" w:color="auto" w:sz="8" w:space="0"/>
              <w:right w:val="single" w:color="auto" w:sz="8" w:space="0"/>
            </w:tcBorders>
            <w:noWrap w:val="0"/>
            <w:vAlign w:val="center"/>
          </w:tcPr>
          <w:p w14:paraId="7ED242D9">
            <w:pPr>
              <w:widowControl/>
              <w:spacing w:before="100" w:beforeAutospacing="1" w:after="100" w:afterAutospacing="1" w:line="320" w:lineRule="exact"/>
              <w:jc w:val="center"/>
              <w:rPr>
                <w:color w:val="auto"/>
                <w:szCs w:val="21"/>
                <w:highlight w:val="none"/>
              </w:rPr>
            </w:pPr>
            <w:r>
              <w:rPr>
                <w:rFonts w:hint="eastAsia"/>
                <w:color w:val="auto"/>
                <w:szCs w:val="21"/>
                <w:highlight w:val="none"/>
              </w:rPr>
              <w:t xml:space="preserve"> </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2C1C9D0C">
            <w:pPr>
              <w:pStyle w:val="253"/>
              <w:ind w:firstLine="0"/>
              <w:jc w:val="center"/>
              <w:rPr>
                <w:rFonts w:eastAsia="等线"/>
                <w:color w:val="auto"/>
                <w:szCs w:val="21"/>
                <w:highlight w:val="none"/>
              </w:rPr>
            </w:pPr>
            <w:r>
              <w:rPr>
                <w:rFonts w:hint="eastAsia"/>
                <w:color w:val="auto"/>
                <w:szCs w:val="21"/>
                <w:highlight w:val="none"/>
              </w:rPr>
              <w:t xml:space="preserve"> </w:t>
            </w:r>
          </w:p>
        </w:tc>
      </w:tr>
      <w:tr w14:paraId="6D8755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noWrap w:val="0"/>
            <w:vAlign w:val="center"/>
          </w:tcPr>
          <w:p w14:paraId="01E4EF45">
            <w:pPr>
              <w:pStyle w:val="253"/>
              <w:ind w:firstLine="0"/>
              <w:jc w:val="center"/>
              <w:rPr>
                <w:color w:val="auto"/>
                <w:szCs w:val="21"/>
                <w:highlight w:val="none"/>
              </w:rPr>
            </w:pPr>
            <w:r>
              <w:rPr>
                <w:rFonts w:hint="eastAsia"/>
                <w:color w:val="auto"/>
                <w:szCs w:val="21"/>
                <w:highlight w:val="none"/>
              </w:rPr>
              <w:t>合 计</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16E6F701">
            <w:pPr>
              <w:widowControl/>
              <w:spacing w:before="100" w:beforeAutospacing="1" w:after="100" w:afterAutospacing="1" w:line="320" w:lineRule="exact"/>
              <w:jc w:val="center"/>
              <w:rPr>
                <w:color w:val="auto"/>
                <w:szCs w:val="21"/>
                <w:highlight w:val="none"/>
              </w:rPr>
            </w:pP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01621617">
            <w:pPr>
              <w:pStyle w:val="253"/>
              <w:ind w:firstLine="0"/>
              <w:jc w:val="center"/>
              <w:rPr>
                <w:rFonts w:eastAsia="等线"/>
                <w:color w:val="auto"/>
                <w:szCs w:val="21"/>
                <w:highlight w:val="none"/>
              </w:rPr>
            </w:pPr>
            <w:r>
              <w:rPr>
                <w:rFonts w:hint="eastAsia"/>
                <w:color w:val="auto"/>
                <w:szCs w:val="21"/>
                <w:highlight w:val="none"/>
              </w:rPr>
              <w:t xml:space="preserve"> </w:t>
            </w:r>
          </w:p>
        </w:tc>
      </w:tr>
      <w:tr w14:paraId="2C38DD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vAlign w:val="center"/>
          </w:tcPr>
          <w:p w14:paraId="395EFAFF">
            <w:pPr>
              <w:widowControl/>
              <w:spacing w:before="100" w:beforeAutospacing="1" w:after="100" w:afterAutospacing="1" w:line="320" w:lineRule="exact"/>
              <w:ind w:firstLine="2"/>
              <w:jc w:val="left"/>
              <w:rPr>
                <w:color w:val="auto"/>
                <w:szCs w:val="21"/>
                <w:highlight w:val="none"/>
              </w:rPr>
            </w:pPr>
            <w:r>
              <w:rPr>
                <w:color w:val="auto"/>
                <w:szCs w:val="21"/>
                <w:highlight w:val="none"/>
              </w:rPr>
              <w:t>合计大写金额：</w:t>
            </w:r>
            <w:r>
              <w:rPr>
                <w:rFonts w:hint="eastAsia"/>
                <w:color w:val="auto"/>
                <w:szCs w:val="21"/>
                <w:highlight w:val="none"/>
              </w:rPr>
              <w:t>人民币元整</w:t>
            </w:r>
          </w:p>
        </w:tc>
      </w:tr>
      <w:tr w14:paraId="5DB884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vAlign w:val="center"/>
          </w:tcPr>
          <w:p w14:paraId="23EF3440">
            <w:pPr>
              <w:widowControl/>
              <w:spacing w:before="100" w:beforeAutospacing="1" w:after="100" w:afterAutospacing="1" w:line="320" w:lineRule="exact"/>
              <w:ind w:firstLine="2"/>
              <w:jc w:val="left"/>
              <w:rPr>
                <w:rFonts w:ascii="宋体" w:hAnsi="宋体" w:cs="宋体"/>
                <w:color w:val="auto"/>
                <w:szCs w:val="21"/>
                <w:highlight w:val="none"/>
              </w:rPr>
            </w:pPr>
            <w:r>
              <w:rPr>
                <w:rFonts w:hint="eastAsia" w:ascii="宋体" w:hAnsi="宋体" w:cs="宋体"/>
                <w:color w:val="auto"/>
                <w:szCs w:val="21"/>
                <w:highlight w:val="none"/>
              </w:rPr>
              <w:t>实际供货日期</w:t>
            </w:r>
          </w:p>
        </w:tc>
        <w:tc>
          <w:tcPr>
            <w:tcW w:w="3240" w:type="dxa"/>
            <w:gridSpan w:val="2"/>
            <w:tcBorders>
              <w:top w:val="single" w:color="auto" w:sz="8" w:space="0"/>
              <w:left w:val="single" w:color="auto" w:sz="8" w:space="0"/>
              <w:bottom w:val="single" w:color="auto" w:sz="8" w:space="0"/>
              <w:right w:val="single" w:color="auto" w:sz="8" w:space="0"/>
            </w:tcBorders>
            <w:noWrap w:val="0"/>
            <w:vAlign w:val="center"/>
          </w:tcPr>
          <w:p w14:paraId="6C61A250">
            <w:pPr>
              <w:spacing w:before="100" w:beforeAutospacing="1" w:after="100" w:afterAutospacing="1" w:line="32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20  年  月  日</w:t>
            </w:r>
          </w:p>
        </w:tc>
        <w:tc>
          <w:tcPr>
            <w:tcW w:w="2700" w:type="dxa"/>
            <w:gridSpan w:val="3"/>
            <w:tcBorders>
              <w:top w:val="single" w:color="auto" w:sz="8" w:space="0"/>
              <w:left w:val="single" w:color="auto" w:sz="8" w:space="0"/>
              <w:bottom w:val="single" w:color="auto" w:sz="8" w:space="0"/>
              <w:right w:val="single" w:color="auto" w:sz="8" w:space="0"/>
            </w:tcBorders>
            <w:noWrap w:val="0"/>
            <w:vAlign w:val="center"/>
          </w:tcPr>
          <w:p w14:paraId="7952B07E">
            <w:pPr>
              <w:spacing w:before="100" w:beforeAutospacing="1" w:after="100" w:afterAutospacing="1" w:line="320" w:lineRule="exact"/>
              <w:ind w:firstLine="39"/>
              <w:jc w:val="center"/>
              <w:rPr>
                <w:rFonts w:ascii="宋体" w:hAnsi="宋体" w:cs="宋体"/>
                <w:color w:val="auto"/>
                <w:szCs w:val="21"/>
                <w:highlight w:val="none"/>
              </w:rPr>
            </w:pPr>
            <w:r>
              <w:rPr>
                <w:rFonts w:hint="eastAsia" w:ascii="宋体" w:hAnsi="宋体" w:cs="宋体"/>
                <w:color w:val="auto"/>
                <w:szCs w:val="21"/>
                <w:highlight w:val="none"/>
              </w:rPr>
              <w:t>合同交货验收日期</w:t>
            </w:r>
          </w:p>
        </w:tc>
        <w:tc>
          <w:tcPr>
            <w:tcW w:w="2160" w:type="dxa"/>
            <w:tcBorders>
              <w:top w:val="single" w:color="auto" w:sz="8" w:space="0"/>
              <w:left w:val="single" w:color="auto" w:sz="8" w:space="0"/>
              <w:bottom w:val="single" w:color="auto" w:sz="8" w:space="0"/>
              <w:right w:val="single" w:color="auto" w:sz="8" w:space="0"/>
            </w:tcBorders>
            <w:noWrap w:val="0"/>
            <w:vAlign w:val="center"/>
          </w:tcPr>
          <w:p w14:paraId="2616801A">
            <w:pPr>
              <w:spacing w:before="100" w:beforeAutospacing="1" w:after="100" w:afterAutospacing="1" w:line="32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20  年  月  日</w:t>
            </w:r>
          </w:p>
        </w:tc>
      </w:tr>
      <w:tr w14:paraId="1C0D4E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3151DB7">
            <w:pPr>
              <w:widowControl/>
              <w:spacing w:before="100" w:beforeAutospacing="1" w:after="100" w:afterAutospacing="1" w:line="320" w:lineRule="exact"/>
              <w:jc w:val="left"/>
              <w:rPr>
                <w:rFonts w:ascii="宋体" w:hAnsi="宋体" w:cs="宋体"/>
                <w:color w:val="auto"/>
                <w:szCs w:val="21"/>
                <w:highlight w:val="none"/>
              </w:rPr>
            </w:pPr>
            <w:r>
              <w:rPr>
                <w:rFonts w:hint="eastAsia" w:ascii="宋体" w:hAnsi="宋体" w:cs="宋体"/>
                <w:color w:val="auto"/>
                <w:szCs w:val="21"/>
                <w:highlight w:val="none"/>
              </w:rPr>
              <w:t>验收具体内容</w:t>
            </w:r>
          </w:p>
        </w:tc>
        <w:tc>
          <w:tcPr>
            <w:tcW w:w="8100" w:type="dxa"/>
            <w:gridSpan w:val="6"/>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001CC22">
            <w:pPr>
              <w:pStyle w:val="253"/>
              <w:ind w:firstLine="0"/>
              <w:rPr>
                <w:rFonts w:ascii="宋体" w:hAnsi="宋体" w:cs="宋体"/>
                <w:color w:val="auto"/>
                <w:sz w:val="21"/>
                <w:szCs w:val="21"/>
                <w:highlight w:val="none"/>
              </w:rPr>
            </w:pPr>
            <w:r>
              <w:rPr>
                <w:rFonts w:hint="eastAsia" w:ascii="宋体" w:hAnsi="宋体" w:cs="宋体"/>
                <w:color w:val="auto"/>
                <w:sz w:val="21"/>
                <w:szCs w:val="21"/>
                <w:highlight w:val="none"/>
              </w:rPr>
              <w:t>1.中标供应商所供货的1套设备的技术性能能满足采购合同约定的技术标准。</w:t>
            </w:r>
          </w:p>
          <w:p w14:paraId="03DBB608">
            <w:pPr>
              <w:pStyle w:val="253"/>
              <w:ind w:firstLine="0"/>
              <w:rPr>
                <w:rFonts w:ascii="宋体" w:hAnsi="宋体" w:cs="宋体"/>
                <w:color w:val="auto"/>
                <w:sz w:val="21"/>
                <w:szCs w:val="21"/>
                <w:highlight w:val="none"/>
              </w:rPr>
            </w:pPr>
            <w:r>
              <w:rPr>
                <w:rFonts w:hint="eastAsia" w:ascii="宋体" w:hAnsi="宋体" w:cs="宋体"/>
                <w:color w:val="auto"/>
                <w:sz w:val="21"/>
                <w:szCs w:val="21"/>
                <w:highlight w:val="none"/>
              </w:rPr>
              <w:t>2.中标供应商对设备的安装调试符合合同约定或服务规范的要求。</w:t>
            </w:r>
          </w:p>
          <w:p w14:paraId="462853ED">
            <w:pPr>
              <w:pStyle w:val="253"/>
              <w:ind w:firstLine="0"/>
              <w:rPr>
                <w:rFonts w:ascii="宋体" w:hAnsi="宋体" w:cs="宋体"/>
                <w:color w:val="auto"/>
                <w:sz w:val="21"/>
                <w:szCs w:val="21"/>
                <w:highlight w:val="none"/>
              </w:rPr>
            </w:pPr>
            <w:r>
              <w:rPr>
                <w:rFonts w:hint="eastAsia" w:ascii="宋体" w:hAnsi="宋体" w:cs="宋体"/>
                <w:color w:val="auto"/>
                <w:sz w:val="21"/>
                <w:szCs w:val="21"/>
                <w:highlight w:val="none"/>
              </w:rPr>
              <w:t>3.中标供应商提供的质量保证证明材料齐全。</w:t>
            </w:r>
          </w:p>
          <w:p w14:paraId="668A854C">
            <w:pPr>
              <w:pStyle w:val="253"/>
              <w:ind w:firstLine="0"/>
              <w:rPr>
                <w:rFonts w:ascii="宋体" w:hAnsi="宋体" w:cs="宋体"/>
                <w:color w:val="auto"/>
                <w:szCs w:val="21"/>
                <w:highlight w:val="none"/>
              </w:rPr>
            </w:pPr>
            <w:r>
              <w:rPr>
                <w:rFonts w:hint="eastAsia" w:ascii="宋体" w:hAnsi="宋体" w:cs="宋体"/>
                <w:color w:val="auto"/>
                <w:sz w:val="21"/>
                <w:szCs w:val="21"/>
                <w:highlight w:val="none"/>
              </w:rPr>
              <w:t>验收过程材料详见验收书附件《验收书附表——商务（服务）验收》以及《验收书附表——技术验收、安全验收》。</w:t>
            </w:r>
          </w:p>
        </w:tc>
      </w:tr>
      <w:tr w14:paraId="23A1C1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DA78C14">
            <w:pPr>
              <w:widowControl/>
              <w:spacing w:before="100" w:beforeAutospacing="1" w:after="100" w:afterAutospacing="1" w:line="320" w:lineRule="exact"/>
              <w:jc w:val="left"/>
              <w:rPr>
                <w:rFonts w:ascii="宋体" w:hAnsi="宋体" w:cs="宋体"/>
                <w:color w:val="auto"/>
                <w:szCs w:val="21"/>
                <w:highlight w:val="none"/>
              </w:rPr>
            </w:pPr>
            <w:r>
              <w:rPr>
                <w:rFonts w:hint="eastAsia" w:ascii="宋体" w:hAnsi="宋体" w:cs="宋体"/>
                <w:color w:val="auto"/>
                <w:szCs w:val="21"/>
                <w:highlight w:val="none"/>
              </w:rPr>
              <w:t>验收小组意见</w:t>
            </w:r>
          </w:p>
        </w:tc>
        <w:tc>
          <w:tcPr>
            <w:tcW w:w="8100" w:type="dxa"/>
            <w:gridSpan w:val="6"/>
            <w:tcBorders>
              <w:top w:val="single" w:color="auto" w:sz="8" w:space="0"/>
              <w:left w:val="single" w:color="auto" w:sz="8" w:space="0"/>
              <w:bottom w:val="single" w:color="auto" w:sz="4" w:space="0"/>
              <w:right w:val="single" w:color="auto" w:sz="8" w:space="0"/>
            </w:tcBorders>
            <w:noWrap w:val="0"/>
            <w:vAlign w:val="center"/>
          </w:tcPr>
          <w:p w14:paraId="6189C7BE">
            <w:pPr>
              <w:widowControl/>
              <w:spacing w:before="100" w:beforeAutospacing="1" w:after="100" w:afterAutospacing="1" w:line="320" w:lineRule="exact"/>
              <w:jc w:val="left"/>
              <w:rPr>
                <w:rFonts w:ascii="宋体" w:hAnsi="宋体" w:cs="宋体"/>
                <w:color w:val="auto"/>
                <w:szCs w:val="21"/>
                <w:highlight w:val="none"/>
              </w:rPr>
            </w:pPr>
            <w:r>
              <w:rPr>
                <w:rFonts w:hint="eastAsia" w:ascii="宋体" w:hAnsi="宋体" w:cs="宋体"/>
                <w:color w:val="auto"/>
                <w:szCs w:val="21"/>
                <w:highlight w:val="none"/>
              </w:rPr>
              <w:t>验收结论性意见：同意（不同意）通过项目验收</w:t>
            </w:r>
          </w:p>
        </w:tc>
      </w:tr>
      <w:tr w14:paraId="004E61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noWrap w:val="0"/>
            <w:vAlign w:val="center"/>
          </w:tcPr>
          <w:p w14:paraId="7BB77618">
            <w:pPr>
              <w:widowControl/>
              <w:spacing w:line="320" w:lineRule="exact"/>
              <w:jc w:val="left"/>
              <w:rPr>
                <w:rFonts w:ascii="宋体" w:hAnsi="宋体" w:cs="宋体"/>
                <w:color w:val="auto"/>
                <w:szCs w:val="21"/>
                <w:highlight w:val="none"/>
              </w:rPr>
            </w:pPr>
          </w:p>
        </w:tc>
        <w:tc>
          <w:tcPr>
            <w:tcW w:w="8100" w:type="dxa"/>
            <w:gridSpan w:val="6"/>
            <w:tcBorders>
              <w:top w:val="single" w:color="auto" w:sz="4" w:space="0"/>
              <w:left w:val="single" w:color="auto" w:sz="8" w:space="0"/>
              <w:bottom w:val="single" w:color="auto" w:sz="8" w:space="0"/>
              <w:right w:val="single" w:color="auto" w:sz="8" w:space="0"/>
            </w:tcBorders>
            <w:noWrap w:val="0"/>
            <w:vAlign w:val="center"/>
          </w:tcPr>
          <w:p w14:paraId="02E927AF">
            <w:pPr>
              <w:pStyle w:val="253"/>
              <w:ind w:firstLine="0"/>
              <w:rPr>
                <w:rFonts w:ascii="宋体" w:hAnsi="宋体" w:cs="宋体"/>
                <w:color w:val="auto"/>
                <w:szCs w:val="21"/>
                <w:highlight w:val="none"/>
              </w:rPr>
            </w:pPr>
            <w:r>
              <w:rPr>
                <w:rFonts w:hint="eastAsia" w:ascii="宋体" w:hAnsi="宋体" w:cs="宋体"/>
                <w:color w:val="auto"/>
                <w:szCs w:val="21"/>
                <w:highlight w:val="none"/>
              </w:rPr>
              <w:t>有异议的意见和说明理由：</w:t>
            </w:r>
          </w:p>
          <w:p w14:paraId="2D26D16F">
            <w:pPr>
              <w:pStyle w:val="253"/>
              <w:ind w:firstLine="6720"/>
              <w:rPr>
                <w:rFonts w:ascii="宋体" w:hAnsi="宋体" w:cs="宋体"/>
                <w:color w:val="auto"/>
                <w:szCs w:val="21"/>
                <w:highlight w:val="none"/>
              </w:rPr>
            </w:pPr>
            <w:r>
              <w:rPr>
                <w:rFonts w:hint="eastAsia" w:ascii="宋体" w:hAnsi="宋体" w:cs="宋体"/>
                <w:color w:val="auto"/>
                <w:szCs w:val="21"/>
                <w:highlight w:val="none"/>
              </w:rPr>
              <w:t>签字：</w:t>
            </w:r>
          </w:p>
        </w:tc>
      </w:tr>
      <w:tr w14:paraId="5419A4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284B323">
            <w:pPr>
              <w:widowControl/>
              <w:spacing w:before="100" w:beforeAutospacing="1" w:after="100" w:afterAutospacing="1" w:line="320" w:lineRule="exact"/>
              <w:jc w:val="left"/>
              <w:rPr>
                <w:color w:val="auto"/>
                <w:szCs w:val="21"/>
                <w:highlight w:val="none"/>
              </w:rPr>
            </w:pPr>
            <w:r>
              <w:rPr>
                <w:color w:val="auto"/>
                <w:szCs w:val="21"/>
                <w:highlight w:val="none"/>
              </w:rPr>
              <w:t>验收小组成员签字：</w:t>
            </w:r>
          </w:p>
          <w:p w14:paraId="3CD13B75">
            <w:pPr>
              <w:widowControl/>
              <w:spacing w:before="100" w:beforeAutospacing="1" w:after="100" w:afterAutospacing="1" w:line="320" w:lineRule="exact"/>
              <w:jc w:val="left"/>
              <w:rPr>
                <w:color w:val="auto"/>
                <w:szCs w:val="21"/>
                <w:highlight w:val="none"/>
              </w:rPr>
            </w:pPr>
          </w:p>
        </w:tc>
      </w:tr>
      <w:tr w14:paraId="2D997C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DD82A5">
            <w:pPr>
              <w:widowControl/>
              <w:spacing w:before="100" w:beforeAutospacing="1" w:after="100" w:afterAutospacing="1" w:line="320" w:lineRule="exact"/>
              <w:jc w:val="left"/>
              <w:rPr>
                <w:color w:val="auto"/>
                <w:szCs w:val="21"/>
                <w:highlight w:val="none"/>
              </w:rPr>
            </w:pPr>
            <w:r>
              <w:rPr>
                <w:color w:val="auto"/>
                <w:szCs w:val="21"/>
                <w:highlight w:val="none"/>
              </w:rPr>
              <w:t>监督人员或其他相关人员签字：</w:t>
            </w:r>
          </w:p>
          <w:p w14:paraId="2819E030">
            <w:pPr>
              <w:widowControl/>
              <w:spacing w:before="100" w:beforeAutospacing="1" w:after="100" w:afterAutospacing="1" w:line="320" w:lineRule="exact"/>
              <w:ind w:firstLine="65"/>
              <w:jc w:val="left"/>
              <w:rPr>
                <w:color w:val="auto"/>
                <w:szCs w:val="21"/>
                <w:highlight w:val="none"/>
              </w:rPr>
            </w:pPr>
            <w:r>
              <w:rPr>
                <w:color w:val="auto"/>
                <w:szCs w:val="21"/>
                <w:highlight w:val="none"/>
              </w:rPr>
              <w:t>或受邀机构的意见（盖章）：</w:t>
            </w:r>
          </w:p>
        </w:tc>
      </w:tr>
      <w:tr w14:paraId="1BF1F6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noWrap w:val="0"/>
            <w:tcMar>
              <w:top w:w="0" w:type="dxa"/>
              <w:left w:w="108" w:type="dxa"/>
              <w:bottom w:w="0" w:type="dxa"/>
              <w:right w:w="108" w:type="dxa"/>
            </w:tcMar>
            <w:vAlign w:val="center"/>
          </w:tcPr>
          <w:p w14:paraId="6DAF5FD9">
            <w:pPr>
              <w:widowControl/>
              <w:spacing w:before="100" w:beforeAutospacing="1" w:after="100" w:afterAutospacing="1" w:line="320" w:lineRule="exact"/>
              <w:ind w:firstLine="65"/>
              <w:jc w:val="left"/>
              <w:rPr>
                <w:color w:val="auto"/>
                <w:szCs w:val="21"/>
                <w:highlight w:val="none"/>
              </w:rPr>
            </w:pPr>
            <w:r>
              <w:rPr>
                <w:color w:val="auto"/>
                <w:szCs w:val="21"/>
                <w:highlight w:val="none"/>
              </w:rPr>
              <w:t>中标或者</w:t>
            </w:r>
            <w:r>
              <w:rPr>
                <w:rFonts w:hint="eastAsia"/>
                <w:color w:val="auto"/>
                <w:szCs w:val="21"/>
                <w:highlight w:val="none"/>
                <w:lang w:eastAsia="zh-CN"/>
              </w:rPr>
              <w:t>中标供应商</w:t>
            </w:r>
            <w:r>
              <w:rPr>
                <w:color w:val="auto"/>
                <w:szCs w:val="21"/>
                <w:highlight w:val="none"/>
              </w:rPr>
              <w:t>负责人签字或盖章：</w:t>
            </w:r>
          </w:p>
          <w:p w14:paraId="2D01D371">
            <w:pPr>
              <w:widowControl/>
              <w:spacing w:before="100" w:beforeAutospacing="1" w:after="100" w:afterAutospacing="1" w:line="320" w:lineRule="exact"/>
              <w:jc w:val="left"/>
              <w:rPr>
                <w:color w:val="auto"/>
                <w:szCs w:val="21"/>
                <w:highlight w:val="none"/>
              </w:rPr>
            </w:pPr>
            <w:r>
              <w:rPr>
                <w:color w:val="auto"/>
                <w:szCs w:val="21"/>
                <w:highlight w:val="none"/>
              </w:rPr>
              <w:t>联系电话：     </w:t>
            </w:r>
            <w:r>
              <w:rPr>
                <w:rFonts w:hint="eastAsia"/>
                <w:color w:val="auto"/>
                <w:szCs w:val="21"/>
                <w:highlight w:val="none"/>
              </w:rPr>
              <w:t xml:space="preserve">   </w:t>
            </w:r>
            <w:r>
              <w:rPr>
                <w:color w:val="auto"/>
                <w:szCs w:val="21"/>
                <w:highlight w:val="none"/>
              </w:rPr>
              <w:t>  年</w:t>
            </w:r>
            <w:r>
              <w:rPr>
                <w:rFonts w:hint="eastAsia"/>
                <w:color w:val="auto"/>
                <w:szCs w:val="21"/>
                <w:highlight w:val="none"/>
              </w:rPr>
              <w:t xml:space="preserve">  </w:t>
            </w:r>
            <w:r>
              <w:rPr>
                <w:color w:val="auto"/>
                <w:szCs w:val="21"/>
                <w:highlight w:val="none"/>
              </w:rPr>
              <w:t> 月 </w:t>
            </w:r>
            <w:r>
              <w:rPr>
                <w:rFonts w:hint="eastAsia"/>
                <w:color w:val="auto"/>
                <w:szCs w:val="21"/>
                <w:highlight w:val="none"/>
              </w:rPr>
              <w:t xml:space="preserve">  </w:t>
            </w:r>
            <w:r>
              <w:rPr>
                <w:color w:val="auto"/>
                <w:szCs w:val="21"/>
                <w:highlight w:val="none"/>
              </w:rPr>
              <w:t>日</w:t>
            </w:r>
          </w:p>
          <w:p w14:paraId="0676B709">
            <w:pPr>
              <w:widowControl/>
              <w:spacing w:before="100" w:beforeAutospacing="1" w:after="100" w:afterAutospacing="1" w:line="320" w:lineRule="exact"/>
              <w:jc w:val="left"/>
              <w:rPr>
                <w:color w:val="auto"/>
                <w:szCs w:val="21"/>
                <w:highlight w:val="none"/>
              </w:rPr>
            </w:pPr>
          </w:p>
          <w:p w14:paraId="594A2F9C">
            <w:pPr>
              <w:widowControl/>
              <w:spacing w:before="100" w:beforeAutospacing="1" w:after="100" w:afterAutospacing="1" w:line="320" w:lineRule="exact"/>
              <w:ind w:firstLine="65"/>
              <w:jc w:val="left"/>
              <w:rPr>
                <w:color w:val="auto"/>
                <w:szCs w:val="21"/>
                <w:highlight w:val="none"/>
              </w:rPr>
            </w:pPr>
            <w:r>
              <w:rPr>
                <w:rFonts w:hint="eastAsia"/>
                <w:color w:val="auto"/>
                <w:szCs w:val="21"/>
                <w:highlight w:val="none"/>
              </w:rPr>
              <w:t>采购人</w:t>
            </w:r>
            <w:r>
              <w:rPr>
                <w:color w:val="auto"/>
                <w:szCs w:val="21"/>
                <w:highlight w:val="none"/>
              </w:rPr>
              <w:t>签字或盖章：</w:t>
            </w:r>
          </w:p>
          <w:p w14:paraId="0FAE4EC5">
            <w:pPr>
              <w:widowControl/>
              <w:spacing w:before="100" w:beforeAutospacing="1" w:after="100" w:afterAutospacing="1" w:line="320" w:lineRule="exact"/>
              <w:jc w:val="left"/>
              <w:rPr>
                <w:color w:val="auto"/>
                <w:szCs w:val="21"/>
                <w:highlight w:val="none"/>
              </w:rPr>
            </w:pPr>
            <w:r>
              <w:rPr>
                <w:color w:val="auto"/>
                <w:szCs w:val="21"/>
                <w:highlight w:val="none"/>
              </w:rPr>
              <w:t xml:space="preserve">联系电话：      </w:t>
            </w:r>
            <w:r>
              <w:rPr>
                <w:rFonts w:hint="eastAsia"/>
                <w:color w:val="auto"/>
                <w:szCs w:val="21"/>
                <w:highlight w:val="none"/>
              </w:rPr>
              <w:t xml:space="preserve"> </w:t>
            </w:r>
            <w:r>
              <w:rPr>
                <w:color w:val="auto"/>
                <w:szCs w:val="21"/>
                <w:highlight w:val="none"/>
              </w:rPr>
              <w:t>  年</w:t>
            </w:r>
            <w:r>
              <w:rPr>
                <w:rFonts w:hint="eastAsia"/>
                <w:color w:val="auto"/>
                <w:szCs w:val="21"/>
                <w:highlight w:val="none"/>
              </w:rPr>
              <w:t xml:space="preserve">  </w:t>
            </w:r>
            <w:r>
              <w:rPr>
                <w:color w:val="auto"/>
                <w:szCs w:val="21"/>
                <w:highlight w:val="none"/>
              </w:rPr>
              <w:t> 月 </w:t>
            </w:r>
            <w:r>
              <w:rPr>
                <w:rFonts w:hint="eastAsia"/>
                <w:color w:val="auto"/>
                <w:szCs w:val="21"/>
                <w:highlight w:val="none"/>
              </w:rPr>
              <w:t xml:space="preserve">  </w:t>
            </w:r>
            <w:r>
              <w:rPr>
                <w:color w:val="auto"/>
                <w:szCs w:val="21"/>
                <w:highlight w:val="none"/>
              </w:rPr>
              <w:t>日</w:t>
            </w:r>
          </w:p>
        </w:tc>
        <w:tc>
          <w:tcPr>
            <w:tcW w:w="4860" w:type="dxa"/>
            <w:gridSpan w:val="4"/>
            <w:tcBorders>
              <w:top w:val="single" w:color="auto" w:sz="8" w:space="0"/>
              <w:left w:val="nil"/>
              <w:bottom w:val="single" w:color="auto" w:sz="8" w:space="0"/>
              <w:right w:val="single" w:color="auto" w:sz="8" w:space="0"/>
            </w:tcBorders>
            <w:noWrap w:val="0"/>
            <w:vAlign w:val="center"/>
          </w:tcPr>
          <w:p w14:paraId="66B5AFC4">
            <w:pPr>
              <w:widowControl/>
              <w:spacing w:before="100" w:beforeAutospacing="1" w:after="100" w:afterAutospacing="1" w:line="320" w:lineRule="exact"/>
              <w:jc w:val="left"/>
              <w:rPr>
                <w:color w:val="auto"/>
                <w:szCs w:val="21"/>
                <w:highlight w:val="none"/>
              </w:rPr>
            </w:pPr>
            <w:r>
              <w:rPr>
                <w:color w:val="auto"/>
                <w:szCs w:val="21"/>
                <w:highlight w:val="none"/>
              </w:rPr>
              <w:t> 受托机构的意见（盖章）：</w:t>
            </w:r>
          </w:p>
          <w:p w14:paraId="033681CF">
            <w:pPr>
              <w:widowControl/>
              <w:spacing w:before="100" w:beforeAutospacing="1" w:after="100" w:afterAutospacing="1" w:line="320" w:lineRule="exact"/>
              <w:jc w:val="left"/>
              <w:rPr>
                <w:color w:val="auto"/>
                <w:szCs w:val="21"/>
                <w:highlight w:val="none"/>
              </w:rPr>
            </w:pPr>
            <w:r>
              <w:rPr>
                <w:color w:val="auto"/>
                <w:szCs w:val="21"/>
                <w:highlight w:val="none"/>
              </w:rPr>
              <w:t xml:space="preserve">联系电话：                 </w:t>
            </w:r>
            <w:r>
              <w:rPr>
                <w:rFonts w:hint="eastAsia"/>
                <w:color w:val="auto"/>
                <w:szCs w:val="21"/>
                <w:highlight w:val="none"/>
              </w:rPr>
              <w:t xml:space="preserve">    </w:t>
            </w:r>
            <w:r>
              <w:rPr>
                <w:color w:val="auto"/>
                <w:szCs w:val="21"/>
                <w:highlight w:val="none"/>
              </w:rPr>
              <w:t>年   月   日</w:t>
            </w:r>
          </w:p>
          <w:p w14:paraId="1293CDEA">
            <w:pPr>
              <w:widowControl/>
              <w:spacing w:before="100" w:beforeAutospacing="1" w:after="100" w:afterAutospacing="1" w:line="320" w:lineRule="exact"/>
              <w:jc w:val="left"/>
              <w:rPr>
                <w:color w:val="auto"/>
                <w:szCs w:val="21"/>
                <w:highlight w:val="none"/>
              </w:rPr>
            </w:pPr>
          </w:p>
          <w:p w14:paraId="4588A087">
            <w:pPr>
              <w:widowControl/>
              <w:spacing w:before="100" w:beforeAutospacing="1" w:after="100" w:afterAutospacing="1" w:line="320" w:lineRule="exact"/>
              <w:jc w:val="left"/>
              <w:rPr>
                <w:color w:val="auto"/>
                <w:szCs w:val="21"/>
                <w:highlight w:val="none"/>
              </w:rPr>
            </w:pPr>
          </w:p>
          <w:p w14:paraId="5A391B67">
            <w:pPr>
              <w:widowControl/>
              <w:spacing w:before="100" w:beforeAutospacing="1" w:after="100" w:afterAutospacing="1" w:line="320" w:lineRule="exact"/>
              <w:jc w:val="left"/>
              <w:rPr>
                <w:color w:val="auto"/>
                <w:szCs w:val="21"/>
                <w:highlight w:val="none"/>
              </w:rPr>
            </w:pPr>
          </w:p>
        </w:tc>
      </w:tr>
    </w:tbl>
    <w:p w14:paraId="2EF198BA">
      <w:pPr>
        <w:widowControl/>
        <w:jc w:val="left"/>
        <w:rPr>
          <w:rFonts w:ascii="仿宋" w:hAnsi="仿宋" w:eastAsia="仿宋"/>
          <w:color w:val="auto"/>
          <w:szCs w:val="21"/>
          <w:highlight w:val="none"/>
          <w:u w:val="single"/>
        </w:rPr>
      </w:pPr>
      <w:r>
        <w:rPr>
          <w:color w:val="auto"/>
          <w:spacing w:val="-10"/>
          <w:szCs w:val="21"/>
          <w:highlight w:val="none"/>
        </w:rPr>
        <w:t>备注：本报告单一式4份（采购单位1份、供应商1份、采购监督部门备案1份、采购代理机构1份）</w:t>
      </w:r>
    </w:p>
    <w:p w14:paraId="004521A4">
      <w:pPr>
        <w:widowControl/>
        <w:jc w:val="left"/>
        <w:rPr>
          <w:color w:val="auto"/>
          <w:sz w:val="32"/>
          <w:szCs w:val="32"/>
          <w:highlight w:val="none"/>
        </w:rPr>
      </w:pPr>
    </w:p>
    <w:p w14:paraId="6554DA2B">
      <w:pPr>
        <w:widowControl/>
        <w:jc w:val="left"/>
        <w:rPr>
          <w:color w:val="auto"/>
          <w:sz w:val="32"/>
          <w:szCs w:val="32"/>
          <w:highlight w:val="none"/>
        </w:rPr>
      </w:pPr>
    </w:p>
    <w:p w14:paraId="201F2149">
      <w:pPr>
        <w:widowControl/>
        <w:jc w:val="left"/>
        <w:rPr>
          <w:color w:val="auto"/>
          <w:sz w:val="32"/>
          <w:szCs w:val="32"/>
          <w:highlight w:val="none"/>
        </w:rPr>
      </w:pPr>
    </w:p>
    <w:p w14:paraId="3A33529A">
      <w:pPr>
        <w:pStyle w:val="27"/>
        <w:spacing w:before="120" w:after="120" w:line="320" w:lineRule="exact"/>
        <w:jc w:val="center"/>
        <w:outlineLvl w:val="0"/>
        <w:rPr>
          <w:rFonts w:ascii="Times New Roman" w:hAnsi="Times New Roman" w:cs="Times New Roman"/>
          <w:color w:val="auto"/>
          <w:sz w:val="32"/>
          <w:szCs w:val="32"/>
          <w:highlight w:val="none"/>
        </w:rPr>
      </w:pPr>
      <w:bookmarkStart w:id="199" w:name="_Toc24247"/>
      <w:bookmarkStart w:id="200" w:name="_Toc15358"/>
      <w:r>
        <w:rPr>
          <w:rFonts w:hint="eastAsia" w:ascii="Times New Roman" w:hAnsi="Times New Roman" w:cs="Times New Roman"/>
          <w:color w:val="auto"/>
          <w:sz w:val="32"/>
          <w:szCs w:val="32"/>
          <w:highlight w:val="none"/>
        </w:rPr>
        <w:t>第六章  投标文件格式</w:t>
      </w:r>
      <w:bookmarkEnd w:id="199"/>
      <w:bookmarkEnd w:id="200"/>
    </w:p>
    <w:p w14:paraId="5B0ED08B">
      <w:pPr>
        <w:rPr>
          <w:color w:val="auto"/>
          <w:sz w:val="28"/>
          <w:szCs w:val="28"/>
          <w:highlight w:val="none"/>
        </w:rPr>
      </w:pPr>
    </w:p>
    <w:p w14:paraId="09476409">
      <w:pPr>
        <w:spacing w:line="500" w:lineRule="exact"/>
        <w:ind w:firstLine="560"/>
        <w:rPr>
          <w:color w:val="auto"/>
          <w:sz w:val="28"/>
          <w:szCs w:val="28"/>
          <w:highlight w:val="none"/>
        </w:rPr>
      </w:pPr>
      <w:bookmarkStart w:id="201" w:name="_Hlk19114175"/>
      <w:r>
        <w:rPr>
          <w:rFonts w:hint="eastAsia"/>
          <w:color w:val="auto"/>
          <w:sz w:val="28"/>
          <w:szCs w:val="28"/>
          <w:highlight w:val="none"/>
        </w:rPr>
        <w:t>注：有签字、盖章要求的应按要求</w:t>
      </w:r>
      <w:bookmarkStart w:id="202" w:name="_Hlk89032274"/>
      <w:r>
        <w:rPr>
          <w:rFonts w:hint="eastAsia"/>
          <w:color w:val="auto"/>
          <w:sz w:val="28"/>
          <w:szCs w:val="28"/>
          <w:highlight w:val="none"/>
        </w:rPr>
        <w:t>签字（签章）、盖章（签章）</w:t>
      </w:r>
      <w:bookmarkEnd w:id="202"/>
      <w:r>
        <w:rPr>
          <w:rFonts w:hint="eastAsia"/>
          <w:color w:val="auto"/>
          <w:sz w:val="28"/>
          <w:szCs w:val="28"/>
          <w:highlight w:val="none"/>
        </w:rPr>
        <w:t>。</w:t>
      </w:r>
      <w:bookmarkEnd w:id="201"/>
    </w:p>
    <w:p w14:paraId="57274B74">
      <w:pPr>
        <w:spacing w:line="500" w:lineRule="exact"/>
        <w:ind w:firstLine="480"/>
        <w:rPr>
          <w:rFonts w:ascii="宋体" w:hAnsi="宋体"/>
          <w:color w:val="auto"/>
          <w:sz w:val="24"/>
          <w:highlight w:val="none"/>
        </w:rPr>
      </w:pPr>
    </w:p>
    <w:p w14:paraId="564AD73D">
      <w:pPr>
        <w:spacing w:line="500" w:lineRule="exact"/>
        <w:rPr>
          <w:bCs/>
          <w:color w:val="auto"/>
          <w:sz w:val="24"/>
          <w:highlight w:val="none"/>
        </w:rPr>
      </w:pPr>
      <w:r>
        <w:rPr>
          <w:rFonts w:ascii="宋体" w:hAnsi="宋体"/>
          <w:color w:val="auto"/>
          <w:sz w:val="24"/>
          <w:highlight w:val="none"/>
        </w:rPr>
        <w:br w:type="page" w:clear="all"/>
      </w:r>
    </w:p>
    <w:p w14:paraId="744D4EDE">
      <w:pPr>
        <w:spacing w:before="120" w:after="50" w:line="440" w:lineRule="exact"/>
        <w:jc w:val="left"/>
        <w:outlineLvl w:val="1"/>
        <w:rPr>
          <w:bCs/>
          <w:color w:val="auto"/>
          <w:sz w:val="24"/>
          <w:highlight w:val="none"/>
        </w:rPr>
      </w:pPr>
      <w:r>
        <w:rPr>
          <w:bCs/>
          <w:color w:val="auto"/>
          <w:sz w:val="24"/>
          <w:highlight w:val="none"/>
        </w:rPr>
        <w:t>1．投标文件封面参考格式</w:t>
      </w:r>
      <w:bookmarkStart w:id="203" w:name="_Hlk92966991"/>
      <w:r>
        <w:rPr>
          <w:rFonts w:hint="eastAsia"/>
          <w:bCs/>
          <w:color w:val="auto"/>
          <w:sz w:val="24"/>
          <w:highlight w:val="none"/>
        </w:rPr>
        <w:t>（资格证明文件）</w:t>
      </w:r>
      <w:bookmarkEnd w:id="203"/>
      <w:r>
        <w:rPr>
          <w:bCs/>
          <w:color w:val="auto"/>
          <w:sz w:val="24"/>
          <w:highlight w:val="none"/>
        </w:rPr>
        <w:t xml:space="preserve">： </w:t>
      </w:r>
    </w:p>
    <w:p w14:paraId="3D2F2A27">
      <w:pPr>
        <w:spacing w:before="120" w:after="50" w:line="360" w:lineRule="exact"/>
        <w:rPr>
          <w:color w:val="auto"/>
          <w:sz w:val="24"/>
          <w:highlight w:val="none"/>
        </w:rPr>
      </w:pPr>
    </w:p>
    <w:p w14:paraId="1CE4D163">
      <w:pPr>
        <w:spacing w:before="120" w:after="50" w:line="360" w:lineRule="exact"/>
        <w:jc w:val="center"/>
        <w:rPr>
          <w:bCs/>
          <w:color w:val="auto"/>
          <w:sz w:val="24"/>
          <w:highlight w:val="none"/>
        </w:rPr>
      </w:pPr>
    </w:p>
    <w:p w14:paraId="332813EE">
      <w:pPr>
        <w:spacing w:before="12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012E7126">
      <w:pPr>
        <w:spacing w:before="120" w:after="50" w:line="360" w:lineRule="exact"/>
        <w:jc w:val="center"/>
        <w:rPr>
          <w:b/>
          <w:bCs/>
          <w:color w:val="auto"/>
          <w:sz w:val="44"/>
          <w:szCs w:val="44"/>
          <w:highlight w:val="none"/>
        </w:rPr>
      </w:pPr>
    </w:p>
    <w:p w14:paraId="713F291B">
      <w:pPr>
        <w:spacing w:before="120" w:after="50" w:line="360" w:lineRule="exact"/>
        <w:jc w:val="center"/>
        <w:rPr>
          <w:b/>
          <w:bCs/>
          <w:color w:val="auto"/>
          <w:sz w:val="44"/>
          <w:szCs w:val="44"/>
          <w:highlight w:val="none"/>
        </w:rPr>
      </w:pPr>
    </w:p>
    <w:p w14:paraId="5108FD48">
      <w:pPr>
        <w:spacing w:before="120" w:after="50" w:line="360" w:lineRule="exact"/>
        <w:jc w:val="center"/>
        <w:rPr>
          <w:b/>
          <w:bCs/>
          <w:color w:val="auto"/>
          <w:sz w:val="44"/>
          <w:szCs w:val="44"/>
          <w:highlight w:val="none"/>
        </w:rPr>
      </w:pPr>
      <w:bookmarkStart w:id="204" w:name="_Hlk92967018"/>
      <w:r>
        <w:rPr>
          <w:b/>
          <w:bCs/>
          <w:color w:val="auto"/>
          <w:sz w:val="44"/>
          <w:szCs w:val="44"/>
          <w:highlight w:val="none"/>
        </w:rPr>
        <w:t>资格</w:t>
      </w:r>
      <w:r>
        <w:rPr>
          <w:rFonts w:hint="eastAsia"/>
          <w:b/>
          <w:bCs/>
          <w:color w:val="auto"/>
          <w:sz w:val="44"/>
          <w:szCs w:val="44"/>
          <w:highlight w:val="none"/>
        </w:rPr>
        <w:t>证明文件</w:t>
      </w:r>
      <w:bookmarkEnd w:id="204"/>
    </w:p>
    <w:p w14:paraId="2E315389">
      <w:pPr>
        <w:spacing w:before="120" w:after="50" w:line="360" w:lineRule="exact"/>
        <w:rPr>
          <w:bCs/>
          <w:color w:val="auto"/>
          <w:sz w:val="24"/>
          <w:highlight w:val="none"/>
        </w:rPr>
      </w:pPr>
    </w:p>
    <w:p w14:paraId="12E01E86">
      <w:pPr>
        <w:spacing w:before="120" w:after="50" w:line="360" w:lineRule="exact"/>
        <w:rPr>
          <w:bCs/>
          <w:color w:val="auto"/>
          <w:sz w:val="24"/>
          <w:highlight w:val="none"/>
        </w:rPr>
      </w:pPr>
    </w:p>
    <w:p w14:paraId="28CBDA36">
      <w:pPr>
        <w:spacing w:before="120" w:after="50" w:line="360" w:lineRule="exact"/>
        <w:rPr>
          <w:bCs/>
          <w:color w:val="auto"/>
          <w:sz w:val="24"/>
          <w:highlight w:val="none"/>
        </w:rPr>
      </w:pPr>
    </w:p>
    <w:p w14:paraId="21924A15">
      <w:pPr>
        <w:spacing w:before="120" w:after="50" w:line="360" w:lineRule="exact"/>
        <w:ind w:firstLine="720"/>
        <w:rPr>
          <w:bCs/>
          <w:color w:val="auto"/>
          <w:sz w:val="24"/>
          <w:highlight w:val="none"/>
        </w:rPr>
      </w:pPr>
      <w:r>
        <w:rPr>
          <w:bCs/>
          <w:color w:val="auto"/>
          <w:sz w:val="24"/>
          <w:highlight w:val="none"/>
        </w:rPr>
        <w:t xml:space="preserve">项目名称： </w:t>
      </w:r>
    </w:p>
    <w:p w14:paraId="36710AB6">
      <w:pPr>
        <w:spacing w:before="120" w:after="50" w:line="360" w:lineRule="exact"/>
        <w:ind w:firstLine="720"/>
        <w:rPr>
          <w:bCs/>
          <w:color w:val="auto"/>
          <w:sz w:val="24"/>
          <w:highlight w:val="none"/>
        </w:rPr>
      </w:pPr>
      <w:r>
        <w:rPr>
          <w:bCs/>
          <w:color w:val="auto"/>
          <w:sz w:val="24"/>
          <w:highlight w:val="none"/>
        </w:rPr>
        <w:t>项目编号：</w:t>
      </w:r>
    </w:p>
    <w:p w14:paraId="1E586885">
      <w:pPr>
        <w:spacing w:before="120" w:after="50" w:line="360" w:lineRule="exact"/>
        <w:ind w:firstLine="720"/>
        <w:rPr>
          <w:rFonts w:hint="eastAsia" w:eastAsia="宋体"/>
          <w:bCs/>
          <w:color w:val="auto"/>
          <w:sz w:val="24"/>
          <w:highlight w:val="none"/>
          <w:lang w:eastAsia="zh-CN"/>
        </w:rPr>
      </w:pPr>
      <w:r>
        <w:rPr>
          <w:bCs/>
          <w:color w:val="auto"/>
          <w:sz w:val="24"/>
          <w:highlight w:val="none"/>
        </w:rPr>
        <w:t>分标号：</w:t>
      </w:r>
      <w:r>
        <w:rPr>
          <w:rFonts w:hint="eastAsia"/>
          <w:bCs/>
          <w:color w:val="auto"/>
          <w:sz w:val="24"/>
          <w:highlight w:val="none"/>
          <w:lang w:val="en-US" w:eastAsia="zh-CN"/>
        </w:rPr>
        <w:t xml:space="preserve"> </w:t>
      </w:r>
    </w:p>
    <w:p w14:paraId="741C3EF4">
      <w:pPr>
        <w:spacing w:before="120" w:after="50" w:line="360" w:lineRule="exact"/>
        <w:ind w:firstLine="720"/>
        <w:rPr>
          <w:bCs/>
          <w:color w:val="auto"/>
          <w:sz w:val="24"/>
          <w:highlight w:val="none"/>
        </w:rPr>
      </w:pPr>
      <w:r>
        <w:rPr>
          <w:bCs/>
          <w:color w:val="auto"/>
          <w:sz w:val="24"/>
          <w:highlight w:val="none"/>
        </w:rPr>
        <w:t>供应商名称：</w:t>
      </w:r>
    </w:p>
    <w:p w14:paraId="6E626F23">
      <w:pPr>
        <w:spacing w:before="120" w:after="50" w:line="360" w:lineRule="exact"/>
        <w:ind w:firstLine="720"/>
        <w:rPr>
          <w:bCs/>
          <w:color w:val="auto"/>
          <w:sz w:val="24"/>
          <w:highlight w:val="none"/>
        </w:rPr>
      </w:pPr>
      <w:r>
        <w:rPr>
          <w:bCs/>
          <w:color w:val="auto"/>
          <w:sz w:val="24"/>
          <w:highlight w:val="none"/>
        </w:rPr>
        <w:t>供应商地址：</w:t>
      </w:r>
    </w:p>
    <w:p w14:paraId="3DE0A2A9">
      <w:pPr>
        <w:pStyle w:val="7"/>
        <w:spacing w:before="50" w:after="50" w:line="360" w:lineRule="exact"/>
        <w:ind w:firstLine="960"/>
        <w:rPr>
          <w:bCs/>
          <w:color w:val="auto"/>
          <w:sz w:val="24"/>
          <w:szCs w:val="24"/>
          <w:highlight w:val="none"/>
        </w:rPr>
      </w:pPr>
    </w:p>
    <w:p w14:paraId="187295F1">
      <w:pPr>
        <w:spacing w:before="120" w:after="50" w:line="360" w:lineRule="exact"/>
        <w:jc w:val="center"/>
        <w:rPr>
          <w:color w:val="auto"/>
          <w:sz w:val="24"/>
          <w:highlight w:val="none"/>
        </w:rPr>
      </w:pPr>
      <w:r>
        <w:rPr>
          <w:color w:val="auto"/>
          <w:sz w:val="24"/>
          <w:highlight w:val="none"/>
        </w:rPr>
        <w:t xml:space="preserve">                        年  月  日</w:t>
      </w:r>
    </w:p>
    <w:p w14:paraId="3BB9A883">
      <w:pPr>
        <w:rPr>
          <w:color w:val="auto"/>
          <w:highlight w:val="none"/>
        </w:rPr>
      </w:pPr>
      <w:bookmarkStart w:id="205" w:name="_Toc254970557"/>
      <w:bookmarkStart w:id="206" w:name="_Toc254970698"/>
      <w:r>
        <w:rPr>
          <w:color w:val="auto"/>
          <w:highlight w:val="none"/>
        </w:rPr>
        <w:br w:type="page" w:clear="all"/>
      </w:r>
      <w:bookmarkEnd w:id="205"/>
      <w:bookmarkEnd w:id="206"/>
      <w:r>
        <w:rPr>
          <w:b/>
          <w:bCs/>
          <w:color w:val="auto"/>
          <w:highlight w:val="none"/>
        </w:rPr>
        <w:t xml:space="preserve"> </w:t>
      </w:r>
    </w:p>
    <w:p w14:paraId="0399297C">
      <w:pPr>
        <w:spacing w:before="50" w:after="50" w:line="440" w:lineRule="exact"/>
        <w:ind w:firstLine="138"/>
        <w:jc w:val="center"/>
        <w:rPr>
          <w:b/>
          <w:color w:val="auto"/>
          <w:sz w:val="28"/>
          <w:szCs w:val="28"/>
          <w:highlight w:val="none"/>
        </w:rPr>
      </w:pPr>
      <w:r>
        <w:rPr>
          <w:b/>
          <w:color w:val="auto"/>
          <w:sz w:val="28"/>
          <w:szCs w:val="28"/>
          <w:highlight w:val="none"/>
        </w:rPr>
        <w:t>目录</w:t>
      </w:r>
    </w:p>
    <w:p w14:paraId="1849E41F">
      <w:pPr>
        <w:spacing w:before="50" w:after="50" w:line="440" w:lineRule="exact"/>
        <w:ind w:firstLine="118"/>
        <w:jc w:val="center"/>
        <w:rPr>
          <w:b/>
          <w:color w:val="auto"/>
          <w:sz w:val="24"/>
          <w:highlight w:val="none"/>
        </w:rPr>
      </w:pPr>
      <w:r>
        <w:rPr>
          <w:b/>
          <w:color w:val="auto"/>
          <w:sz w:val="24"/>
          <w:highlight w:val="none"/>
        </w:rPr>
        <w:t>（应有页码）</w:t>
      </w:r>
    </w:p>
    <w:p w14:paraId="60024682">
      <w:pPr>
        <w:spacing w:before="50" w:after="50" w:line="440" w:lineRule="exact"/>
        <w:ind w:firstLine="118"/>
        <w:jc w:val="center"/>
        <w:rPr>
          <w:b/>
          <w:color w:val="auto"/>
          <w:sz w:val="24"/>
          <w:highlight w:val="none"/>
        </w:rPr>
      </w:pPr>
      <w:r>
        <w:rPr>
          <w:b/>
          <w:color w:val="auto"/>
          <w:sz w:val="24"/>
          <w:highlight w:val="none"/>
        </w:rPr>
        <w:br w:type="page" w:clear="all"/>
      </w:r>
    </w:p>
    <w:p w14:paraId="684E8539">
      <w:pPr>
        <w:widowControl/>
        <w:jc w:val="left"/>
        <w:rPr>
          <w:color w:val="auto"/>
          <w:highlight w:val="none"/>
        </w:rPr>
      </w:pPr>
      <w:bookmarkStart w:id="207" w:name="_Hlk19114217"/>
      <w:r>
        <w:rPr>
          <w:b/>
          <w:color w:val="auto"/>
          <w:szCs w:val="21"/>
          <w:highlight w:val="none"/>
        </w:rPr>
        <w:t>1．</w:t>
      </w:r>
      <w:r>
        <w:rPr>
          <w:rFonts w:hint="eastAsia"/>
          <w:b/>
          <w:color w:val="auto"/>
          <w:szCs w:val="21"/>
          <w:highlight w:val="none"/>
        </w:rPr>
        <w:t xml:space="preserve">北海市政府采购供应商信用承诺函 </w:t>
      </w:r>
    </w:p>
    <w:p w14:paraId="49F3AC08">
      <w:pPr>
        <w:widowControl/>
        <w:jc w:val="center"/>
        <w:rPr>
          <w:rFonts w:ascii="宋体" w:hAnsi="宋体" w:cs="宋体"/>
          <w:b/>
          <w:bCs/>
          <w:color w:val="auto"/>
          <w:sz w:val="28"/>
          <w:szCs w:val="28"/>
          <w:highlight w:val="none"/>
          <w:lang w:bidi="ar"/>
        </w:rPr>
      </w:pPr>
    </w:p>
    <w:p w14:paraId="491DD188">
      <w:pPr>
        <w:widowControl/>
        <w:jc w:val="center"/>
        <w:rPr>
          <w:color w:val="auto"/>
          <w:highlight w:val="none"/>
        </w:rPr>
      </w:pPr>
      <w:r>
        <w:rPr>
          <w:rFonts w:hint="eastAsia" w:ascii="宋体" w:hAnsi="宋体" w:cs="宋体"/>
          <w:b/>
          <w:bCs/>
          <w:color w:val="auto"/>
          <w:sz w:val="28"/>
          <w:szCs w:val="28"/>
          <w:highlight w:val="none"/>
          <w:lang w:bidi="ar"/>
        </w:rPr>
        <w:t>北海市政府采购供应商信用承诺函（格式）</w:t>
      </w:r>
    </w:p>
    <w:p w14:paraId="7E888519">
      <w:pPr>
        <w:spacing w:before="120" w:line="360" w:lineRule="exact"/>
        <w:rPr>
          <w:color w:val="auto"/>
          <w:szCs w:val="21"/>
          <w:highlight w:val="none"/>
        </w:rPr>
      </w:pPr>
      <w:r>
        <w:rPr>
          <w:rFonts w:hint="eastAsia"/>
          <w:color w:val="auto"/>
          <w:szCs w:val="21"/>
          <w:highlight w:val="none"/>
        </w:rPr>
        <w:t>致</w:t>
      </w:r>
      <w:r>
        <w:rPr>
          <w:rFonts w:hint="eastAsia"/>
          <w:color w:val="auto"/>
          <w:szCs w:val="21"/>
          <w:highlight w:val="none"/>
          <w:u w:val="single"/>
        </w:rPr>
        <w:t xml:space="preserve">（采购人或采购代理机构）： </w:t>
      </w:r>
    </w:p>
    <w:p w14:paraId="37A746B1">
      <w:pPr>
        <w:spacing w:before="120" w:line="360" w:lineRule="exact"/>
        <w:ind w:firstLine="420"/>
        <w:rPr>
          <w:color w:val="auto"/>
          <w:szCs w:val="21"/>
          <w:highlight w:val="none"/>
        </w:rPr>
      </w:pPr>
      <w:r>
        <w:rPr>
          <w:rFonts w:hint="eastAsia"/>
          <w:color w:val="auto"/>
          <w:szCs w:val="21"/>
          <w:highlight w:val="none"/>
        </w:rPr>
        <w:t>供应商名称：</w:t>
      </w:r>
      <w:r>
        <w:rPr>
          <w:rFonts w:hint="eastAsia"/>
          <w:i/>
          <w:iCs/>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rPr>
        <w:t xml:space="preserve">            </w:t>
      </w:r>
    </w:p>
    <w:p w14:paraId="2D431C40">
      <w:pPr>
        <w:spacing w:before="120" w:line="360" w:lineRule="exact"/>
        <w:ind w:firstLine="420"/>
        <w:rPr>
          <w:color w:val="auto"/>
          <w:szCs w:val="21"/>
          <w:highlight w:val="none"/>
        </w:rPr>
      </w:pPr>
      <w:r>
        <w:rPr>
          <w:rFonts w:hint="eastAsia"/>
          <w:color w:val="auto"/>
          <w:szCs w:val="21"/>
          <w:highlight w:val="none"/>
        </w:rPr>
        <w:t xml:space="preserve">统一社会信用代码：            </w:t>
      </w:r>
    </w:p>
    <w:p w14:paraId="46103E01">
      <w:pPr>
        <w:spacing w:before="120" w:line="360" w:lineRule="exact"/>
        <w:ind w:firstLine="420"/>
        <w:rPr>
          <w:color w:val="auto"/>
          <w:szCs w:val="21"/>
          <w:highlight w:val="none"/>
        </w:rPr>
      </w:pPr>
      <w:r>
        <w:rPr>
          <w:rFonts w:hint="eastAsia"/>
          <w:color w:val="auto"/>
          <w:szCs w:val="21"/>
          <w:highlight w:val="none"/>
        </w:rPr>
        <w:t xml:space="preserve">供应商地址：              </w:t>
      </w:r>
    </w:p>
    <w:p w14:paraId="6DCE3AD6">
      <w:pPr>
        <w:spacing w:before="120" w:line="360" w:lineRule="exact"/>
        <w:ind w:firstLine="420"/>
        <w:rPr>
          <w:color w:val="auto"/>
          <w:szCs w:val="21"/>
          <w:highlight w:val="none"/>
        </w:rPr>
      </w:pPr>
      <w:r>
        <w:rPr>
          <w:rFonts w:hint="eastAsia"/>
          <w:color w:val="auto"/>
          <w:szCs w:val="21"/>
          <w:highlight w:val="none"/>
        </w:rPr>
        <w:t xml:space="preserve">我单位自愿参加本次政府采购活动，严格遵守《中华人民共和国政府采购法》及相关法律法规， </w:t>
      </w:r>
    </w:p>
    <w:p w14:paraId="4A32D348">
      <w:pPr>
        <w:spacing w:before="120" w:line="360" w:lineRule="exact"/>
        <w:rPr>
          <w:color w:val="auto"/>
          <w:szCs w:val="21"/>
          <w:highlight w:val="none"/>
        </w:rPr>
      </w:pPr>
      <w:r>
        <w:rPr>
          <w:rFonts w:hint="eastAsia"/>
          <w:color w:val="auto"/>
          <w:szCs w:val="21"/>
          <w:highlight w:val="none"/>
        </w:rPr>
        <w:t xml:space="preserve">依法诚信经营，无条件遵守本次政府采购活动的各项规定。我单位郑重承诺，本单位符合《中华人 </w:t>
      </w:r>
    </w:p>
    <w:p w14:paraId="1FA27809">
      <w:pPr>
        <w:spacing w:before="120" w:line="360" w:lineRule="exact"/>
        <w:rPr>
          <w:color w:val="auto"/>
          <w:szCs w:val="21"/>
          <w:highlight w:val="none"/>
        </w:rPr>
      </w:pPr>
      <w:r>
        <w:rPr>
          <w:rFonts w:hint="eastAsia"/>
          <w:color w:val="auto"/>
          <w:szCs w:val="21"/>
          <w:highlight w:val="none"/>
        </w:rPr>
        <w:t xml:space="preserve">民共和国政府采购法》第二十二条规定的条件： </w:t>
      </w:r>
    </w:p>
    <w:p w14:paraId="559143CD">
      <w:pPr>
        <w:spacing w:before="120" w:line="360" w:lineRule="exact"/>
        <w:ind w:firstLine="420"/>
        <w:rPr>
          <w:color w:val="auto"/>
          <w:szCs w:val="21"/>
          <w:highlight w:val="none"/>
        </w:rPr>
      </w:pPr>
      <w:r>
        <w:rPr>
          <w:rFonts w:hint="eastAsia"/>
          <w:color w:val="auto"/>
          <w:szCs w:val="21"/>
          <w:highlight w:val="none"/>
        </w:rPr>
        <w:t>1.我单位具有符合</w:t>
      </w:r>
      <w:r>
        <w:rPr>
          <w:rFonts w:hint="eastAsia"/>
          <w:color w:val="auto"/>
          <w:szCs w:val="21"/>
          <w:highlight w:val="none"/>
          <w:lang w:eastAsia="zh-CN"/>
        </w:rPr>
        <w:t>招标文件</w:t>
      </w:r>
      <w:r>
        <w:rPr>
          <w:rFonts w:hint="eastAsia"/>
          <w:color w:val="auto"/>
          <w:szCs w:val="21"/>
          <w:highlight w:val="none"/>
        </w:rPr>
        <w:t xml:space="preserve">资格要求独立承担民事责任的能力。 </w:t>
      </w:r>
    </w:p>
    <w:p w14:paraId="6DCBFCEF">
      <w:pPr>
        <w:spacing w:before="120" w:line="360" w:lineRule="exact"/>
        <w:ind w:firstLine="420"/>
        <w:rPr>
          <w:color w:val="auto"/>
          <w:szCs w:val="21"/>
          <w:highlight w:val="none"/>
        </w:rPr>
      </w:pPr>
      <w:r>
        <w:rPr>
          <w:rFonts w:hint="eastAsia"/>
          <w:color w:val="auto"/>
          <w:szCs w:val="21"/>
          <w:highlight w:val="none"/>
        </w:rPr>
        <w:t>2.我单位具有符合</w:t>
      </w:r>
      <w:r>
        <w:rPr>
          <w:rFonts w:hint="eastAsia"/>
          <w:color w:val="auto"/>
          <w:szCs w:val="21"/>
          <w:highlight w:val="none"/>
          <w:lang w:eastAsia="zh-CN"/>
        </w:rPr>
        <w:t>招标文件</w:t>
      </w:r>
      <w:r>
        <w:rPr>
          <w:rFonts w:hint="eastAsia"/>
          <w:color w:val="auto"/>
          <w:szCs w:val="21"/>
          <w:highlight w:val="none"/>
        </w:rPr>
        <w:t xml:space="preserve">资格要求的财务状况报告。 </w:t>
      </w:r>
    </w:p>
    <w:p w14:paraId="0B44EE38">
      <w:pPr>
        <w:spacing w:before="120" w:line="360" w:lineRule="exact"/>
        <w:ind w:firstLine="420"/>
        <w:rPr>
          <w:color w:val="auto"/>
          <w:szCs w:val="21"/>
          <w:highlight w:val="none"/>
        </w:rPr>
      </w:pPr>
      <w:r>
        <w:rPr>
          <w:rFonts w:hint="eastAsia"/>
          <w:color w:val="auto"/>
          <w:szCs w:val="21"/>
          <w:highlight w:val="none"/>
        </w:rPr>
        <w:t>3.我单位具有符合</w:t>
      </w:r>
      <w:r>
        <w:rPr>
          <w:rFonts w:hint="eastAsia"/>
          <w:color w:val="auto"/>
          <w:szCs w:val="21"/>
          <w:highlight w:val="none"/>
          <w:lang w:eastAsia="zh-CN"/>
        </w:rPr>
        <w:t>招标文件</w:t>
      </w:r>
      <w:r>
        <w:rPr>
          <w:rFonts w:hint="eastAsia"/>
          <w:color w:val="auto"/>
          <w:szCs w:val="21"/>
          <w:highlight w:val="none"/>
        </w:rPr>
        <w:t xml:space="preserve">资格要求的依法缴纳税收和社会保障记录的良好记录。 </w:t>
      </w:r>
    </w:p>
    <w:p w14:paraId="5F03C332">
      <w:pPr>
        <w:spacing w:before="120" w:line="360" w:lineRule="exact"/>
        <w:ind w:firstLine="420"/>
        <w:rPr>
          <w:color w:val="auto"/>
          <w:szCs w:val="21"/>
          <w:highlight w:val="none"/>
        </w:rPr>
      </w:pPr>
      <w:r>
        <w:rPr>
          <w:rFonts w:hint="eastAsia"/>
          <w:color w:val="auto"/>
          <w:szCs w:val="21"/>
          <w:highlight w:val="none"/>
        </w:rPr>
        <w:t>4.我单位具有符合</w:t>
      </w:r>
      <w:r>
        <w:rPr>
          <w:rFonts w:hint="eastAsia"/>
          <w:color w:val="auto"/>
          <w:szCs w:val="21"/>
          <w:highlight w:val="none"/>
          <w:lang w:eastAsia="zh-CN"/>
        </w:rPr>
        <w:t>招标文件</w:t>
      </w:r>
      <w:r>
        <w:rPr>
          <w:rFonts w:hint="eastAsia"/>
          <w:color w:val="auto"/>
          <w:szCs w:val="21"/>
          <w:highlight w:val="none"/>
        </w:rPr>
        <w:t xml:space="preserve">资格要求履行合同所必需的设备和专业技术能力。 </w:t>
      </w:r>
    </w:p>
    <w:p w14:paraId="576288B1">
      <w:pPr>
        <w:spacing w:before="120" w:line="360" w:lineRule="exact"/>
        <w:ind w:firstLine="420"/>
        <w:rPr>
          <w:color w:val="auto"/>
          <w:szCs w:val="21"/>
          <w:highlight w:val="none"/>
        </w:rPr>
      </w:pPr>
      <w:r>
        <w:rPr>
          <w:rFonts w:hint="eastAsia"/>
          <w:color w:val="auto"/>
          <w:szCs w:val="21"/>
          <w:highlight w:val="none"/>
        </w:rPr>
        <w:t xml:space="preserve">5.参加政府采购活动前三年内，在经营活动中没有重大违法记录。 </w:t>
      </w:r>
    </w:p>
    <w:p w14:paraId="15DA6C60">
      <w:pPr>
        <w:spacing w:before="120" w:line="360" w:lineRule="exact"/>
        <w:ind w:firstLine="420"/>
        <w:rPr>
          <w:color w:val="auto"/>
          <w:szCs w:val="21"/>
          <w:highlight w:val="none"/>
        </w:rPr>
      </w:pPr>
      <w:r>
        <w:rPr>
          <w:rFonts w:hint="eastAsia"/>
          <w:color w:val="auto"/>
          <w:szCs w:val="21"/>
          <w:highlight w:val="none"/>
        </w:rPr>
        <w:t xml:space="preserve">若我单位承诺不实 ，自愿承担提供虚假材料谋取中标、成交的法律责任。 </w:t>
      </w:r>
    </w:p>
    <w:p w14:paraId="17DB0887">
      <w:pPr>
        <w:spacing w:before="120" w:line="360" w:lineRule="exact"/>
        <w:ind w:firstLine="4830"/>
        <w:rPr>
          <w:color w:val="auto"/>
          <w:szCs w:val="21"/>
          <w:highlight w:val="none"/>
        </w:rPr>
      </w:pPr>
      <w:r>
        <w:rPr>
          <w:rFonts w:hint="eastAsia"/>
          <w:color w:val="auto"/>
          <w:szCs w:val="21"/>
          <w:highlight w:val="none"/>
        </w:rPr>
        <w:t xml:space="preserve">供应商名称（电子签章）： </w:t>
      </w:r>
    </w:p>
    <w:p w14:paraId="0D4407DF">
      <w:pPr>
        <w:spacing w:before="120" w:line="360" w:lineRule="exact"/>
        <w:ind w:firstLine="3990"/>
        <w:rPr>
          <w:color w:val="auto"/>
          <w:szCs w:val="21"/>
          <w:highlight w:val="none"/>
        </w:rPr>
      </w:pPr>
      <w:r>
        <w:rPr>
          <w:rFonts w:hint="eastAsia"/>
          <w:color w:val="auto"/>
          <w:szCs w:val="21"/>
          <w:highlight w:val="none"/>
        </w:rPr>
        <w:t xml:space="preserve">法定代表人或授权代表 (签名)： </w:t>
      </w:r>
    </w:p>
    <w:p w14:paraId="4BB048A8">
      <w:pPr>
        <w:spacing w:before="120" w:line="360" w:lineRule="exact"/>
        <w:ind w:firstLine="4830"/>
        <w:rPr>
          <w:color w:val="auto"/>
          <w:szCs w:val="21"/>
          <w:highlight w:val="none"/>
        </w:rPr>
      </w:pPr>
      <w:r>
        <w:rPr>
          <w:rFonts w:hint="eastAsia"/>
          <w:color w:val="auto"/>
          <w:szCs w:val="21"/>
          <w:highlight w:val="none"/>
        </w:rPr>
        <w:t xml:space="preserve">日 期： 年 月 日 </w:t>
      </w:r>
    </w:p>
    <w:p w14:paraId="11D2BA85">
      <w:pPr>
        <w:spacing w:before="120" w:line="360" w:lineRule="exact"/>
        <w:ind w:firstLine="420"/>
        <w:rPr>
          <w:color w:val="auto"/>
          <w:szCs w:val="21"/>
          <w:highlight w:val="none"/>
        </w:rPr>
      </w:pPr>
      <w:r>
        <w:rPr>
          <w:rFonts w:hint="eastAsia"/>
          <w:color w:val="auto"/>
          <w:szCs w:val="21"/>
          <w:highlight w:val="none"/>
        </w:rPr>
        <w:t xml:space="preserve">注：1. 供应商须在投标（响应）文件中按此模板提供承诺函 ，未提供视为未实质性响应招标 （采购）文件要求 ，按无效投标（响应）处理。 </w:t>
      </w:r>
    </w:p>
    <w:p w14:paraId="44B245F1">
      <w:pPr>
        <w:spacing w:before="120" w:line="360" w:lineRule="exact"/>
        <w:ind w:firstLine="420"/>
        <w:rPr>
          <w:color w:val="auto"/>
          <w:szCs w:val="21"/>
          <w:highlight w:val="none"/>
        </w:rPr>
      </w:pPr>
      <w:r>
        <w:rPr>
          <w:rFonts w:hint="eastAsia"/>
          <w:color w:val="auto"/>
          <w:szCs w:val="21"/>
          <w:highlight w:val="none"/>
        </w:rPr>
        <w:t xml:space="preserve">2.供应商的法定代表人（其他组织的为负责人）或者授权代表的签名或盖章应真实、有效，如 </w:t>
      </w:r>
    </w:p>
    <w:p w14:paraId="5CF44B2F">
      <w:pPr>
        <w:spacing w:before="120" w:line="360" w:lineRule="exact"/>
        <w:ind w:firstLine="420"/>
        <w:rPr>
          <w:color w:val="auto"/>
          <w:szCs w:val="21"/>
          <w:highlight w:val="none"/>
        </w:rPr>
      </w:pPr>
      <w:r>
        <w:rPr>
          <w:rFonts w:hint="eastAsia"/>
          <w:color w:val="auto"/>
          <w:szCs w:val="21"/>
          <w:highlight w:val="none"/>
        </w:rPr>
        <w:t>授权代表签名或盖章的，应提供“法定代表人授权书”。</w:t>
      </w:r>
    </w:p>
    <w:p w14:paraId="53CEDE69">
      <w:pPr>
        <w:spacing w:before="50" w:after="50" w:line="440" w:lineRule="exact"/>
        <w:jc w:val="left"/>
        <w:rPr>
          <w:b/>
          <w:color w:val="auto"/>
          <w:szCs w:val="21"/>
          <w:highlight w:val="none"/>
        </w:rPr>
      </w:pPr>
    </w:p>
    <w:p w14:paraId="5D8EB48F">
      <w:pPr>
        <w:spacing w:before="50" w:after="50" w:line="440" w:lineRule="exact"/>
        <w:jc w:val="left"/>
        <w:rPr>
          <w:b/>
          <w:color w:val="auto"/>
          <w:szCs w:val="21"/>
          <w:highlight w:val="none"/>
        </w:rPr>
      </w:pPr>
    </w:p>
    <w:p w14:paraId="705AF886">
      <w:pPr>
        <w:spacing w:before="50" w:after="50" w:line="440" w:lineRule="exact"/>
        <w:jc w:val="left"/>
        <w:rPr>
          <w:b/>
          <w:color w:val="auto"/>
          <w:szCs w:val="21"/>
          <w:highlight w:val="none"/>
        </w:rPr>
      </w:pPr>
    </w:p>
    <w:p w14:paraId="2081710C">
      <w:pPr>
        <w:spacing w:before="50" w:after="50" w:line="440" w:lineRule="exact"/>
        <w:jc w:val="left"/>
        <w:rPr>
          <w:b/>
          <w:color w:val="auto"/>
          <w:szCs w:val="21"/>
          <w:highlight w:val="none"/>
        </w:rPr>
      </w:pPr>
    </w:p>
    <w:p w14:paraId="5509AD4B">
      <w:pPr>
        <w:spacing w:before="50" w:after="50" w:line="440" w:lineRule="exact"/>
        <w:jc w:val="left"/>
        <w:rPr>
          <w:b/>
          <w:color w:val="auto"/>
          <w:szCs w:val="21"/>
          <w:highlight w:val="none"/>
        </w:rPr>
      </w:pPr>
    </w:p>
    <w:p w14:paraId="34D51B0E">
      <w:pPr>
        <w:spacing w:before="50" w:after="50" w:line="440" w:lineRule="exact"/>
        <w:jc w:val="left"/>
        <w:rPr>
          <w:b/>
          <w:color w:val="auto"/>
          <w:szCs w:val="21"/>
          <w:highlight w:val="none"/>
        </w:rPr>
      </w:pPr>
    </w:p>
    <w:p w14:paraId="7D6FD3EA">
      <w:pPr>
        <w:spacing w:before="50" w:after="50" w:line="440" w:lineRule="exact"/>
        <w:jc w:val="left"/>
        <w:rPr>
          <w:b/>
          <w:color w:val="auto"/>
          <w:szCs w:val="21"/>
          <w:highlight w:val="none"/>
        </w:rPr>
      </w:pPr>
    </w:p>
    <w:p w14:paraId="3EED722E">
      <w:pPr>
        <w:spacing w:before="50" w:after="50" w:line="440" w:lineRule="exact"/>
        <w:jc w:val="left"/>
        <w:rPr>
          <w:b/>
          <w:color w:val="auto"/>
          <w:szCs w:val="21"/>
          <w:highlight w:val="none"/>
        </w:rPr>
      </w:pPr>
      <w:r>
        <w:rPr>
          <w:rFonts w:hint="eastAsia"/>
          <w:b/>
          <w:color w:val="auto"/>
          <w:szCs w:val="21"/>
          <w:highlight w:val="none"/>
        </w:rPr>
        <w:t>2.</w:t>
      </w:r>
      <w:r>
        <w:rPr>
          <w:b/>
          <w:color w:val="auto"/>
          <w:szCs w:val="21"/>
          <w:highlight w:val="none"/>
        </w:rPr>
        <w:t>投标声明书格式：</w:t>
      </w:r>
    </w:p>
    <w:p w14:paraId="1A8A8638">
      <w:pPr>
        <w:spacing w:before="120" w:after="50" w:line="360" w:lineRule="exact"/>
        <w:jc w:val="center"/>
        <w:rPr>
          <w:b/>
          <w:color w:val="auto"/>
          <w:szCs w:val="21"/>
          <w:highlight w:val="none"/>
        </w:rPr>
      </w:pPr>
    </w:p>
    <w:p w14:paraId="3E49716F">
      <w:pPr>
        <w:spacing w:before="120" w:after="50" w:line="360" w:lineRule="exact"/>
        <w:jc w:val="center"/>
        <w:rPr>
          <w:b/>
          <w:color w:val="auto"/>
          <w:szCs w:val="21"/>
          <w:highlight w:val="none"/>
        </w:rPr>
      </w:pPr>
      <w:r>
        <w:rPr>
          <w:b/>
          <w:color w:val="auto"/>
          <w:szCs w:val="21"/>
          <w:highlight w:val="none"/>
        </w:rPr>
        <w:t>投标声明书</w:t>
      </w:r>
    </w:p>
    <w:p w14:paraId="73E12008">
      <w:pPr>
        <w:spacing w:before="120" w:after="50" w:line="360" w:lineRule="exact"/>
        <w:jc w:val="center"/>
        <w:rPr>
          <w:color w:val="auto"/>
          <w:szCs w:val="21"/>
          <w:highlight w:val="none"/>
        </w:rPr>
      </w:pPr>
    </w:p>
    <w:p w14:paraId="54B17809">
      <w:pPr>
        <w:spacing w:before="120" w:after="50" w:line="360" w:lineRule="exact"/>
        <w:rPr>
          <w:color w:val="auto"/>
          <w:szCs w:val="21"/>
          <w:highlight w:val="none"/>
        </w:rPr>
      </w:pPr>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5C3D5397">
      <w:pPr>
        <w:spacing w:before="120" w:after="50" w:line="360" w:lineRule="exact"/>
        <w:ind w:firstLine="63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color w:val="auto"/>
          <w:szCs w:val="21"/>
          <w:highlight w:val="none"/>
          <w:u w:val="single"/>
        </w:rPr>
        <w:t xml:space="preserve"> </w:t>
      </w:r>
      <w:r>
        <w:rPr>
          <w:i/>
          <w:iCs/>
          <w:color w:val="auto"/>
          <w:szCs w:val="21"/>
          <w:highlight w:val="none"/>
          <w:u w:val="single"/>
        </w:rPr>
        <w:t xml:space="preserve"> </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 xml:space="preserve">） </w:t>
      </w:r>
      <w:r>
        <w:rPr>
          <w:i/>
          <w:iCs/>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67273DB2">
      <w:pPr>
        <w:spacing w:before="12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rFonts w:hint="eastAsia"/>
          <w:i/>
          <w:iCs/>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color w:val="auto"/>
          <w:szCs w:val="21"/>
          <w:highlight w:val="none"/>
        </w:rPr>
        <w:t xml:space="preserve"> </w:t>
      </w:r>
      <w:r>
        <w:rPr>
          <w:rFonts w:hint="eastAsia"/>
          <w:i/>
          <w:iCs/>
          <w:color w:val="auto"/>
          <w:szCs w:val="21"/>
          <w:highlight w:val="none"/>
          <w:u w:val="single"/>
        </w:rPr>
        <w:t xml:space="preserve">（项目名称） </w:t>
      </w:r>
      <w:r>
        <w:rPr>
          <w:color w:val="auto"/>
          <w:szCs w:val="21"/>
          <w:highlight w:val="none"/>
        </w:rPr>
        <w:t>项目的投标，为便于贵方公正、择优地确定</w:t>
      </w:r>
      <w:r>
        <w:rPr>
          <w:rFonts w:hint="eastAsia"/>
          <w:color w:val="auto"/>
          <w:szCs w:val="21"/>
          <w:highlight w:val="none"/>
        </w:rPr>
        <w:t>中标供应商</w:t>
      </w:r>
      <w:r>
        <w:rPr>
          <w:color w:val="auto"/>
          <w:szCs w:val="21"/>
          <w:highlight w:val="none"/>
        </w:rPr>
        <w:t>及其投标产品和服务，我方就本次投标有关事项郑重声明如下：</w:t>
      </w:r>
    </w:p>
    <w:p w14:paraId="3FEF9944">
      <w:pPr>
        <w:spacing w:before="120" w:line="360" w:lineRule="exact"/>
        <w:ind w:firstLine="420"/>
        <w:rPr>
          <w:color w:val="auto"/>
          <w:szCs w:val="21"/>
          <w:highlight w:val="none"/>
        </w:rPr>
      </w:pPr>
      <w:r>
        <w:rPr>
          <w:color w:val="auto"/>
          <w:szCs w:val="21"/>
          <w:highlight w:val="none"/>
        </w:rPr>
        <w:t>（1）我方向贵方提交的所有投标文件、资料都是准确的和真实的</w:t>
      </w:r>
      <w:r>
        <w:rPr>
          <w:rFonts w:hint="eastAsia"/>
          <w:color w:val="auto"/>
          <w:szCs w:val="21"/>
          <w:highlight w:val="none"/>
        </w:rPr>
        <w:t>。</w:t>
      </w:r>
      <w:r>
        <w:rPr>
          <w:color w:val="auto"/>
          <w:szCs w:val="21"/>
          <w:highlight w:val="none"/>
        </w:rPr>
        <w:t xml:space="preserve"> </w:t>
      </w:r>
    </w:p>
    <w:p w14:paraId="36033B45">
      <w:pPr>
        <w:spacing w:before="120" w:line="360" w:lineRule="exact"/>
        <w:ind w:firstLine="42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2A24A5A5">
      <w:pPr>
        <w:spacing w:before="120" w:line="360" w:lineRule="exact"/>
        <w:ind w:firstLine="420"/>
        <w:rPr>
          <w:color w:val="auto"/>
          <w:szCs w:val="21"/>
          <w:highlight w:val="none"/>
        </w:rPr>
      </w:pPr>
      <w:r>
        <w:rPr>
          <w:color w:val="auto"/>
          <w:szCs w:val="21"/>
          <w:highlight w:val="none"/>
        </w:rPr>
        <w:t>（3）我方承诺在参加本政府采购项目活动前，没有被纳入政府部门或银行认定的失信名单，我方具有良好的商业信誉。</w:t>
      </w:r>
    </w:p>
    <w:p w14:paraId="091A1B8E">
      <w:pPr>
        <w:spacing w:before="120" w:line="360" w:lineRule="exact"/>
        <w:ind w:firstLine="420"/>
        <w:rPr>
          <w:color w:val="auto"/>
          <w:szCs w:val="21"/>
          <w:highlight w:val="none"/>
        </w:rPr>
      </w:pPr>
      <w:r>
        <w:rPr>
          <w:color w:val="auto"/>
          <w:szCs w:val="21"/>
          <w:highlight w:val="none"/>
        </w:rPr>
        <w:t>（4）我方及本人承诺在参加本政府采购项目活动前三年内，在经营活动中没有重大违法记录。重大违法记录是指</w:t>
      </w:r>
      <w:r>
        <w:rPr>
          <w:rFonts w:hint="eastAsia"/>
          <w:color w:val="auto"/>
          <w:szCs w:val="21"/>
          <w:highlight w:val="none"/>
        </w:rPr>
        <w:t>供</w:t>
      </w:r>
      <w:r>
        <w:rPr>
          <w:color w:val="auto"/>
          <w:szCs w:val="21"/>
          <w:highlight w:val="none"/>
        </w:rPr>
        <w:t>应商因违法经营受到刑事处罚或者责令停产停业、吊销许可证或者执照、较大数额罚款等行政处罚。如我方提供的声明不实，则自愿承担《政府采购法》有关提供虚假材料的规定给予的处罚。</w:t>
      </w:r>
    </w:p>
    <w:p w14:paraId="4E029708">
      <w:pPr>
        <w:spacing w:before="120" w:line="360" w:lineRule="exact"/>
        <w:ind w:firstLine="420"/>
        <w:rPr>
          <w:color w:val="auto"/>
          <w:szCs w:val="21"/>
          <w:highlight w:val="none"/>
        </w:rPr>
      </w:pPr>
      <w:r>
        <w:rPr>
          <w:color w:val="auto"/>
          <w:szCs w:val="21"/>
          <w:highlight w:val="none"/>
        </w:rPr>
        <w:t>（5）我方承诺具有履行本项目合同所必需的设备和专业技术能力。</w:t>
      </w:r>
    </w:p>
    <w:p w14:paraId="041804FE">
      <w:pPr>
        <w:spacing w:before="120" w:line="360" w:lineRule="exact"/>
        <w:ind w:firstLine="42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，如我方提供的声明不实，则接受本次投标作为否决投标的处理，</w:t>
      </w:r>
      <w:r>
        <w:rPr>
          <w:color w:val="auto"/>
          <w:szCs w:val="21"/>
          <w:highlight w:val="none"/>
        </w:rPr>
        <w:t>并根据财库〔2016〕125号《财政部关于在政府采购活动中查询及使用信用记录有关问题的通知》规定接受失信联合惩戒。</w:t>
      </w:r>
    </w:p>
    <w:p w14:paraId="4ED50AD2">
      <w:pPr>
        <w:spacing w:before="120" w:line="360" w:lineRule="exact"/>
        <w:ind w:firstLine="420"/>
        <w:rPr>
          <w:color w:val="auto"/>
          <w:szCs w:val="21"/>
          <w:highlight w:val="none"/>
        </w:rPr>
      </w:pPr>
      <w:r>
        <w:rPr>
          <w:rFonts w:hint="eastAsia"/>
          <w:color w:val="auto"/>
          <w:szCs w:val="21"/>
          <w:highlight w:val="none"/>
        </w:rPr>
        <w:t>（7）我方承诺中标后按</w:t>
      </w:r>
      <w:r>
        <w:rPr>
          <w:color w:val="auto"/>
          <w:szCs w:val="21"/>
          <w:highlight w:val="none"/>
        </w:rPr>
        <w:t>规定缴纳代理服务费</w:t>
      </w:r>
      <w:r>
        <w:rPr>
          <w:rFonts w:hint="eastAsia"/>
          <w:color w:val="auto"/>
          <w:szCs w:val="21"/>
          <w:highlight w:val="none"/>
        </w:rPr>
        <w:t>。如未按时缴纳，</w:t>
      </w:r>
      <w:r>
        <w:rPr>
          <w:color w:val="auto"/>
          <w:szCs w:val="21"/>
          <w:highlight w:val="none"/>
        </w:rPr>
        <w:t>贵方可</w:t>
      </w:r>
      <w:r>
        <w:rPr>
          <w:rFonts w:hint="eastAsia"/>
          <w:color w:val="auto"/>
          <w:szCs w:val="21"/>
          <w:highlight w:val="none"/>
        </w:rPr>
        <w:t>不退还</w:t>
      </w:r>
      <w:r>
        <w:rPr>
          <w:color w:val="auto"/>
          <w:szCs w:val="21"/>
          <w:highlight w:val="none"/>
        </w:rPr>
        <w:t>我</w:t>
      </w:r>
      <w:r>
        <w:rPr>
          <w:rFonts w:hint="eastAsia"/>
          <w:color w:val="auto"/>
          <w:szCs w:val="21"/>
          <w:highlight w:val="none"/>
        </w:rPr>
        <w:t>方</w:t>
      </w:r>
      <w:r>
        <w:rPr>
          <w:color w:val="auto"/>
          <w:szCs w:val="21"/>
          <w:highlight w:val="none"/>
        </w:rPr>
        <w:t>提交的投标保证金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p>
    <w:p w14:paraId="3F0F4E28">
      <w:pPr>
        <w:spacing w:before="120" w:line="360" w:lineRule="exact"/>
        <w:ind w:firstLine="42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bookmarkEnd w:id="207"/>
    <w:p w14:paraId="4F66E751">
      <w:pPr>
        <w:spacing w:before="120" w:line="360" w:lineRule="exact"/>
        <w:ind w:firstLine="420"/>
        <w:rPr>
          <w:color w:val="auto"/>
          <w:szCs w:val="21"/>
          <w:highlight w:val="none"/>
        </w:rPr>
      </w:pPr>
    </w:p>
    <w:p w14:paraId="3C12B9D6">
      <w:pPr>
        <w:spacing w:before="120" w:line="360" w:lineRule="exact"/>
        <w:ind w:firstLine="420"/>
        <w:rPr>
          <w:color w:val="auto"/>
          <w:szCs w:val="21"/>
          <w:highlight w:val="none"/>
        </w:rPr>
      </w:pPr>
    </w:p>
    <w:p w14:paraId="3D8315E8">
      <w:pPr>
        <w:spacing w:before="120" w:line="360" w:lineRule="exact"/>
        <w:rPr>
          <w:color w:val="auto"/>
          <w:szCs w:val="21"/>
          <w:highlight w:val="none"/>
          <w:u w:val="single"/>
        </w:rPr>
      </w:pPr>
    </w:p>
    <w:p w14:paraId="5B72F65B">
      <w:pPr>
        <w:spacing w:before="120" w:after="50" w:line="360" w:lineRule="exact"/>
        <w:ind w:firstLine="6930"/>
        <w:rPr>
          <w:color w:val="auto"/>
          <w:szCs w:val="21"/>
          <w:highlight w:val="none"/>
        </w:rPr>
      </w:pPr>
      <w:bookmarkStart w:id="208" w:name="_Hlk88990289"/>
      <w:r>
        <w:rPr>
          <w:color w:val="auto"/>
          <w:szCs w:val="21"/>
          <w:highlight w:val="none"/>
        </w:rPr>
        <w:t>供应商</w:t>
      </w:r>
      <w:r>
        <w:rPr>
          <w:rFonts w:hint="eastAsia"/>
          <w:color w:val="auto"/>
          <w:szCs w:val="21"/>
          <w:highlight w:val="none"/>
        </w:rPr>
        <w:t>名称（电子签章）</w:t>
      </w:r>
      <w:bookmarkEnd w:id="208"/>
      <w:r>
        <w:rPr>
          <w:color w:val="auto"/>
          <w:szCs w:val="21"/>
          <w:highlight w:val="none"/>
        </w:rPr>
        <w:t>：</w:t>
      </w:r>
      <w:r>
        <w:rPr>
          <w:color w:val="auto"/>
          <w:szCs w:val="21"/>
          <w:highlight w:val="none"/>
          <w:u w:val="single"/>
        </w:rPr>
        <w:t xml:space="preserve">                </w:t>
      </w:r>
    </w:p>
    <w:p w14:paraId="5A37FE6D">
      <w:pPr>
        <w:spacing w:before="120" w:after="50" w:line="440" w:lineRule="exact"/>
        <w:rPr>
          <w:color w:val="auto"/>
          <w:highlight w:val="none"/>
        </w:rPr>
      </w:pPr>
      <w:r>
        <w:rPr>
          <w:color w:val="auto"/>
          <w:szCs w:val="21"/>
          <w:highlight w:val="none"/>
        </w:rPr>
        <w:t xml:space="preserve">                                                                        年    月    日</w:t>
      </w:r>
      <w:r>
        <w:rPr>
          <w:color w:val="auto"/>
          <w:szCs w:val="21"/>
          <w:highlight w:val="none"/>
        </w:rPr>
        <w:br w:type="page" w:clear="all"/>
      </w:r>
    </w:p>
    <w:p w14:paraId="28F31080">
      <w:pPr>
        <w:spacing w:before="50" w:after="120" w:line="440" w:lineRule="exact"/>
        <w:jc w:val="left"/>
        <w:rPr>
          <w:b/>
          <w:color w:val="auto"/>
          <w:szCs w:val="21"/>
          <w:highlight w:val="none"/>
        </w:rPr>
      </w:pPr>
      <w:bookmarkStart w:id="209" w:name="_Hlk19114283"/>
      <w:r>
        <w:rPr>
          <w:rFonts w:hint="eastAsia"/>
          <w:color w:val="auto"/>
          <w:szCs w:val="21"/>
          <w:highlight w:val="none"/>
        </w:rPr>
        <w:t>3</w:t>
      </w:r>
      <w:r>
        <w:rPr>
          <w:color w:val="auto"/>
          <w:szCs w:val="21"/>
          <w:highlight w:val="none"/>
        </w:rPr>
        <w:t>．法人或者其他组织的营业执照等证明文件、自然人的身份证明。即供应商是企业则提供营业执照（副本）</w:t>
      </w:r>
      <w:r>
        <w:rPr>
          <w:rFonts w:hint="eastAsia"/>
          <w:color w:val="auto"/>
          <w:szCs w:val="21"/>
          <w:highlight w:val="none"/>
        </w:rPr>
        <w:t>扫描件</w:t>
      </w:r>
      <w:r>
        <w:rPr>
          <w:color w:val="auto"/>
          <w:szCs w:val="21"/>
          <w:highlight w:val="none"/>
        </w:rPr>
        <w:t>；供应商是事业单位，则提供事业单位法人证书（副本）</w:t>
      </w:r>
      <w:r>
        <w:rPr>
          <w:rFonts w:hint="eastAsia"/>
          <w:color w:val="auto"/>
          <w:szCs w:val="21"/>
          <w:highlight w:val="none"/>
        </w:rPr>
        <w:t>扫描件</w:t>
      </w:r>
      <w:r>
        <w:rPr>
          <w:color w:val="auto"/>
          <w:szCs w:val="21"/>
          <w:highlight w:val="none"/>
        </w:rPr>
        <w:t>；供应商是非企业专业服务机构的，则提供执业许可证等证明文件</w:t>
      </w:r>
      <w:r>
        <w:rPr>
          <w:rFonts w:hint="eastAsia"/>
          <w:color w:val="auto"/>
          <w:szCs w:val="21"/>
          <w:highlight w:val="none"/>
        </w:rPr>
        <w:t>扫描件</w:t>
      </w:r>
      <w:r>
        <w:rPr>
          <w:color w:val="auto"/>
          <w:szCs w:val="21"/>
          <w:highlight w:val="none"/>
        </w:rPr>
        <w:t>；供应商是个体工商户，则提供个体工商户营业执照</w:t>
      </w:r>
      <w:r>
        <w:rPr>
          <w:rFonts w:hint="eastAsia"/>
          <w:color w:val="auto"/>
          <w:szCs w:val="21"/>
          <w:highlight w:val="none"/>
        </w:rPr>
        <w:t>扫描件</w:t>
      </w:r>
      <w:r>
        <w:rPr>
          <w:color w:val="auto"/>
          <w:szCs w:val="21"/>
          <w:highlight w:val="none"/>
        </w:rPr>
        <w:t>；供应商是自然人，则提供有效的自然人身份证明</w:t>
      </w:r>
      <w:r>
        <w:rPr>
          <w:rFonts w:hint="eastAsia"/>
          <w:color w:val="auto"/>
          <w:szCs w:val="21"/>
          <w:highlight w:val="none"/>
        </w:rPr>
        <w:t>扫描件</w:t>
      </w:r>
      <w:r>
        <w:rPr>
          <w:color w:val="auto"/>
          <w:szCs w:val="21"/>
          <w:highlight w:val="none"/>
        </w:rPr>
        <w:t>；如供应商不是以上所列的法人、组织、自然人的，则提供国家规定的相关证明材料。（加盖供应商</w:t>
      </w:r>
      <w:r>
        <w:rPr>
          <w:rFonts w:hint="eastAsia"/>
          <w:color w:val="auto"/>
          <w:szCs w:val="21"/>
          <w:highlight w:val="none"/>
        </w:rPr>
        <w:t>电子签章</w:t>
      </w:r>
      <w:r>
        <w:rPr>
          <w:color w:val="auto"/>
          <w:szCs w:val="21"/>
          <w:highlight w:val="none"/>
        </w:rPr>
        <w:t>）。</w:t>
      </w:r>
    </w:p>
    <w:p w14:paraId="35DDA172">
      <w:pPr>
        <w:widowControl/>
        <w:jc w:val="left"/>
        <w:rPr>
          <w:b/>
          <w:color w:val="auto"/>
          <w:szCs w:val="21"/>
          <w:highlight w:val="none"/>
        </w:rPr>
      </w:pPr>
    </w:p>
    <w:p w14:paraId="32D3A427">
      <w:pPr>
        <w:widowControl/>
        <w:jc w:val="left"/>
        <w:rPr>
          <w:b/>
          <w:color w:val="auto"/>
          <w:szCs w:val="21"/>
          <w:highlight w:val="none"/>
        </w:rPr>
      </w:pPr>
    </w:p>
    <w:p w14:paraId="61DE4410">
      <w:pPr>
        <w:widowControl/>
        <w:jc w:val="left"/>
        <w:rPr>
          <w:b/>
          <w:color w:val="auto"/>
          <w:szCs w:val="21"/>
          <w:highlight w:val="none"/>
        </w:rPr>
      </w:pPr>
      <w:r>
        <w:rPr>
          <w:rFonts w:hint="eastAsia"/>
          <w:color w:val="auto"/>
          <w:szCs w:val="21"/>
          <w:highlight w:val="none"/>
        </w:rPr>
        <w:t>4.</w:t>
      </w:r>
      <w:r>
        <w:rPr>
          <w:color w:val="auto"/>
          <w:szCs w:val="21"/>
          <w:highlight w:val="none"/>
        </w:rPr>
        <w:t>具备法律、行政法规规定的其他要求的证明材料</w:t>
      </w:r>
      <w:r>
        <w:rPr>
          <w:color w:val="auto"/>
          <w:highlight w:val="none"/>
        </w:rPr>
        <w:t>（</w:t>
      </w:r>
      <w:r>
        <w:rPr>
          <w:color w:val="auto"/>
          <w:szCs w:val="21"/>
          <w:highlight w:val="none"/>
        </w:rPr>
        <w:t>按“评审方法及标准” “资格审查表”规定提供</w:t>
      </w:r>
      <w:r>
        <w:rPr>
          <w:color w:val="auto"/>
          <w:highlight w:val="none"/>
        </w:rPr>
        <w:t>）。</w:t>
      </w:r>
      <w:bookmarkStart w:id="210" w:name="_Hlk48144477"/>
      <w:r>
        <w:rPr>
          <w:rFonts w:hint="eastAsia"/>
          <w:b/>
          <w:color w:val="auto"/>
          <w:szCs w:val="21"/>
          <w:highlight w:val="none"/>
        </w:rPr>
        <w:t>（如招标文件有要求时提供）</w:t>
      </w:r>
      <w:bookmarkEnd w:id="210"/>
    </w:p>
    <w:p w14:paraId="01484634">
      <w:pPr>
        <w:spacing w:before="50" w:after="120" w:line="440" w:lineRule="exact"/>
        <w:jc w:val="left"/>
        <w:rPr>
          <w:color w:val="auto"/>
          <w:highlight w:val="none"/>
        </w:rPr>
      </w:pPr>
    </w:p>
    <w:p w14:paraId="73BAE7C6">
      <w:pPr>
        <w:spacing w:before="50" w:after="120" w:line="440" w:lineRule="exact"/>
        <w:jc w:val="left"/>
        <w:rPr>
          <w:color w:val="auto"/>
          <w:highlight w:val="none"/>
        </w:rPr>
      </w:pPr>
    </w:p>
    <w:p w14:paraId="05C0B747">
      <w:pPr>
        <w:spacing w:before="50" w:after="120" w:line="440" w:lineRule="exact"/>
        <w:jc w:val="left"/>
        <w:rPr>
          <w:color w:val="auto"/>
          <w:highlight w:val="none"/>
        </w:rPr>
      </w:pPr>
      <w:r>
        <w:rPr>
          <w:rFonts w:hint="eastAsia"/>
          <w:color w:val="auto"/>
          <w:highlight w:val="none"/>
        </w:rPr>
        <w:t>5</w:t>
      </w:r>
      <w:r>
        <w:rPr>
          <w:color w:val="auto"/>
          <w:szCs w:val="21"/>
          <w:highlight w:val="none"/>
        </w:rPr>
        <w:t>．</w:t>
      </w:r>
      <w:r>
        <w:rPr>
          <w:rFonts w:hint="eastAsia"/>
          <w:color w:val="auto"/>
          <w:highlight w:val="none"/>
        </w:rPr>
        <w:t>落实政府采购政策需满足的资格要求</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（如招标文件有要求时提供）</w:t>
      </w:r>
    </w:p>
    <w:p w14:paraId="261542E7">
      <w:pPr>
        <w:widowControl/>
        <w:jc w:val="left"/>
        <w:rPr>
          <w:color w:val="auto"/>
          <w:highlight w:val="none"/>
        </w:rPr>
      </w:pPr>
    </w:p>
    <w:p w14:paraId="6DE62704">
      <w:pPr>
        <w:widowControl/>
        <w:jc w:val="left"/>
        <w:rPr>
          <w:color w:val="auto"/>
          <w:highlight w:val="none"/>
        </w:rPr>
      </w:pPr>
    </w:p>
    <w:p w14:paraId="6A783B48">
      <w:pPr>
        <w:widowControl/>
        <w:jc w:val="left"/>
        <w:rPr>
          <w:color w:val="auto"/>
          <w:highlight w:val="none"/>
        </w:rPr>
      </w:pPr>
    </w:p>
    <w:p w14:paraId="6C27BCBB">
      <w:pPr>
        <w:widowControl/>
        <w:jc w:val="left"/>
        <w:rPr>
          <w:color w:val="auto"/>
          <w:highlight w:val="none"/>
        </w:rPr>
      </w:pPr>
    </w:p>
    <w:p w14:paraId="151986EE">
      <w:pPr>
        <w:widowControl/>
        <w:jc w:val="left"/>
        <w:rPr>
          <w:color w:val="auto"/>
          <w:highlight w:val="none"/>
        </w:rPr>
      </w:pPr>
    </w:p>
    <w:p w14:paraId="07864535">
      <w:pPr>
        <w:widowControl/>
        <w:jc w:val="left"/>
        <w:rPr>
          <w:color w:val="auto"/>
          <w:highlight w:val="none"/>
        </w:rPr>
      </w:pPr>
    </w:p>
    <w:p w14:paraId="3398F65D">
      <w:pPr>
        <w:widowControl/>
        <w:jc w:val="left"/>
        <w:rPr>
          <w:b/>
          <w:color w:val="auto"/>
          <w:szCs w:val="21"/>
          <w:highlight w:val="none"/>
        </w:rPr>
      </w:pPr>
      <w:r>
        <w:rPr>
          <w:rFonts w:hint="eastAsia"/>
          <w:color w:val="auto"/>
          <w:highlight w:val="none"/>
        </w:rPr>
        <w:t>6</w:t>
      </w:r>
      <w:r>
        <w:rPr>
          <w:color w:val="auto"/>
          <w:szCs w:val="21"/>
          <w:highlight w:val="none"/>
        </w:rPr>
        <w:t>．</w:t>
      </w:r>
      <w:r>
        <w:rPr>
          <w:color w:val="auto"/>
          <w:highlight w:val="none"/>
        </w:rPr>
        <w:t>满足供应商特定资格条件的其他证明材料</w:t>
      </w:r>
      <w:r>
        <w:rPr>
          <w:color w:val="auto"/>
          <w:szCs w:val="21"/>
          <w:highlight w:val="none"/>
        </w:rPr>
        <w:t>加盖供应商</w:t>
      </w:r>
      <w:r>
        <w:rPr>
          <w:rFonts w:hint="eastAsia"/>
          <w:color w:val="auto"/>
          <w:szCs w:val="21"/>
          <w:highlight w:val="none"/>
        </w:rPr>
        <w:t>电子签章</w:t>
      </w:r>
      <w:r>
        <w:rPr>
          <w:color w:val="auto"/>
          <w:highlight w:val="none"/>
        </w:rPr>
        <w:t>（</w:t>
      </w:r>
      <w:r>
        <w:rPr>
          <w:color w:val="auto"/>
          <w:szCs w:val="21"/>
          <w:highlight w:val="none"/>
        </w:rPr>
        <w:t>按“评审方法及标准” “资格审查表”“</w:t>
      </w:r>
      <w:r>
        <w:rPr>
          <w:color w:val="auto"/>
          <w:szCs w:val="21"/>
          <w:highlight w:val="none"/>
          <w:lang w:val="zh-CN"/>
        </w:rPr>
        <w:t xml:space="preserve"> 供应商应符合的</w:t>
      </w:r>
      <w:r>
        <w:rPr>
          <w:color w:val="auto"/>
          <w:szCs w:val="21"/>
          <w:highlight w:val="none"/>
        </w:rPr>
        <w:t>特定资格条件”规定提供</w:t>
      </w:r>
      <w:r>
        <w:rPr>
          <w:color w:val="auto"/>
          <w:highlight w:val="none"/>
        </w:rPr>
        <w:t>）。</w:t>
      </w:r>
      <w:r>
        <w:rPr>
          <w:rFonts w:hint="eastAsia"/>
          <w:b/>
          <w:color w:val="auto"/>
          <w:szCs w:val="21"/>
          <w:highlight w:val="none"/>
        </w:rPr>
        <w:t>（如招标文件有要求时提供）</w:t>
      </w:r>
    </w:p>
    <w:p w14:paraId="0924A96D">
      <w:pPr>
        <w:widowControl/>
        <w:jc w:val="left"/>
        <w:rPr>
          <w:color w:val="auto"/>
          <w:highlight w:val="none"/>
        </w:rPr>
      </w:pPr>
      <w:r>
        <w:rPr>
          <w:color w:val="auto"/>
          <w:highlight w:val="none"/>
        </w:rPr>
        <w:br w:type="page" w:clear="all"/>
      </w:r>
    </w:p>
    <w:p w14:paraId="1AB556CE">
      <w:pPr>
        <w:spacing w:before="50" w:after="120" w:line="360" w:lineRule="auto"/>
        <w:jc w:val="left"/>
        <w:rPr>
          <w:color w:val="auto"/>
          <w:szCs w:val="21"/>
          <w:highlight w:val="none"/>
        </w:rPr>
      </w:pPr>
      <w:bookmarkStart w:id="211" w:name="_Hlk93048232"/>
      <w:r>
        <w:rPr>
          <w:rFonts w:hint="eastAsia"/>
          <w:color w:val="auto"/>
          <w:szCs w:val="21"/>
          <w:highlight w:val="none"/>
        </w:rPr>
        <w:t>6</w:t>
      </w:r>
      <w:r>
        <w:rPr>
          <w:color w:val="auto"/>
          <w:szCs w:val="21"/>
          <w:highlight w:val="none"/>
        </w:rPr>
        <w:t>.1</w:t>
      </w:r>
      <w:r>
        <w:rPr>
          <w:rFonts w:hint="eastAsia"/>
          <w:color w:val="auto"/>
          <w:szCs w:val="21"/>
          <w:highlight w:val="none"/>
        </w:rPr>
        <w:t>供应商直接控股股东信息表</w:t>
      </w:r>
    </w:p>
    <w:tbl>
      <w:tblPr>
        <w:tblStyle w:val="56"/>
        <w:tblW w:w="0" w:type="auto"/>
        <w:tblInd w:w="0" w:type="dxa"/>
        <w:tblLayout w:type="fixed"/>
        <w:tblCellMar>
          <w:top w:w="0" w:type="dxa"/>
          <w:left w:w="0" w:type="dxa"/>
          <w:bottom w:w="0" w:type="dxa"/>
          <w:right w:w="0" w:type="dxa"/>
        </w:tblCellMar>
      </w:tblPr>
      <w:tblGrid>
        <w:gridCol w:w="828"/>
        <w:gridCol w:w="2269"/>
        <w:gridCol w:w="1239"/>
        <w:gridCol w:w="3722"/>
        <w:gridCol w:w="1418"/>
      </w:tblGrid>
      <w:tr w14:paraId="4D8AD9F6">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F088CC5">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319743">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CED2E">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C5747A">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835038">
            <w:pPr>
              <w:spacing w:line="360" w:lineRule="auto"/>
              <w:jc w:val="center"/>
              <w:rPr>
                <w:color w:val="auto"/>
                <w:szCs w:val="21"/>
                <w:highlight w:val="none"/>
              </w:rPr>
            </w:pPr>
            <w:r>
              <w:rPr>
                <w:rFonts w:hint="eastAsia"/>
                <w:color w:val="auto"/>
                <w:szCs w:val="21"/>
                <w:highlight w:val="none"/>
              </w:rPr>
              <w:t>备注</w:t>
            </w:r>
          </w:p>
        </w:tc>
      </w:tr>
      <w:tr w14:paraId="709C6AD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3B78284">
            <w:pPr>
              <w:spacing w:line="360" w:lineRule="auto"/>
              <w:jc w:val="center"/>
              <w:rPr>
                <w:color w:val="auto"/>
                <w:szCs w:val="21"/>
                <w:highlight w:val="none"/>
              </w:rPr>
            </w:pPr>
            <w:r>
              <w:rPr>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C8D1E8">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C3AB016">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81DF18C">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20B36AA">
            <w:pPr>
              <w:spacing w:line="360" w:lineRule="auto"/>
              <w:jc w:val="center"/>
              <w:rPr>
                <w:color w:val="auto"/>
                <w:szCs w:val="21"/>
                <w:highlight w:val="none"/>
              </w:rPr>
            </w:pPr>
          </w:p>
        </w:tc>
      </w:tr>
      <w:tr w14:paraId="349A453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8BB2D79">
            <w:pPr>
              <w:spacing w:line="360" w:lineRule="auto"/>
              <w:jc w:val="center"/>
              <w:rPr>
                <w:color w:val="auto"/>
                <w:szCs w:val="21"/>
                <w:highlight w:val="none"/>
              </w:rPr>
            </w:pPr>
            <w:r>
              <w:rPr>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1A4CA5">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B808008">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F88A0DC">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28FF2">
            <w:pPr>
              <w:spacing w:line="360" w:lineRule="auto"/>
              <w:jc w:val="center"/>
              <w:rPr>
                <w:color w:val="auto"/>
                <w:szCs w:val="21"/>
                <w:highlight w:val="none"/>
              </w:rPr>
            </w:pPr>
          </w:p>
        </w:tc>
      </w:tr>
      <w:tr w14:paraId="07903BB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9A3FB4">
            <w:pPr>
              <w:spacing w:line="360" w:lineRule="auto"/>
              <w:jc w:val="center"/>
              <w:rPr>
                <w:color w:val="auto"/>
                <w:szCs w:val="21"/>
                <w:highlight w:val="none"/>
              </w:rPr>
            </w:pPr>
            <w:r>
              <w:rPr>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36D1CF0">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586681A">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40232B8">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43D9419">
            <w:pPr>
              <w:spacing w:line="360" w:lineRule="auto"/>
              <w:jc w:val="center"/>
              <w:rPr>
                <w:color w:val="auto"/>
                <w:szCs w:val="21"/>
                <w:highlight w:val="none"/>
              </w:rPr>
            </w:pPr>
          </w:p>
        </w:tc>
      </w:tr>
      <w:tr w14:paraId="766D3EF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0A95883">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ECB2BE">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594D750">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C5692A">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2ACE979">
            <w:pPr>
              <w:spacing w:line="360" w:lineRule="auto"/>
              <w:jc w:val="center"/>
              <w:rPr>
                <w:color w:val="auto"/>
                <w:szCs w:val="21"/>
                <w:highlight w:val="none"/>
              </w:rPr>
            </w:pPr>
          </w:p>
        </w:tc>
      </w:tr>
    </w:tbl>
    <w:p w14:paraId="20321943">
      <w:pPr>
        <w:spacing w:line="360" w:lineRule="auto"/>
        <w:jc w:val="left"/>
        <w:rPr>
          <w:color w:val="auto"/>
          <w:szCs w:val="21"/>
          <w:highlight w:val="none"/>
        </w:rPr>
      </w:pPr>
      <w:r>
        <w:rPr>
          <w:rFonts w:hint="eastAsia"/>
          <w:color w:val="auto"/>
          <w:szCs w:val="21"/>
          <w:highlight w:val="none"/>
        </w:rPr>
        <w:t>注：</w:t>
      </w:r>
    </w:p>
    <w:p w14:paraId="0B5333A0">
      <w:pPr>
        <w:spacing w:line="360" w:lineRule="auto"/>
        <w:jc w:val="left"/>
        <w:rPr>
          <w:color w:val="auto"/>
          <w:szCs w:val="21"/>
          <w:highlight w:val="none"/>
        </w:rPr>
      </w:pPr>
      <w:r>
        <w:rPr>
          <w:color w:val="auto"/>
          <w:szCs w:val="21"/>
          <w:highlight w:val="none"/>
        </w:rPr>
        <w:t>1.</w:t>
      </w:r>
      <w:r>
        <w:rPr>
          <w:rFonts w:hint="eastAsia"/>
          <w:color w:val="auto"/>
          <w:szCs w:val="21"/>
          <w:highlight w:val="none"/>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189E0A9">
      <w:pPr>
        <w:spacing w:line="360" w:lineRule="auto"/>
        <w:jc w:val="left"/>
        <w:rPr>
          <w:color w:val="auto"/>
          <w:szCs w:val="21"/>
          <w:highlight w:val="none"/>
        </w:rPr>
      </w:pPr>
      <w:r>
        <w:rPr>
          <w:color w:val="auto"/>
          <w:szCs w:val="21"/>
          <w:highlight w:val="none"/>
        </w:rPr>
        <w:t>2.</w:t>
      </w:r>
      <w:r>
        <w:rPr>
          <w:rFonts w:hint="eastAsia"/>
          <w:color w:val="auto"/>
          <w:szCs w:val="21"/>
          <w:highlight w:val="none"/>
        </w:rPr>
        <w:t>本表所指的控股关系仅限于直接控股关系，不包括间接的控股关系。公司实际控制人与公司之间的关系不属于本表所指的直接控股关系。</w:t>
      </w:r>
    </w:p>
    <w:p w14:paraId="34347FB4">
      <w:pPr>
        <w:spacing w:line="360" w:lineRule="auto"/>
        <w:jc w:val="left"/>
        <w:rPr>
          <w:color w:val="auto"/>
          <w:szCs w:val="21"/>
          <w:highlight w:val="none"/>
        </w:rPr>
      </w:pPr>
      <w:r>
        <w:rPr>
          <w:color w:val="auto"/>
          <w:szCs w:val="21"/>
          <w:highlight w:val="none"/>
        </w:rPr>
        <w:t>3.</w:t>
      </w:r>
      <w:r>
        <w:rPr>
          <w:rFonts w:hint="eastAsia"/>
          <w:color w:val="auto"/>
          <w:szCs w:val="21"/>
          <w:highlight w:val="none"/>
        </w:rPr>
        <w:t>供应商不存在直接控股股东的，则填“无”。</w:t>
      </w:r>
    </w:p>
    <w:p w14:paraId="604263FC">
      <w:pPr>
        <w:spacing w:line="360" w:lineRule="auto"/>
        <w:jc w:val="left"/>
        <w:rPr>
          <w:color w:val="auto"/>
          <w:szCs w:val="21"/>
          <w:highlight w:val="none"/>
        </w:rPr>
      </w:pPr>
    </w:p>
    <w:p w14:paraId="657A4681">
      <w:pPr>
        <w:spacing w:line="360" w:lineRule="auto"/>
        <w:jc w:val="left"/>
        <w:rPr>
          <w:color w:val="auto"/>
          <w:szCs w:val="21"/>
          <w:highlight w:val="none"/>
        </w:rPr>
      </w:pPr>
    </w:p>
    <w:p w14:paraId="4B62DA95">
      <w:pPr>
        <w:spacing w:line="360" w:lineRule="auto"/>
        <w:jc w:val="left"/>
        <w:rPr>
          <w:color w:val="auto"/>
          <w:szCs w:val="21"/>
          <w:highlight w:val="none"/>
        </w:rPr>
      </w:pPr>
    </w:p>
    <w:p w14:paraId="54267F6F">
      <w:pPr>
        <w:spacing w:line="360" w:lineRule="auto"/>
        <w:jc w:val="left"/>
        <w:rPr>
          <w:color w:val="auto"/>
          <w:szCs w:val="21"/>
          <w:highlight w:val="none"/>
        </w:rPr>
      </w:pPr>
    </w:p>
    <w:p w14:paraId="6A7DB205">
      <w:pPr>
        <w:spacing w:line="360" w:lineRule="auto"/>
        <w:jc w:val="left"/>
        <w:rPr>
          <w:color w:val="auto"/>
          <w:szCs w:val="21"/>
          <w:highlight w:val="none"/>
        </w:rPr>
      </w:pPr>
    </w:p>
    <w:p w14:paraId="177D9658">
      <w:pPr>
        <w:spacing w:line="360" w:lineRule="auto"/>
        <w:ind w:firstLine="4410"/>
        <w:rPr>
          <w:color w:val="auto"/>
          <w:szCs w:val="21"/>
          <w:highlight w:val="none"/>
        </w:rPr>
      </w:pPr>
      <w:r>
        <w:rPr>
          <w:rFonts w:hint="eastAsia"/>
          <w:color w:val="auto"/>
          <w:szCs w:val="21"/>
          <w:highlight w:val="none"/>
        </w:rPr>
        <w:t>供应商名称</w:t>
      </w:r>
      <w:r>
        <w:rPr>
          <w:color w:val="auto"/>
          <w:szCs w:val="21"/>
          <w:highlight w:val="none"/>
        </w:rPr>
        <w:t>(</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29CD39E4">
      <w:pPr>
        <w:spacing w:line="360" w:lineRule="auto"/>
        <w:ind w:firstLine="4515"/>
        <w:rPr>
          <w:color w:val="auto"/>
          <w:szCs w:val="21"/>
          <w:highlight w:val="none"/>
        </w:rPr>
      </w:pPr>
      <w:r>
        <w:rPr>
          <w:rFonts w:hint="eastAsia"/>
          <w:color w:val="auto"/>
          <w:szCs w:val="21"/>
          <w:highlight w:val="none"/>
        </w:rPr>
        <w:t>日期：</w:t>
      </w:r>
      <w:r>
        <w:rPr>
          <w:color w:val="auto"/>
          <w:szCs w:val="21"/>
          <w:highlight w:val="none"/>
        </w:rPr>
        <w:t xml:space="preserve">  </w:t>
      </w:r>
      <w:r>
        <w:rPr>
          <w:rFonts w:hint="eastAsia"/>
          <w:color w:val="auto"/>
          <w:szCs w:val="21"/>
          <w:highlight w:val="none"/>
        </w:rPr>
        <w:t>年</w:t>
      </w:r>
      <w:r>
        <w:rPr>
          <w:color w:val="auto"/>
          <w:szCs w:val="21"/>
          <w:highlight w:val="none"/>
        </w:rPr>
        <w:t xml:space="preserve">  </w:t>
      </w:r>
      <w:r>
        <w:rPr>
          <w:rFonts w:hint="eastAsia"/>
          <w:color w:val="auto"/>
          <w:szCs w:val="21"/>
          <w:highlight w:val="none"/>
        </w:rPr>
        <w:t>月</w:t>
      </w:r>
      <w:r>
        <w:rPr>
          <w:color w:val="auto"/>
          <w:szCs w:val="21"/>
          <w:highlight w:val="none"/>
        </w:rPr>
        <w:t xml:space="preserve">   </w:t>
      </w:r>
      <w:r>
        <w:rPr>
          <w:rFonts w:hint="eastAsia"/>
          <w:color w:val="auto"/>
          <w:szCs w:val="21"/>
          <w:highlight w:val="none"/>
        </w:rPr>
        <w:t>日</w:t>
      </w:r>
    </w:p>
    <w:p w14:paraId="6BCCB6C9">
      <w:pPr>
        <w:jc w:val="center"/>
        <w:rPr>
          <w:rFonts w:ascii="宋体" w:hAnsi="宋体"/>
          <w:b/>
          <w:color w:val="auto"/>
          <w:sz w:val="28"/>
          <w:szCs w:val="28"/>
          <w:highlight w:val="none"/>
        </w:rPr>
      </w:pPr>
      <w:r>
        <w:rPr>
          <w:rFonts w:hint="eastAsia" w:ascii="宋体" w:hAnsi="宋体"/>
          <w:b/>
          <w:color w:val="auto"/>
          <w:sz w:val="28"/>
          <w:szCs w:val="28"/>
          <w:highlight w:val="none"/>
        </w:rPr>
        <w:br w:type="page" w:clear="all"/>
      </w:r>
    </w:p>
    <w:p w14:paraId="7F881CCD">
      <w:pPr>
        <w:spacing w:line="360" w:lineRule="auto"/>
        <w:jc w:val="left"/>
        <w:rPr>
          <w:color w:val="auto"/>
          <w:szCs w:val="21"/>
          <w:highlight w:val="none"/>
        </w:rPr>
      </w:pPr>
      <w:r>
        <w:rPr>
          <w:rFonts w:hint="eastAsia"/>
          <w:color w:val="auto"/>
          <w:szCs w:val="21"/>
          <w:highlight w:val="none"/>
        </w:rPr>
        <w:t>6</w:t>
      </w:r>
      <w:r>
        <w:rPr>
          <w:color w:val="auto"/>
          <w:szCs w:val="21"/>
          <w:highlight w:val="none"/>
        </w:rPr>
        <w:t>.2</w:t>
      </w:r>
      <w:r>
        <w:rPr>
          <w:rFonts w:hint="eastAsia"/>
          <w:color w:val="auto"/>
          <w:szCs w:val="21"/>
          <w:highlight w:val="none"/>
        </w:rPr>
        <w:t>供应商直接管理关系信息表</w:t>
      </w:r>
    </w:p>
    <w:tbl>
      <w:tblPr>
        <w:tblStyle w:val="56"/>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9652D30">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17AECC">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55B986">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215085">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082D09">
            <w:pPr>
              <w:spacing w:line="360" w:lineRule="auto"/>
              <w:jc w:val="center"/>
              <w:rPr>
                <w:color w:val="auto"/>
                <w:szCs w:val="21"/>
                <w:highlight w:val="none"/>
              </w:rPr>
            </w:pPr>
            <w:r>
              <w:rPr>
                <w:rFonts w:hint="eastAsia"/>
                <w:color w:val="auto"/>
                <w:szCs w:val="21"/>
                <w:highlight w:val="none"/>
              </w:rPr>
              <w:t>备注</w:t>
            </w:r>
          </w:p>
        </w:tc>
      </w:tr>
      <w:tr w14:paraId="597B0E0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90904B">
            <w:pPr>
              <w:spacing w:line="360" w:lineRule="auto"/>
              <w:jc w:val="center"/>
              <w:rPr>
                <w:color w:val="auto"/>
                <w:szCs w:val="21"/>
                <w:highlight w:val="none"/>
              </w:rPr>
            </w:pPr>
            <w:r>
              <w:rPr>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B7C942">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883734">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533DEC">
            <w:pPr>
              <w:spacing w:line="360" w:lineRule="auto"/>
              <w:jc w:val="center"/>
              <w:rPr>
                <w:color w:val="auto"/>
                <w:szCs w:val="21"/>
                <w:highlight w:val="none"/>
              </w:rPr>
            </w:pPr>
          </w:p>
        </w:tc>
      </w:tr>
      <w:tr w14:paraId="58B5E2C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255F7A">
            <w:pPr>
              <w:spacing w:line="360" w:lineRule="auto"/>
              <w:jc w:val="center"/>
              <w:rPr>
                <w:color w:val="auto"/>
                <w:szCs w:val="21"/>
                <w:highlight w:val="none"/>
              </w:rPr>
            </w:pPr>
            <w:r>
              <w:rPr>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8EC534">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6DEEA6">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876AA4">
            <w:pPr>
              <w:spacing w:line="360" w:lineRule="auto"/>
              <w:jc w:val="center"/>
              <w:rPr>
                <w:color w:val="auto"/>
                <w:szCs w:val="21"/>
                <w:highlight w:val="none"/>
              </w:rPr>
            </w:pPr>
          </w:p>
        </w:tc>
      </w:tr>
      <w:tr w14:paraId="56A8D36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4976E2">
            <w:pPr>
              <w:spacing w:line="360" w:lineRule="auto"/>
              <w:jc w:val="center"/>
              <w:rPr>
                <w:color w:val="auto"/>
                <w:szCs w:val="21"/>
                <w:highlight w:val="none"/>
              </w:rPr>
            </w:pPr>
            <w:r>
              <w:rPr>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29706F">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62478A">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4CF755">
            <w:pPr>
              <w:spacing w:line="360" w:lineRule="auto"/>
              <w:jc w:val="center"/>
              <w:rPr>
                <w:color w:val="auto"/>
                <w:szCs w:val="21"/>
                <w:highlight w:val="none"/>
              </w:rPr>
            </w:pPr>
          </w:p>
        </w:tc>
      </w:tr>
      <w:tr w14:paraId="57AEDFE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68E78C">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6B0392">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8D1B4F">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9C3EC5">
            <w:pPr>
              <w:spacing w:line="360" w:lineRule="auto"/>
              <w:jc w:val="center"/>
              <w:rPr>
                <w:color w:val="auto"/>
                <w:szCs w:val="21"/>
                <w:highlight w:val="none"/>
              </w:rPr>
            </w:pPr>
          </w:p>
        </w:tc>
      </w:tr>
    </w:tbl>
    <w:p w14:paraId="2B45A446">
      <w:pPr>
        <w:spacing w:line="360" w:lineRule="auto"/>
        <w:jc w:val="left"/>
        <w:rPr>
          <w:color w:val="auto"/>
          <w:szCs w:val="21"/>
          <w:highlight w:val="none"/>
        </w:rPr>
      </w:pPr>
      <w:r>
        <w:rPr>
          <w:rFonts w:hint="eastAsia"/>
          <w:color w:val="auto"/>
          <w:szCs w:val="21"/>
          <w:highlight w:val="none"/>
        </w:rPr>
        <w:t>注：</w:t>
      </w:r>
    </w:p>
    <w:p w14:paraId="3856BAE2">
      <w:pPr>
        <w:spacing w:line="360" w:lineRule="auto"/>
        <w:ind w:firstLine="420"/>
        <w:jc w:val="left"/>
        <w:rPr>
          <w:color w:val="auto"/>
          <w:szCs w:val="21"/>
          <w:highlight w:val="none"/>
        </w:rPr>
      </w:pPr>
      <w:r>
        <w:rPr>
          <w:color w:val="auto"/>
          <w:szCs w:val="21"/>
          <w:highlight w:val="none"/>
        </w:rPr>
        <w:t>1.</w:t>
      </w:r>
      <w:r>
        <w:rPr>
          <w:rFonts w:hint="eastAsia"/>
          <w:color w:val="auto"/>
          <w:szCs w:val="21"/>
          <w:highlight w:val="none"/>
        </w:rPr>
        <w:t>管理关系：是指不具有出资持股关系的其他单位之间存在的管理与被管理关系，如一些上下级关系的事业单位和团体组织。</w:t>
      </w:r>
    </w:p>
    <w:p w14:paraId="4B7D7622">
      <w:pPr>
        <w:spacing w:line="360" w:lineRule="auto"/>
        <w:ind w:firstLine="420"/>
        <w:jc w:val="left"/>
        <w:rPr>
          <w:color w:val="auto"/>
          <w:szCs w:val="21"/>
          <w:highlight w:val="none"/>
        </w:rPr>
      </w:pPr>
      <w:r>
        <w:rPr>
          <w:color w:val="auto"/>
          <w:szCs w:val="21"/>
          <w:highlight w:val="none"/>
        </w:rPr>
        <w:t>2.</w:t>
      </w:r>
      <w:r>
        <w:rPr>
          <w:rFonts w:hint="eastAsia"/>
          <w:color w:val="auto"/>
          <w:szCs w:val="21"/>
          <w:highlight w:val="none"/>
        </w:rPr>
        <w:t>本表所指的管理关系仅限于直接管理关系，不包括间接的管理关系。</w:t>
      </w:r>
    </w:p>
    <w:p w14:paraId="7962C763">
      <w:pPr>
        <w:spacing w:line="360" w:lineRule="auto"/>
        <w:ind w:firstLine="420"/>
        <w:jc w:val="left"/>
        <w:rPr>
          <w:color w:val="auto"/>
          <w:szCs w:val="21"/>
          <w:highlight w:val="none"/>
        </w:rPr>
      </w:pPr>
      <w:r>
        <w:rPr>
          <w:color w:val="auto"/>
          <w:szCs w:val="21"/>
          <w:highlight w:val="none"/>
        </w:rPr>
        <w:t>3.</w:t>
      </w:r>
      <w:r>
        <w:rPr>
          <w:rFonts w:hint="eastAsia"/>
          <w:color w:val="auto"/>
          <w:szCs w:val="21"/>
          <w:highlight w:val="none"/>
        </w:rPr>
        <w:t>供应商不存在直接管理关系的，则填“无”。</w:t>
      </w:r>
    </w:p>
    <w:p w14:paraId="6C3FAF5F">
      <w:pPr>
        <w:spacing w:line="360" w:lineRule="auto"/>
        <w:jc w:val="left"/>
        <w:rPr>
          <w:color w:val="auto"/>
          <w:szCs w:val="21"/>
          <w:highlight w:val="none"/>
        </w:rPr>
      </w:pPr>
    </w:p>
    <w:p w14:paraId="0B6196D3">
      <w:pPr>
        <w:spacing w:line="360" w:lineRule="auto"/>
        <w:jc w:val="left"/>
        <w:rPr>
          <w:color w:val="auto"/>
          <w:szCs w:val="21"/>
          <w:highlight w:val="none"/>
        </w:rPr>
      </w:pPr>
    </w:p>
    <w:p w14:paraId="7FBA5F6F">
      <w:pPr>
        <w:spacing w:line="360" w:lineRule="auto"/>
        <w:jc w:val="left"/>
        <w:rPr>
          <w:color w:val="auto"/>
          <w:szCs w:val="21"/>
          <w:highlight w:val="none"/>
        </w:rPr>
      </w:pPr>
    </w:p>
    <w:p w14:paraId="4C05A578">
      <w:pPr>
        <w:spacing w:line="360" w:lineRule="auto"/>
        <w:jc w:val="left"/>
        <w:rPr>
          <w:color w:val="auto"/>
          <w:szCs w:val="21"/>
          <w:highlight w:val="none"/>
        </w:rPr>
      </w:pPr>
    </w:p>
    <w:p w14:paraId="65E374D2">
      <w:pPr>
        <w:spacing w:line="360" w:lineRule="auto"/>
        <w:jc w:val="left"/>
        <w:rPr>
          <w:color w:val="auto"/>
          <w:szCs w:val="21"/>
          <w:highlight w:val="none"/>
        </w:rPr>
      </w:pPr>
    </w:p>
    <w:p w14:paraId="12ED15A1">
      <w:pPr>
        <w:spacing w:line="360" w:lineRule="auto"/>
        <w:jc w:val="left"/>
        <w:rPr>
          <w:color w:val="auto"/>
          <w:szCs w:val="21"/>
          <w:highlight w:val="none"/>
        </w:rPr>
      </w:pPr>
    </w:p>
    <w:p w14:paraId="6ECCD758">
      <w:pPr>
        <w:spacing w:line="360" w:lineRule="auto"/>
        <w:jc w:val="left"/>
        <w:rPr>
          <w:color w:val="auto"/>
          <w:szCs w:val="21"/>
          <w:highlight w:val="none"/>
        </w:rPr>
      </w:pPr>
    </w:p>
    <w:p w14:paraId="4E9F2873">
      <w:pPr>
        <w:spacing w:line="360" w:lineRule="auto"/>
        <w:jc w:val="left"/>
        <w:rPr>
          <w:color w:val="auto"/>
          <w:szCs w:val="21"/>
          <w:highlight w:val="none"/>
        </w:rPr>
      </w:pPr>
    </w:p>
    <w:p w14:paraId="6863BE8D">
      <w:pPr>
        <w:spacing w:line="360" w:lineRule="auto"/>
        <w:ind w:firstLine="4410"/>
        <w:rPr>
          <w:color w:val="auto"/>
          <w:szCs w:val="21"/>
          <w:highlight w:val="none"/>
        </w:rPr>
      </w:pPr>
      <w:r>
        <w:rPr>
          <w:rFonts w:hint="eastAsia"/>
          <w:color w:val="auto"/>
          <w:szCs w:val="21"/>
          <w:highlight w:val="none"/>
        </w:rPr>
        <w:t>供应商名称</w:t>
      </w:r>
      <w:r>
        <w:rPr>
          <w:color w:val="auto"/>
          <w:szCs w:val="21"/>
          <w:highlight w:val="none"/>
        </w:rPr>
        <w:t>(</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45BFF3BE">
      <w:pPr>
        <w:spacing w:line="360" w:lineRule="auto"/>
        <w:ind w:firstLine="4515"/>
        <w:rPr>
          <w:color w:val="auto"/>
          <w:szCs w:val="21"/>
          <w:highlight w:val="none"/>
        </w:rPr>
      </w:pPr>
      <w:r>
        <w:rPr>
          <w:rFonts w:hint="eastAsia"/>
          <w:color w:val="auto"/>
          <w:szCs w:val="21"/>
          <w:highlight w:val="none"/>
        </w:rPr>
        <w:t>日期：</w:t>
      </w:r>
      <w:r>
        <w:rPr>
          <w:color w:val="auto"/>
          <w:szCs w:val="21"/>
          <w:highlight w:val="none"/>
        </w:rPr>
        <w:t xml:space="preserve">  </w:t>
      </w:r>
      <w:r>
        <w:rPr>
          <w:rFonts w:hint="eastAsia"/>
          <w:color w:val="auto"/>
          <w:szCs w:val="21"/>
          <w:highlight w:val="none"/>
        </w:rPr>
        <w:t>年</w:t>
      </w:r>
      <w:r>
        <w:rPr>
          <w:color w:val="auto"/>
          <w:szCs w:val="21"/>
          <w:highlight w:val="none"/>
        </w:rPr>
        <w:t xml:space="preserve">  </w:t>
      </w:r>
      <w:r>
        <w:rPr>
          <w:rFonts w:hint="eastAsia"/>
          <w:color w:val="auto"/>
          <w:szCs w:val="21"/>
          <w:highlight w:val="none"/>
        </w:rPr>
        <w:t>月</w:t>
      </w:r>
      <w:r>
        <w:rPr>
          <w:color w:val="auto"/>
          <w:szCs w:val="21"/>
          <w:highlight w:val="none"/>
        </w:rPr>
        <w:t xml:space="preserve">   </w:t>
      </w:r>
      <w:r>
        <w:rPr>
          <w:rFonts w:hint="eastAsia"/>
          <w:color w:val="auto"/>
          <w:szCs w:val="21"/>
          <w:highlight w:val="none"/>
        </w:rPr>
        <w:t>日</w:t>
      </w:r>
    </w:p>
    <w:bookmarkEnd w:id="211"/>
    <w:p w14:paraId="3A7555BE">
      <w:pPr>
        <w:spacing w:before="50" w:after="120" w:line="440" w:lineRule="exact"/>
        <w:jc w:val="left"/>
        <w:rPr>
          <w:color w:val="auto"/>
          <w:szCs w:val="21"/>
          <w:highlight w:val="none"/>
        </w:rPr>
      </w:pPr>
    </w:p>
    <w:p w14:paraId="104D483B">
      <w:pPr>
        <w:widowControl/>
        <w:jc w:val="left"/>
        <w:rPr>
          <w:color w:val="auto"/>
          <w:szCs w:val="21"/>
          <w:highlight w:val="none"/>
        </w:rPr>
      </w:pPr>
      <w:r>
        <w:rPr>
          <w:color w:val="auto"/>
          <w:szCs w:val="21"/>
          <w:highlight w:val="none"/>
        </w:rPr>
        <w:br w:type="page" w:clear="all"/>
      </w:r>
      <w:bookmarkStart w:id="212" w:name="_Hlk65852070"/>
    </w:p>
    <w:p w14:paraId="52F24042">
      <w:pPr>
        <w:spacing w:before="50" w:after="120"/>
        <w:jc w:val="left"/>
        <w:rPr>
          <w:color w:val="auto"/>
          <w:szCs w:val="21"/>
          <w:highlight w:val="none"/>
        </w:rPr>
      </w:pPr>
      <w:r>
        <w:rPr>
          <w:rFonts w:hint="eastAsia"/>
          <w:color w:val="auto"/>
          <w:szCs w:val="21"/>
          <w:highlight w:val="none"/>
        </w:rPr>
        <w:t>7</w:t>
      </w:r>
      <w:r>
        <w:rPr>
          <w:color w:val="auto"/>
          <w:szCs w:val="21"/>
          <w:highlight w:val="none"/>
        </w:rPr>
        <w:t>．供应商认为应当要提交的</w:t>
      </w:r>
      <w:r>
        <w:rPr>
          <w:rFonts w:hint="eastAsia"/>
          <w:color w:val="auto"/>
          <w:szCs w:val="21"/>
          <w:highlight w:val="none"/>
        </w:rPr>
        <w:t>其他</w:t>
      </w:r>
      <w:r>
        <w:rPr>
          <w:color w:val="auto"/>
          <w:szCs w:val="21"/>
          <w:highlight w:val="none"/>
        </w:rPr>
        <w:t>资格证明材料。</w:t>
      </w:r>
      <w:r>
        <w:rPr>
          <w:bCs/>
          <w:color w:val="auto"/>
          <w:sz w:val="24"/>
          <w:highlight w:val="none"/>
        </w:rPr>
        <w:t xml:space="preserve"> </w:t>
      </w:r>
    </w:p>
    <w:p w14:paraId="1C22A7BC">
      <w:pPr>
        <w:spacing w:line="276" w:lineRule="auto"/>
        <w:rPr>
          <w:color w:val="auto"/>
          <w:szCs w:val="21"/>
          <w:highlight w:val="none"/>
        </w:rPr>
      </w:pPr>
    </w:p>
    <w:p w14:paraId="23ABEFD5">
      <w:pPr>
        <w:widowControl/>
        <w:jc w:val="left"/>
        <w:rPr>
          <w:color w:val="auto"/>
          <w:szCs w:val="21"/>
          <w:highlight w:val="none"/>
        </w:rPr>
      </w:pPr>
      <w:r>
        <w:rPr>
          <w:color w:val="auto"/>
          <w:szCs w:val="21"/>
          <w:highlight w:val="none"/>
        </w:rPr>
        <w:br w:type="page" w:clear="all"/>
      </w:r>
      <w:bookmarkEnd w:id="209"/>
      <w:bookmarkEnd w:id="212"/>
    </w:p>
    <w:p w14:paraId="3180151E">
      <w:pPr>
        <w:spacing w:before="120" w:after="50" w:line="440" w:lineRule="exact"/>
        <w:jc w:val="left"/>
        <w:outlineLvl w:val="1"/>
        <w:rPr>
          <w:bCs/>
          <w:color w:val="auto"/>
          <w:sz w:val="24"/>
          <w:highlight w:val="none"/>
        </w:rPr>
      </w:pPr>
      <w:r>
        <w:rPr>
          <w:bCs/>
          <w:color w:val="auto"/>
          <w:sz w:val="24"/>
          <w:highlight w:val="none"/>
        </w:rPr>
        <w:t>2．投标文件封面参考格式</w:t>
      </w:r>
      <w:r>
        <w:rPr>
          <w:rFonts w:hint="eastAsia"/>
          <w:bCs/>
          <w:color w:val="auto"/>
          <w:sz w:val="24"/>
          <w:highlight w:val="none"/>
        </w:rPr>
        <w:t>（商务技术文件）</w:t>
      </w:r>
      <w:r>
        <w:rPr>
          <w:bCs/>
          <w:color w:val="auto"/>
          <w:sz w:val="24"/>
          <w:highlight w:val="none"/>
        </w:rPr>
        <w:t xml:space="preserve">： </w:t>
      </w:r>
    </w:p>
    <w:p w14:paraId="4AF55545">
      <w:pPr>
        <w:spacing w:before="50" w:after="120" w:line="400" w:lineRule="exact"/>
        <w:jc w:val="left"/>
        <w:rPr>
          <w:bCs/>
          <w:color w:val="auto"/>
          <w:sz w:val="24"/>
          <w:highlight w:val="none"/>
        </w:rPr>
      </w:pPr>
    </w:p>
    <w:p w14:paraId="734ACA95">
      <w:pPr>
        <w:spacing w:before="120" w:after="50" w:line="360" w:lineRule="exact"/>
        <w:rPr>
          <w:color w:val="auto"/>
          <w:sz w:val="24"/>
          <w:highlight w:val="none"/>
        </w:rPr>
      </w:pPr>
    </w:p>
    <w:p w14:paraId="5701CE3D">
      <w:pPr>
        <w:spacing w:before="120" w:after="50" w:line="360" w:lineRule="exact"/>
        <w:jc w:val="center"/>
        <w:rPr>
          <w:bCs/>
          <w:color w:val="auto"/>
          <w:sz w:val="24"/>
          <w:highlight w:val="none"/>
        </w:rPr>
      </w:pPr>
    </w:p>
    <w:p w14:paraId="22794C94">
      <w:pPr>
        <w:spacing w:before="12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2F0D93A5">
      <w:pPr>
        <w:spacing w:before="120" w:after="50" w:line="360" w:lineRule="exact"/>
        <w:jc w:val="center"/>
        <w:rPr>
          <w:b/>
          <w:bCs/>
          <w:color w:val="auto"/>
          <w:sz w:val="44"/>
          <w:szCs w:val="44"/>
          <w:highlight w:val="none"/>
        </w:rPr>
      </w:pPr>
    </w:p>
    <w:p w14:paraId="7381D9EB">
      <w:pPr>
        <w:spacing w:before="120" w:after="50" w:line="360" w:lineRule="exact"/>
        <w:jc w:val="center"/>
        <w:rPr>
          <w:b/>
          <w:bCs/>
          <w:color w:val="auto"/>
          <w:sz w:val="44"/>
          <w:szCs w:val="44"/>
          <w:highlight w:val="none"/>
        </w:rPr>
      </w:pPr>
    </w:p>
    <w:p w14:paraId="1ABF1660">
      <w:pPr>
        <w:spacing w:before="120" w:after="50" w:line="360" w:lineRule="exact"/>
        <w:jc w:val="center"/>
        <w:rPr>
          <w:b/>
          <w:bCs/>
          <w:color w:val="auto"/>
          <w:sz w:val="44"/>
          <w:szCs w:val="44"/>
          <w:highlight w:val="none"/>
        </w:rPr>
      </w:pPr>
      <w:r>
        <w:rPr>
          <w:b/>
          <w:bCs/>
          <w:color w:val="auto"/>
          <w:sz w:val="44"/>
          <w:szCs w:val="44"/>
          <w:highlight w:val="none"/>
        </w:rPr>
        <w:t xml:space="preserve"> 商务技术文件</w:t>
      </w:r>
    </w:p>
    <w:p w14:paraId="2E3DEA01">
      <w:pPr>
        <w:spacing w:before="120" w:after="50" w:line="360" w:lineRule="exact"/>
        <w:rPr>
          <w:bCs/>
          <w:color w:val="auto"/>
          <w:sz w:val="24"/>
          <w:highlight w:val="none"/>
        </w:rPr>
      </w:pPr>
    </w:p>
    <w:p w14:paraId="1D6180B7">
      <w:pPr>
        <w:spacing w:before="120" w:after="50" w:line="360" w:lineRule="exact"/>
        <w:rPr>
          <w:bCs/>
          <w:color w:val="auto"/>
          <w:sz w:val="24"/>
          <w:highlight w:val="none"/>
        </w:rPr>
      </w:pPr>
    </w:p>
    <w:p w14:paraId="71A76DB1">
      <w:pPr>
        <w:spacing w:before="120" w:after="50" w:line="360" w:lineRule="exact"/>
        <w:rPr>
          <w:bCs/>
          <w:color w:val="auto"/>
          <w:sz w:val="24"/>
          <w:highlight w:val="none"/>
        </w:rPr>
      </w:pPr>
    </w:p>
    <w:p w14:paraId="5118AA90">
      <w:pPr>
        <w:spacing w:before="120" w:after="50" w:line="360" w:lineRule="exact"/>
        <w:ind w:firstLine="720"/>
        <w:rPr>
          <w:bCs/>
          <w:color w:val="auto"/>
          <w:sz w:val="24"/>
          <w:highlight w:val="none"/>
        </w:rPr>
      </w:pPr>
      <w:r>
        <w:rPr>
          <w:bCs/>
          <w:color w:val="auto"/>
          <w:sz w:val="24"/>
          <w:highlight w:val="none"/>
        </w:rPr>
        <w:t xml:space="preserve">项目名称： </w:t>
      </w:r>
    </w:p>
    <w:p w14:paraId="7620CFC8">
      <w:pPr>
        <w:spacing w:before="120" w:after="50" w:line="360" w:lineRule="exact"/>
        <w:ind w:firstLine="720"/>
        <w:rPr>
          <w:bCs/>
          <w:color w:val="auto"/>
          <w:sz w:val="24"/>
          <w:highlight w:val="none"/>
        </w:rPr>
      </w:pPr>
      <w:r>
        <w:rPr>
          <w:bCs/>
          <w:color w:val="auto"/>
          <w:sz w:val="24"/>
          <w:highlight w:val="none"/>
        </w:rPr>
        <w:t>项目编号：</w:t>
      </w:r>
    </w:p>
    <w:p w14:paraId="461E4040">
      <w:pPr>
        <w:spacing w:before="120" w:after="50" w:line="360" w:lineRule="exact"/>
        <w:ind w:firstLine="720"/>
        <w:rPr>
          <w:bCs/>
          <w:color w:val="auto"/>
          <w:sz w:val="24"/>
          <w:highlight w:val="none"/>
        </w:rPr>
      </w:pPr>
      <w:r>
        <w:rPr>
          <w:bCs/>
          <w:color w:val="auto"/>
          <w:sz w:val="24"/>
          <w:highlight w:val="none"/>
        </w:rPr>
        <w:t>分标号：</w:t>
      </w:r>
    </w:p>
    <w:p w14:paraId="5A458F4D">
      <w:pPr>
        <w:spacing w:before="120" w:after="50" w:line="360" w:lineRule="exact"/>
        <w:ind w:firstLine="720"/>
        <w:rPr>
          <w:bCs/>
          <w:color w:val="auto"/>
          <w:sz w:val="24"/>
          <w:highlight w:val="none"/>
        </w:rPr>
      </w:pPr>
      <w:r>
        <w:rPr>
          <w:bCs/>
          <w:color w:val="auto"/>
          <w:sz w:val="24"/>
          <w:highlight w:val="none"/>
        </w:rPr>
        <w:t>供应商名称：</w:t>
      </w:r>
    </w:p>
    <w:p w14:paraId="6186E5B3">
      <w:pPr>
        <w:spacing w:before="120" w:after="50" w:line="360" w:lineRule="exact"/>
        <w:ind w:firstLine="720"/>
        <w:rPr>
          <w:bCs/>
          <w:color w:val="auto"/>
          <w:sz w:val="24"/>
          <w:highlight w:val="none"/>
        </w:rPr>
      </w:pPr>
      <w:r>
        <w:rPr>
          <w:bCs/>
          <w:color w:val="auto"/>
          <w:sz w:val="24"/>
          <w:highlight w:val="none"/>
        </w:rPr>
        <w:t>供应商地址：</w:t>
      </w:r>
    </w:p>
    <w:p w14:paraId="2D26CB8C">
      <w:pPr>
        <w:spacing w:before="120" w:after="50" w:line="360" w:lineRule="exact"/>
        <w:ind w:firstLine="720"/>
        <w:rPr>
          <w:bCs/>
          <w:color w:val="auto"/>
          <w:sz w:val="24"/>
          <w:highlight w:val="none"/>
        </w:rPr>
      </w:pPr>
    </w:p>
    <w:p w14:paraId="1AA5A59E">
      <w:pPr>
        <w:pStyle w:val="7"/>
        <w:spacing w:before="50" w:after="50" w:line="360" w:lineRule="exact"/>
        <w:ind w:firstLine="960"/>
        <w:rPr>
          <w:bCs/>
          <w:color w:val="auto"/>
          <w:sz w:val="24"/>
          <w:szCs w:val="24"/>
          <w:highlight w:val="none"/>
        </w:rPr>
      </w:pPr>
    </w:p>
    <w:p w14:paraId="61AACC89">
      <w:pPr>
        <w:spacing w:before="120" w:after="50" w:line="360" w:lineRule="exact"/>
        <w:jc w:val="center"/>
        <w:rPr>
          <w:color w:val="auto"/>
          <w:sz w:val="24"/>
          <w:highlight w:val="none"/>
        </w:rPr>
      </w:pPr>
      <w:r>
        <w:rPr>
          <w:color w:val="auto"/>
          <w:sz w:val="24"/>
          <w:highlight w:val="none"/>
        </w:rPr>
        <w:t xml:space="preserve">                        年  月  日</w:t>
      </w:r>
    </w:p>
    <w:p w14:paraId="2C41D632">
      <w:pPr>
        <w:rPr>
          <w:color w:val="auto"/>
          <w:highlight w:val="none"/>
        </w:rPr>
      </w:pPr>
      <w:r>
        <w:rPr>
          <w:color w:val="auto"/>
          <w:highlight w:val="none"/>
        </w:rPr>
        <w:br w:type="page" w:clear="all"/>
      </w:r>
    </w:p>
    <w:p w14:paraId="37776129">
      <w:pPr>
        <w:spacing w:before="50" w:after="50" w:line="440" w:lineRule="exact"/>
        <w:ind w:firstLine="138"/>
        <w:jc w:val="center"/>
        <w:rPr>
          <w:b/>
          <w:color w:val="auto"/>
          <w:sz w:val="28"/>
          <w:szCs w:val="28"/>
          <w:highlight w:val="none"/>
        </w:rPr>
      </w:pPr>
      <w:r>
        <w:rPr>
          <w:b/>
          <w:color w:val="auto"/>
          <w:sz w:val="28"/>
          <w:szCs w:val="28"/>
          <w:highlight w:val="none"/>
        </w:rPr>
        <w:t>目录</w:t>
      </w:r>
    </w:p>
    <w:p w14:paraId="73F99579">
      <w:pPr>
        <w:spacing w:before="50" w:after="50" w:line="440" w:lineRule="exact"/>
        <w:ind w:firstLine="118"/>
        <w:jc w:val="center"/>
        <w:rPr>
          <w:b/>
          <w:color w:val="auto"/>
          <w:sz w:val="24"/>
          <w:highlight w:val="none"/>
        </w:rPr>
      </w:pPr>
      <w:r>
        <w:rPr>
          <w:b/>
          <w:color w:val="auto"/>
          <w:sz w:val="24"/>
          <w:highlight w:val="none"/>
        </w:rPr>
        <w:t>（应有页码）</w:t>
      </w:r>
    </w:p>
    <w:p w14:paraId="780BB923">
      <w:pPr>
        <w:rPr>
          <w:b/>
          <w:color w:val="auto"/>
          <w:szCs w:val="21"/>
          <w:highlight w:val="none"/>
        </w:rPr>
      </w:pPr>
      <w:r>
        <w:rPr>
          <w:color w:val="auto"/>
          <w:highlight w:val="none"/>
        </w:rPr>
        <w:br w:type="page" w:clear="all"/>
      </w:r>
      <w:bookmarkStart w:id="213" w:name="_Toc455309222"/>
      <w:bookmarkStart w:id="214" w:name="_Toc462223472"/>
      <w:bookmarkStart w:id="215" w:name="_Toc462320613"/>
      <w:bookmarkStart w:id="216" w:name="_Hlk19114325"/>
      <w:r>
        <w:rPr>
          <w:color w:val="auto"/>
          <w:szCs w:val="21"/>
          <w:highlight w:val="none"/>
        </w:rPr>
        <w:t>1．法定代表人身份证明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133C8F6E">
      <w:pPr>
        <w:spacing w:before="120" w:after="50" w:line="440" w:lineRule="exact"/>
        <w:jc w:val="center"/>
        <w:rPr>
          <w:color w:val="auto"/>
          <w:szCs w:val="21"/>
          <w:highlight w:val="none"/>
        </w:rPr>
      </w:pPr>
    </w:p>
    <w:p w14:paraId="68D3555B">
      <w:pPr>
        <w:spacing w:before="120" w:after="50" w:line="440" w:lineRule="exact"/>
        <w:jc w:val="center"/>
        <w:rPr>
          <w:b/>
          <w:color w:val="auto"/>
          <w:szCs w:val="21"/>
          <w:highlight w:val="none"/>
        </w:rPr>
      </w:pPr>
      <w:r>
        <w:rPr>
          <w:b/>
          <w:color w:val="auto"/>
          <w:szCs w:val="21"/>
          <w:highlight w:val="none"/>
        </w:rPr>
        <w:t>法定代表人身份证明</w:t>
      </w:r>
      <w:bookmarkEnd w:id="213"/>
      <w:bookmarkEnd w:id="214"/>
      <w:bookmarkEnd w:id="215"/>
    </w:p>
    <w:p w14:paraId="30D8ADCA">
      <w:pPr>
        <w:spacing w:line="360" w:lineRule="auto"/>
        <w:rPr>
          <w:color w:val="auto"/>
          <w:highlight w:val="none"/>
        </w:rPr>
      </w:pPr>
    </w:p>
    <w:p w14:paraId="0DEAD273">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65472DAB">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75D135B2">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1849B720">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339E9940">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3DB175D4">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1C4F9022">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1A58F1EA">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356FEF71">
      <w:pPr>
        <w:spacing w:line="540" w:lineRule="exact"/>
        <w:rPr>
          <w:color w:val="auto"/>
          <w:szCs w:val="21"/>
          <w:highlight w:val="none"/>
        </w:rPr>
      </w:pPr>
    </w:p>
    <w:p w14:paraId="3C4BDF11">
      <w:pPr>
        <w:spacing w:line="540" w:lineRule="exact"/>
        <w:ind w:firstLine="420"/>
        <w:rPr>
          <w:color w:val="auto"/>
          <w:szCs w:val="21"/>
          <w:highlight w:val="none"/>
        </w:rPr>
      </w:pPr>
      <w:r>
        <w:rPr>
          <w:color w:val="auto"/>
          <w:szCs w:val="21"/>
          <w:highlight w:val="none"/>
        </w:rPr>
        <w:t>特此证明。</w:t>
      </w:r>
    </w:p>
    <w:p w14:paraId="3731BB6B">
      <w:pPr>
        <w:spacing w:line="360" w:lineRule="auto"/>
        <w:ind w:firstLine="483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026F17D9">
      <w:pPr>
        <w:spacing w:line="360" w:lineRule="auto"/>
        <w:ind w:left="6300" w:hanging="6300"/>
        <w:rPr>
          <w:color w:val="auto"/>
          <w:szCs w:val="21"/>
          <w:highlight w:val="none"/>
        </w:rPr>
      </w:pPr>
      <w:r>
        <w:rPr>
          <w:color w:val="auto"/>
          <w:szCs w:val="21"/>
          <w:highlight w:val="none"/>
        </w:rPr>
        <w:t xml:space="preserve">                                                                                               年       月       日 </w:t>
      </w:r>
    </w:p>
    <w:p w14:paraId="6249C925">
      <w:pPr>
        <w:spacing w:line="360" w:lineRule="auto"/>
        <w:ind w:firstLine="420"/>
        <w:rPr>
          <w:color w:val="auto"/>
          <w:szCs w:val="21"/>
          <w:highlight w:val="none"/>
        </w:rPr>
      </w:pPr>
    </w:p>
    <w:p w14:paraId="7BB43FBF">
      <w:pPr>
        <w:spacing w:line="360" w:lineRule="auto"/>
        <w:rPr>
          <w:color w:val="auto"/>
          <w:szCs w:val="21"/>
          <w:highlight w:val="none"/>
        </w:rPr>
      </w:pPr>
      <w:r>
        <w:rPr>
          <w:color w:val="auto"/>
          <w:szCs w:val="21"/>
          <w:highlight w:val="none"/>
        </w:rPr>
        <w:t>附件：法定代表人身份证</w:t>
      </w:r>
      <w:r>
        <w:rPr>
          <w:rFonts w:hint="eastAsia"/>
          <w:color w:val="auto"/>
          <w:szCs w:val="21"/>
          <w:highlight w:val="none"/>
        </w:rPr>
        <w:t>扫描件</w:t>
      </w:r>
    </w:p>
    <w:bookmarkEnd w:id="216"/>
    <w:p w14:paraId="16B83900">
      <w:pPr>
        <w:spacing w:line="360" w:lineRule="auto"/>
        <w:rPr>
          <w:color w:val="auto"/>
          <w:szCs w:val="21"/>
          <w:highlight w:val="none"/>
        </w:rPr>
      </w:pPr>
    </w:p>
    <w:p w14:paraId="5A94C870">
      <w:pPr>
        <w:spacing w:before="120" w:after="50" w:line="360" w:lineRule="exact"/>
        <w:rPr>
          <w:b/>
          <w:color w:val="auto"/>
          <w:szCs w:val="21"/>
          <w:highlight w:val="none"/>
        </w:rPr>
      </w:pPr>
      <w:r>
        <w:rPr>
          <w:b/>
          <w:color w:val="auto"/>
          <w:szCs w:val="21"/>
          <w:highlight w:val="none"/>
        </w:rPr>
        <w:br w:type="page" w:clear="all"/>
      </w:r>
      <w:r>
        <w:rPr>
          <w:rFonts w:hint="eastAsia"/>
          <w:b/>
          <w:color w:val="auto"/>
          <w:szCs w:val="21"/>
          <w:highlight w:val="none"/>
        </w:rPr>
        <w:t>1</w:t>
      </w:r>
      <w:r>
        <w:rPr>
          <w:b/>
          <w:color w:val="auto"/>
          <w:szCs w:val="21"/>
          <w:highlight w:val="none"/>
        </w:rPr>
        <w:t>．</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3A35D5EC">
      <w:pPr>
        <w:spacing w:before="120" w:after="50" w:line="440" w:lineRule="exact"/>
        <w:jc w:val="center"/>
        <w:rPr>
          <w:b/>
          <w:color w:val="auto"/>
          <w:szCs w:val="21"/>
          <w:highlight w:val="none"/>
        </w:rPr>
      </w:pPr>
    </w:p>
    <w:p w14:paraId="5C283D74">
      <w:pPr>
        <w:spacing w:before="120" w:after="50" w:line="440" w:lineRule="exact"/>
        <w:jc w:val="center"/>
        <w:rPr>
          <w:b/>
          <w:color w:val="auto"/>
          <w:szCs w:val="21"/>
          <w:highlight w:val="none"/>
        </w:rPr>
      </w:pPr>
      <w:r>
        <w:rPr>
          <w:b/>
          <w:color w:val="auto"/>
          <w:szCs w:val="21"/>
          <w:highlight w:val="none"/>
        </w:rPr>
        <w:t>法定代表人授权委托书</w:t>
      </w:r>
    </w:p>
    <w:p w14:paraId="14D3EF1B">
      <w:pPr>
        <w:spacing w:before="120" w:after="50" w:line="440" w:lineRule="exact"/>
        <w:rPr>
          <w:b/>
          <w:bCs/>
          <w:color w:val="auto"/>
          <w:szCs w:val="21"/>
          <w:highlight w:val="none"/>
        </w:rPr>
      </w:pPr>
      <w:r>
        <w:rPr>
          <w:bCs/>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58DA1F68">
      <w:pPr>
        <w:spacing w:before="120" w:after="50" w:line="440" w:lineRule="exact"/>
        <w:ind w:firstLine="420"/>
        <w:rPr>
          <w:color w:val="auto"/>
          <w:szCs w:val="21"/>
          <w:highlight w:val="none"/>
        </w:rPr>
      </w:pPr>
      <w:r>
        <w:rPr>
          <w:color w:val="auto"/>
          <w:szCs w:val="21"/>
          <w:highlight w:val="none"/>
        </w:rPr>
        <w:t>我</w:t>
      </w:r>
      <w:r>
        <w:rPr>
          <w:i/>
          <w:iCs/>
          <w:color w:val="auto"/>
          <w:szCs w:val="21"/>
          <w:highlight w:val="none"/>
          <w:u w:val="single"/>
        </w:rPr>
        <w:t>（</w:t>
      </w:r>
      <w:r>
        <w:rPr>
          <w:rFonts w:hint="eastAsia"/>
          <w:i/>
          <w:iCs/>
          <w:color w:val="auto"/>
          <w:szCs w:val="21"/>
          <w:highlight w:val="none"/>
          <w:u w:val="single"/>
        </w:rPr>
        <w:t>法定代表人姓名</w:t>
      </w:r>
      <w:r>
        <w:rPr>
          <w:i/>
          <w:iCs/>
          <w:color w:val="auto"/>
          <w:szCs w:val="21"/>
          <w:highlight w:val="none"/>
          <w:u w:val="single"/>
        </w:rPr>
        <w:t>）</w:t>
      </w:r>
      <w:r>
        <w:rPr>
          <w:color w:val="auto"/>
          <w:szCs w:val="21"/>
          <w:highlight w:val="none"/>
        </w:rPr>
        <w:t>系</w:t>
      </w:r>
      <w:r>
        <w:rPr>
          <w:i/>
          <w:iCs/>
          <w:color w:val="auto"/>
          <w:szCs w:val="21"/>
          <w:highlight w:val="none"/>
          <w:u w:val="single"/>
        </w:rPr>
        <w:t>（供应商名称）</w:t>
      </w:r>
      <w:r>
        <w:rPr>
          <w:color w:val="auto"/>
          <w:szCs w:val="21"/>
          <w:highlight w:val="none"/>
        </w:rPr>
        <w:t xml:space="preserve">的法定代表人，现授权委托本单位在职职工 </w:t>
      </w:r>
      <w:r>
        <w:rPr>
          <w:color w:val="auto"/>
          <w:szCs w:val="21"/>
          <w:highlight w:val="none"/>
          <w:u w:val="single"/>
        </w:rPr>
        <w:t xml:space="preserve">        </w:t>
      </w:r>
      <w:r>
        <w:rPr>
          <w:color w:val="auto"/>
          <w:szCs w:val="21"/>
          <w:highlight w:val="none"/>
        </w:rPr>
        <w:t>（姓名）以我方的名义参加</w:t>
      </w:r>
      <w:r>
        <w:rPr>
          <w:color w:val="auto"/>
          <w:szCs w:val="21"/>
          <w:highlight w:val="none"/>
          <w:u w:val="single"/>
        </w:rPr>
        <w:t xml:space="preserve"> </w:t>
      </w:r>
      <w:r>
        <w:rPr>
          <w:rFonts w:hint="eastAsia"/>
          <w:i/>
          <w:iCs/>
          <w:color w:val="auto"/>
          <w:szCs w:val="21"/>
          <w:highlight w:val="none"/>
          <w:u w:val="single"/>
        </w:rPr>
        <w:t>（项目名称）</w:t>
      </w:r>
      <w:r>
        <w:rPr>
          <w:color w:val="auto"/>
          <w:szCs w:val="21"/>
          <w:highlight w:val="none"/>
          <w:u w:val="single"/>
        </w:rPr>
        <w:t xml:space="preserve"> </w:t>
      </w:r>
      <w:r>
        <w:rPr>
          <w:color w:val="auto"/>
          <w:szCs w:val="21"/>
          <w:highlight w:val="none"/>
        </w:rPr>
        <w:t>项目的投标活动，并代表我方全权办理针对上述项目的投标、开标、评审、签约等具体事务和签署相关文件。</w:t>
      </w:r>
    </w:p>
    <w:p w14:paraId="3FC71C77">
      <w:pPr>
        <w:spacing w:before="120" w:after="50" w:line="440" w:lineRule="exact"/>
        <w:rPr>
          <w:color w:val="auto"/>
          <w:szCs w:val="21"/>
          <w:highlight w:val="none"/>
        </w:rPr>
      </w:pPr>
      <w:r>
        <w:rPr>
          <w:color w:val="auto"/>
          <w:szCs w:val="21"/>
          <w:highlight w:val="none"/>
        </w:rPr>
        <w:t xml:space="preserve">    我方对被授权人的签名事项负全部责任。</w:t>
      </w:r>
    </w:p>
    <w:p w14:paraId="19A7A480">
      <w:pPr>
        <w:spacing w:before="12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1CCA4455">
      <w:pPr>
        <w:spacing w:before="120" w:after="50" w:line="440" w:lineRule="exact"/>
        <w:ind w:firstLine="480"/>
        <w:rPr>
          <w:color w:val="auto"/>
          <w:szCs w:val="21"/>
          <w:highlight w:val="none"/>
        </w:rPr>
      </w:pPr>
      <w:r>
        <w:rPr>
          <w:color w:val="auto"/>
          <w:szCs w:val="21"/>
          <w:highlight w:val="none"/>
        </w:rPr>
        <w:t>被授权人无转委托权，特此委托。</w:t>
      </w:r>
    </w:p>
    <w:p w14:paraId="5F83C38B">
      <w:pPr>
        <w:spacing w:before="120" w:after="50" w:line="440" w:lineRule="exact"/>
        <w:rPr>
          <w:color w:val="auto"/>
          <w:szCs w:val="21"/>
          <w:highlight w:val="none"/>
          <w:u w:val="single"/>
        </w:rPr>
      </w:pPr>
      <w:r>
        <w:rPr>
          <w:color w:val="auto"/>
          <w:szCs w:val="21"/>
          <w:highlight w:val="none"/>
        </w:rPr>
        <w:t>被授权人签字或</w:t>
      </w:r>
      <w:r>
        <w:rPr>
          <w:rFonts w:hint="eastAsia"/>
          <w:color w:val="auto"/>
          <w:szCs w:val="21"/>
          <w:highlight w:val="none"/>
        </w:rPr>
        <w:t>签</w:t>
      </w:r>
      <w:r>
        <w:rPr>
          <w:color w:val="auto"/>
          <w:szCs w:val="21"/>
          <w:highlight w:val="none"/>
        </w:rPr>
        <w:t>章：</w:t>
      </w:r>
      <w:r>
        <w:rPr>
          <w:color w:val="auto"/>
          <w:szCs w:val="21"/>
          <w:highlight w:val="none"/>
          <w:u w:val="single"/>
        </w:rPr>
        <w:t xml:space="preserve">          </w:t>
      </w:r>
      <w:r>
        <w:rPr>
          <w:color w:val="auto"/>
          <w:szCs w:val="21"/>
          <w:highlight w:val="none"/>
        </w:rPr>
        <w:t xml:space="preserve">                     法定代表人签字或</w:t>
      </w:r>
      <w:r>
        <w:rPr>
          <w:rFonts w:hint="eastAsia"/>
          <w:color w:val="auto"/>
          <w:szCs w:val="21"/>
          <w:highlight w:val="none"/>
        </w:rPr>
        <w:t>签</w:t>
      </w:r>
      <w:r>
        <w:rPr>
          <w:color w:val="auto"/>
          <w:szCs w:val="21"/>
          <w:highlight w:val="none"/>
        </w:rPr>
        <w:t>章：</w:t>
      </w:r>
      <w:r>
        <w:rPr>
          <w:color w:val="auto"/>
          <w:szCs w:val="21"/>
          <w:highlight w:val="none"/>
          <w:u w:val="single"/>
        </w:rPr>
        <w:t xml:space="preserve">          </w:t>
      </w:r>
    </w:p>
    <w:p w14:paraId="6351FACA">
      <w:pPr>
        <w:spacing w:before="12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1410CA3B">
      <w:pPr>
        <w:spacing w:before="120" w:after="50" w:line="440" w:lineRule="exact"/>
        <w:rPr>
          <w:color w:val="auto"/>
          <w:szCs w:val="21"/>
          <w:highlight w:val="none"/>
          <w:u w:val="single"/>
        </w:rPr>
      </w:pPr>
      <w:bookmarkStart w:id="217" w:name="_Hlk138844890"/>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w:t>
      </w:r>
      <w:bookmarkEnd w:id="217"/>
      <w:r>
        <w:rPr>
          <w:color w:val="auto"/>
          <w:szCs w:val="21"/>
          <w:highlight w:val="none"/>
        </w:rPr>
        <w:t xml:space="preserve">          授权人身份证号码：</w:t>
      </w:r>
      <w:r>
        <w:rPr>
          <w:color w:val="auto"/>
          <w:szCs w:val="21"/>
          <w:highlight w:val="none"/>
          <w:u w:val="single"/>
        </w:rPr>
        <w:t xml:space="preserve">                 </w:t>
      </w:r>
    </w:p>
    <w:p w14:paraId="26F51ACD">
      <w:pPr>
        <w:spacing w:before="120" w:after="50" w:line="440" w:lineRule="exact"/>
        <w:rPr>
          <w:color w:val="auto"/>
          <w:szCs w:val="21"/>
          <w:highlight w:val="none"/>
        </w:rPr>
      </w:pPr>
      <w:r>
        <w:rPr>
          <w:rFonts w:hint="eastAsia"/>
          <w:color w:val="auto"/>
          <w:szCs w:val="21"/>
          <w:highlight w:val="none"/>
        </w:rPr>
        <w:t>被授权人</w:t>
      </w:r>
      <w:bookmarkStart w:id="218" w:name="_Hlk132793041"/>
      <w:r>
        <w:rPr>
          <w:rFonts w:hint="eastAsia"/>
          <w:color w:val="auto"/>
          <w:szCs w:val="21"/>
          <w:highlight w:val="none"/>
        </w:rPr>
        <w:t>手机号码及邮箱：</w:t>
      </w:r>
      <w:bookmarkEnd w:id="218"/>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 xml:space="preserve"> </w:t>
      </w:r>
      <w:r>
        <w:rPr>
          <w:color w:val="auto"/>
          <w:szCs w:val="21"/>
          <w:highlight w:val="none"/>
        </w:rPr>
        <w:t xml:space="preserve">                  </w:t>
      </w:r>
    </w:p>
    <w:p w14:paraId="21EBE3D9">
      <w:pPr>
        <w:spacing w:before="120" w:after="50" w:line="440" w:lineRule="exact"/>
        <w:rPr>
          <w:color w:val="auto"/>
          <w:szCs w:val="21"/>
          <w:highlight w:val="none"/>
        </w:rPr>
      </w:pPr>
      <w:r>
        <w:rPr>
          <w:color w:val="auto"/>
          <w:szCs w:val="21"/>
          <w:highlight w:val="none"/>
        </w:rPr>
        <w:t xml:space="preserve">                                  </w:t>
      </w:r>
    </w:p>
    <w:p w14:paraId="2CD85D49">
      <w:pPr>
        <w:spacing w:before="120" w:after="50" w:line="440" w:lineRule="exact"/>
        <w:ind w:firstLine="525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4723EFF8">
      <w:pPr>
        <w:spacing w:before="120" w:after="50" w:line="440" w:lineRule="exact"/>
        <w:jc w:val="center"/>
        <w:rPr>
          <w:color w:val="auto"/>
          <w:szCs w:val="21"/>
          <w:highlight w:val="none"/>
        </w:rPr>
      </w:pPr>
      <w:r>
        <w:rPr>
          <w:color w:val="auto"/>
          <w:szCs w:val="21"/>
          <w:highlight w:val="none"/>
        </w:rPr>
        <w:t xml:space="preserve">                                        年    月    日</w:t>
      </w:r>
    </w:p>
    <w:p w14:paraId="16891D5E">
      <w:pPr>
        <w:spacing w:line="360" w:lineRule="auto"/>
        <w:rPr>
          <w:color w:val="auto"/>
          <w:szCs w:val="21"/>
          <w:highlight w:val="none"/>
        </w:rPr>
      </w:pPr>
    </w:p>
    <w:p w14:paraId="38B78D48">
      <w:pPr>
        <w:spacing w:line="360" w:lineRule="auto"/>
        <w:rPr>
          <w:color w:val="auto"/>
          <w:szCs w:val="21"/>
          <w:highlight w:val="none"/>
        </w:rPr>
      </w:pPr>
    </w:p>
    <w:p w14:paraId="6764DD3D">
      <w:pPr>
        <w:spacing w:line="360" w:lineRule="auto"/>
        <w:rPr>
          <w:color w:val="auto"/>
          <w:szCs w:val="21"/>
          <w:highlight w:val="none"/>
        </w:rPr>
      </w:pPr>
      <w:r>
        <w:rPr>
          <w:color w:val="auto"/>
          <w:szCs w:val="21"/>
          <w:highlight w:val="none"/>
        </w:rPr>
        <w:t>附件：法定代表人身份证</w:t>
      </w:r>
      <w:r>
        <w:rPr>
          <w:rFonts w:hint="eastAsia"/>
          <w:color w:val="auto"/>
          <w:szCs w:val="21"/>
          <w:highlight w:val="none"/>
        </w:rPr>
        <w:t>扫描件</w:t>
      </w:r>
      <w:r>
        <w:rPr>
          <w:color w:val="auto"/>
          <w:szCs w:val="21"/>
          <w:highlight w:val="none"/>
        </w:rPr>
        <w:t>及授权代表身份证</w:t>
      </w:r>
      <w:r>
        <w:rPr>
          <w:rFonts w:hint="eastAsia"/>
          <w:color w:val="auto"/>
          <w:szCs w:val="21"/>
          <w:highlight w:val="none"/>
        </w:rPr>
        <w:t>扫描件</w:t>
      </w:r>
    </w:p>
    <w:p w14:paraId="08F93B37">
      <w:pPr>
        <w:jc w:val="center"/>
        <w:rPr>
          <w:bCs/>
          <w:color w:val="auto"/>
          <w:sz w:val="28"/>
          <w:szCs w:val="28"/>
          <w:highlight w:val="none"/>
        </w:rPr>
      </w:pPr>
      <w:r>
        <w:rPr>
          <w:bCs/>
          <w:color w:val="auto"/>
          <w:sz w:val="24"/>
          <w:highlight w:val="none"/>
        </w:rPr>
        <w:br w:type="page" w:clear="all"/>
      </w:r>
      <w:r>
        <w:rPr>
          <w:color w:val="auto"/>
          <w:sz w:val="28"/>
          <w:szCs w:val="28"/>
          <w:highlight w:val="none"/>
        </w:rPr>
        <w:t>第一部分 商务文件</w:t>
      </w:r>
    </w:p>
    <w:p w14:paraId="1D649146">
      <w:pPr>
        <w:jc w:val="center"/>
        <w:rPr>
          <w:bCs/>
          <w:color w:val="auto"/>
          <w:sz w:val="24"/>
          <w:highlight w:val="none"/>
        </w:rPr>
      </w:pPr>
      <w:r>
        <w:rPr>
          <w:color w:val="auto"/>
          <w:highlight w:val="none"/>
        </w:rPr>
        <w:t>（本商务文件供应商可自行编写，也可参照下述提纲编写）</w:t>
      </w:r>
    </w:p>
    <w:p w14:paraId="1DFB36CE">
      <w:pPr>
        <w:spacing w:before="50" w:after="120" w:line="440" w:lineRule="exact"/>
        <w:jc w:val="left"/>
        <w:rPr>
          <w:color w:val="auto"/>
          <w:szCs w:val="21"/>
          <w:highlight w:val="none"/>
        </w:rPr>
      </w:pPr>
    </w:p>
    <w:p w14:paraId="067BB507">
      <w:pPr>
        <w:spacing w:before="50" w:after="120" w:line="440" w:lineRule="exact"/>
        <w:jc w:val="left"/>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《采购需求》“</w:t>
      </w:r>
      <w:r>
        <w:rPr>
          <w:color w:val="auto"/>
          <w:szCs w:val="21"/>
          <w:highlight w:val="none"/>
        </w:rPr>
        <w:t>商务要求</w:t>
      </w:r>
      <w:r>
        <w:rPr>
          <w:rFonts w:hint="eastAsia"/>
          <w:color w:val="auto"/>
          <w:szCs w:val="21"/>
          <w:highlight w:val="none"/>
        </w:rPr>
        <w:t>”</w:t>
      </w:r>
      <w:r>
        <w:rPr>
          <w:color w:val="auto"/>
          <w:szCs w:val="21"/>
          <w:highlight w:val="none"/>
        </w:rPr>
        <w:t>的</w:t>
      </w:r>
      <w:r>
        <w:rPr>
          <w:rFonts w:hint="eastAsia"/>
          <w:color w:val="auto"/>
          <w:szCs w:val="21"/>
          <w:highlight w:val="none"/>
        </w:rPr>
        <w:t>响应表</w:t>
      </w:r>
    </w:p>
    <w:tbl>
      <w:tblPr>
        <w:tblStyle w:val="56"/>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0"/>
        <w:gridCol w:w="2346"/>
        <w:gridCol w:w="4085"/>
        <w:gridCol w:w="1887"/>
      </w:tblGrid>
      <w:tr w14:paraId="687A7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57274D48">
            <w:pPr>
              <w:spacing w:before="120"/>
              <w:jc w:val="center"/>
              <w:rPr>
                <w:color w:val="auto"/>
                <w:szCs w:val="21"/>
                <w:highlight w:val="none"/>
              </w:rPr>
            </w:pPr>
            <w:r>
              <w:rPr>
                <w:color w:val="auto"/>
                <w:szCs w:val="21"/>
                <w:highlight w:val="none"/>
              </w:rPr>
              <w:t>序号</w:t>
            </w:r>
          </w:p>
        </w:tc>
        <w:tc>
          <w:tcPr>
            <w:tcW w:w="2346" w:type="dxa"/>
            <w:tcBorders>
              <w:top w:val="single" w:color="auto" w:sz="4" w:space="0"/>
              <w:left w:val="single" w:color="auto" w:sz="4" w:space="0"/>
              <w:bottom w:val="single" w:color="auto" w:sz="4" w:space="0"/>
              <w:right w:val="single" w:color="auto" w:sz="4" w:space="0"/>
            </w:tcBorders>
            <w:noWrap w:val="0"/>
            <w:vAlign w:val="center"/>
          </w:tcPr>
          <w:p w14:paraId="3F1C7BB2">
            <w:pPr>
              <w:spacing w:before="120"/>
              <w:jc w:val="center"/>
              <w:rPr>
                <w:color w:val="auto"/>
                <w:szCs w:val="21"/>
                <w:highlight w:val="none"/>
              </w:rPr>
            </w:pPr>
            <w:r>
              <w:rPr>
                <w:color w:val="auto"/>
                <w:szCs w:val="21"/>
                <w:highlight w:val="none"/>
              </w:rPr>
              <w:t>招标文件的商务要求</w:t>
            </w:r>
          </w:p>
        </w:tc>
        <w:tc>
          <w:tcPr>
            <w:tcW w:w="4085" w:type="dxa"/>
            <w:tcBorders>
              <w:top w:val="single" w:color="auto" w:sz="4" w:space="0"/>
              <w:left w:val="single" w:color="auto" w:sz="4" w:space="0"/>
              <w:bottom w:val="single" w:color="auto" w:sz="4" w:space="0"/>
              <w:right w:val="single" w:color="auto" w:sz="4" w:space="0"/>
            </w:tcBorders>
            <w:noWrap w:val="0"/>
            <w:vAlign w:val="center"/>
          </w:tcPr>
          <w:p w14:paraId="0C35126C">
            <w:pPr>
              <w:spacing w:before="120"/>
              <w:jc w:val="center"/>
              <w:rPr>
                <w:color w:val="auto"/>
                <w:szCs w:val="21"/>
                <w:highlight w:val="none"/>
              </w:rPr>
            </w:pPr>
            <w:r>
              <w:rPr>
                <w:color w:val="auto"/>
                <w:szCs w:val="21"/>
                <w:highlight w:val="none"/>
              </w:rPr>
              <w:t>投标文件响应内容</w:t>
            </w:r>
          </w:p>
        </w:tc>
        <w:tc>
          <w:tcPr>
            <w:tcW w:w="1887" w:type="dxa"/>
            <w:tcBorders>
              <w:top w:val="single" w:color="auto" w:sz="4" w:space="0"/>
              <w:left w:val="single" w:color="auto" w:sz="4" w:space="0"/>
              <w:bottom w:val="single" w:color="auto" w:sz="4" w:space="0"/>
              <w:right w:val="single" w:color="auto" w:sz="4" w:space="0"/>
            </w:tcBorders>
            <w:noWrap w:val="0"/>
            <w:vAlign w:val="center"/>
          </w:tcPr>
          <w:p w14:paraId="5F0A1C91">
            <w:pPr>
              <w:spacing w:before="120"/>
              <w:jc w:val="center"/>
              <w:rPr>
                <w:color w:val="auto"/>
                <w:szCs w:val="21"/>
                <w:highlight w:val="none"/>
              </w:rPr>
            </w:pPr>
            <w:r>
              <w:rPr>
                <w:color w:val="auto"/>
                <w:highlight w:val="none"/>
              </w:rPr>
              <w:t>偏离</w:t>
            </w:r>
            <w:r>
              <w:rPr>
                <w:color w:val="auto"/>
                <w:szCs w:val="21"/>
                <w:highlight w:val="none"/>
              </w:rPr>
              <w:t>说明</w:t>
            </w:r>
          </w:p>
        </w:tc>
      </w:tr>
      <w:tr w14:paraId="669A0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6591599F">
            <w:pPr>
              <w:spacing w:before="120"/>
              <w:jc w:val="center"/>
              <w:rPr>
                <w:color w:val="auto"/>
                <w:szCs w:val="21"/>
                <w:highlight w:val="none"/>
              </w:rPr>
            </w:pPr>
          </w:p>
        </w:tc>
        <w:tc>
          <w:tcPr>
            <w:tcW w:w="2346" w:type="dxa"/>
            <w:tcBorders>
              <w:top w:val="single" w:color="auto" w:sz="4" w:space="0"/>
              <w:left w:val="single" w:color="auto" w:sz="4" w:space="0"/>
              <w:bottom w:val="single" w:color="auto" w:sz="4" w:space="0"/>
              <w:right w:val="single" w:color="auto" w:sz="4" w:space="0"/>
            </w:tcBorders>
            <w:noWrap w:val="0"/>
            <w:vAlign w:val="center"/>
          </w:tcPr>
          <w:p w14:paraId="39FFDEF3">
            <w:pPr>
              <w:spacing w:before="120"/>
              <w:jc w:val="center"/>
              <w:rPr>
                <w:color w:val="auto"/>
                <w:szCs w:val="21"/>
                <w:highlight w:val="none"/>
              </w:rPr>
            </w:pPr>
          </w:p>
        </w:tc>
        <w:tc>
          <w:tcPr>
            <w:tcW w:w="4085" w:type="dxa"/>
            <w:tcBorders>
              <w:top w:val="single" w:color="auto" w:sz="4" w:space="0"/>
              <w:left w:val="single" w:color="auto" w:sz="4" w:space="0"/>
              <w:bottom w:val="single" w:color="auto" w:sz="4" w:space="0"/>
              <w:right w:val="single" w:color="auto" w:sz="4" w:space="0"/>
            </w:tcBorders>
            <w:noWrap w:val="0"/>
            <w:vAlign w:val="center"/>
          </w:tcPr>
          <w:p w14:paraId="240561BC">
            <w:pPr>
              <w:spacing w:before="120"/>
              <w:jc w:val="center"/>
              <w:rPr>
                <w:color w:val="auto"/>
                <w:szCs w:val="21"/>
                <w:highlight w:val="none"/>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2F03A9C5">
            <w:pPr>
              <w:spacing w:before="120"/>
              <w:jc w:val="center"/>
              <w:rPr>
                <w:color w:val="auto"/>
                <w:szCs w:val="21"/>
                <w:highlight w:val="none"/>
              </w:rPr>
            </w:pPr>
          </w:p>
        </w:tc>
      </w:tr>
      <w:tr w14:paraId="5BBE2F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66D26BD5">
            <w:pPr>
              <w:spacing w:before="120"/>
              <w:jc w:val="center"/>
              <w:rPr>
                <w:color w:val="auto"/>
                <w:szCs w:val="21"/>
                <w:highlight w:val="none"/>
              </w:rPr>
            </w:pPr>
          </w:p>
        </w:tc>
        <w:tc>
          <w:tcPr>
            <w:tcW w:w="2346" w:type="dxa"/>
            <w:tcBorders>
              <w:top w:val="single" w:color="auto" w:sz="4" w:space="0"/>
              <w:left w:val="single" w:color="auto" w:sz="4" w:space="0"/>
              <w:bottom w:val="single" w:color="auto" w:sz="4" w:space="0"/>
              <w:right w:val="single" w:color="auto" w:sz="4" w:space="0"/>
            </w:tcBorders>
            <w:noWrap w:val="0"/>
            <w:vAlign w:val="center"/>
          </w:tcPr>
          <w:p w14:paraId="67AE07B1">
            <w:pPr>
              <w:spacing w:before="120"/>
              <w:jc w:val="center"/>
              <w:rPr>
                <w:color w:val="auto"/>
                <w:szCs w:val="21"/>
                <w:highlight w:val="none"/>
              </w:rPr>
            </w:pPr>
          </w:p>
        </w:tc>
        <w:tc>
          <w:tcPr>
            <w:tcW w:w="4085" w:type="dxa"/>
            <w:tcBorders>
              <w:top w:val="single" w:color="auto" w:sz="4" w:space="0"/>
              <w:left w:val="single" w:color="auto" w:sz="4" w:space="0"/>
              <w:bottom w:val="single" w:color="auto" w:sz="4" w:space="0"/>
              <w:right w:val="single" w:color="auto" w:sz="4" w:space="0"/>
            </w:tcBorders>
            <w:noWrap w:val="0"/>
            <w:vAlign w:val="center"/>
          </w:tcPr>
          <w:p w14:paraId="2715F6E5">
            <w:pPr>
              <w:spacing w:before="120"/>
              <w:jc w:val="center"/>
              <w:rPr>
                <w:color w:val="auto"/>
                <w:szCs w:val="21"/>
                <w:highlight w:val="none"/>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39C854E1">
            <w:pPr>
              <w:spacing w:before="120"/>
              <w:jc w:val="center"/>
              <w:rPr>
                <w:color w:val="auto"/>
                <w:szCs w:val="21"/>
                <w:highlight w:val="none"/>
              </w:rPr>
            </w:pPr>
          </w:p>
        </w:tc>
      </w:tr>
      <w:tr w14:paraId="25ED0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exac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6154C1CE">
            <w:pPr>
              <w:spacing w:before="120"/>
              <w:jc w:val="center"/>
              <w:rPr>
                <w:color w:val="auto"/>
                <w:szCs w:val="21"/>
                <w:highlight w:val="none"/>
              </w:rPr>
            </w:pPr>
          </w:p>
        </w:tc>
        <w:tc>
          <w:tcPr>
            <w:tcW w:w="2346" w:type="dxa"/>
            <w:tcBorders>
              <w:top w:val="single" w:color="auto" w:sz="4" w:space="0"/>
              <w:left w:val="single" w:color="auto" w:sz="4" w:space="0"/>
              <w:bottom w:val="single" w:color="auto" w:sz="4" w:space="0"/>
              <w:right w:val="single" w:color="auto" w:sz="4" w:space="0"/>
            </w:tcBorders>
            <w:noWrap w:val="0"/>
            <w:vAlign w:val="center"/>
          </w:tcPr>
          <w:p w14:paraId="26172810">
            <w:pPr>
              <w:spacing w:before="120"/>
              <w:jc w:val="center"/>
              <w:rPr>
                <w:color w:val="auto"/>
                <w:szCs w:val="21"/>
                <w:highlight w:val="none"/>
              </w:rPr>
            </w:pPr>
            <w:r>
              <w:rPr>
                <w:color w:val="auto"/>
                <w:szCs w:val="21"/>
                <w:highlight w:val="none"/>
              </w:rPr>
              <w:t>……</w:t>
            </w:r>
          </w:p>
        </w:tc>
        <w:tc>
          <w:tcPr>
            <w:tcW w:w="4085" w:type="dxa"/>
            <w:tcBorders>
              <w:top w:val="single" w:color="auto" w:sz="4" w:space="0"/>
              <w:left w:val="single" w:color="auto" w:sz="4" w:space="0"/>
              <w:bottom w:val="single" w:color="auto" w:sz="4" w:space="0"/>
              <w:right w:val="single" w:color="auto" w:sz="4" w:space="0"/>
            </w:tcBorders>
            <w:noWrap w:val="0"/>
            <w:vAlign w:val="center"/>
          </w:tcPr>
          <w:p w14:paraId="26E307FC">
            <w:pPr>
              <w:spacing w:before="120"/>
              <w:jc w:val="center"/>
              <w:rPr>
                <w:color w:val="auto"/>
                <w:szCs w:val="21"/>
                <w:highlight w:val="none"/>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51CCB229">
            <w:pPr>
              <w:spacing w:before="120"/>
              <w:jc w:val="center"/>
              <w:rPr>
                <w:color w:val="auto"/>
                <w:szCs w:val="21"/>
                <w:highlight w:val="none"/>
              </w:rPr>
            </w:pPr>
          </w:p>
        </w:tc>
      </w:tr>
    </w:tbl>
    <w:p w14:paraId="1C024807">
      <w:pPr>
        <w:pStyle w:val="27"/>
        <w:tabs>
          <w:tab w:val="left" w:pos="2127"/>
        </w:tabs>
        <w:spacing w:line="340" w:lineRule="exact"/>
        <w:ind w:firstLine="420"/>
        <w:jc w:val="left"/>
        <w:rPr>
          <w:rFonts w:ascii="Times New Roman" w:hAnsi="Times New Roman" w:cs="Times New Roman"/>
          <w:color w:val="auto"/>
          <w:highlight w:val="none"/>
        </w:rPr>
      </w:pPr>
      <w:bookmarkStart w:id="219" w:name="_Hlk48144603"/>
      <w:bookmarkStart w:id="220" w:name="_Hlk88990584"/>
      <w:r>
        <w:rPr>
          <w:rFonts w:ascii="Times New Roman" w:hAnsi="Times New Roman" w:cs="Times New Roman"/>
          <w:color w:val="auto"/>
          <w:highlight w:val="none"/>
        </w:rPr>
        <w:t>注：</w:t>
      </w:r>
      <w:bookmarkStart w:id="221" w:name="_Hlk19049081"/>
      <w:r>
        <w:rPr>
          <w:rFonts w:ascii="Times New Roman" w:hAnsi="Times New Roman" w:cs="Times New Roman"/>
          <w:color w:val="auto"/>
          <w:highlight w:val="none"/>
        </w:rPr>
        <w:t>（1）本表应对招标文件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w:t>
      </w:r>
      <w:r>
        <w:rPr>
          <w:rFonts w:hint="eastAsia" w:ascii="Times New Roman" w:hAnsi="Times New Roman" w:cs="Times New Roman"/>
          <w:color w:val="auto"/>
          <w:highlight w:val="none"/>
        </w:rPr>
        <w:t>及其他要求</w:t>
      </w:r>
      <w:r>
        <w:rPr>
          <w:rFonts w:ascii="Times New Roman" w:hAnsi="Times New Roman" w:cs="Times New Roman"/>
          <w:color w:val="auto"/>
          <w:highlight w:val="none"/>
        </w:rPr>
        <w:t>进行响应，并根据响应情况在“偏离说明”栏填写正偏离或负偏离，完全符合的填写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66A883E3">
      <w:pPr>
        <w:pStyle w:val="27"/>
        <w:tabs>
          <w:tab w:val="left" w:pos="2127"/>
        </w:tabs>
        <w:spacing w:line="340" w:lineRule="exact"/>
        <w:ind w:firstLine="42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15E92FC6">
      <w:pPr>
        <w:ind w:firstLine="42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bookmarkEnd w:id="221"/>
    </w:p>
    <w:p w14:paraId="1FF7CF6F">
      <w:pPr>
        <w:pStyle w:val="27"/>
        <w:tabs>
          <w:tab w:val="left" w:pos="2127"/>
        </w:tabs>
        <w:spacing w:line="340" w:lineRule="exact"/>
        <w:ind w:firstLine="42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bookmarkEnd w:id="219"/>
    </w:p>
    <w:p w14:paraId="050BBF06">
      <w:pPr>
        <w:spacing w:before="50" w:after="12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bookmarkEnd w:id="220"/>
    </w:p>
    <w:p w14:paraId="40A0A477">
      <w:pPr>
        <w:spacing w:before="50" w:after="120" w:line="440" w:lineRule="exact"/>
        <w:jc w:val="left"/>
        <w:rPr>
          <w:strike/>
          <w:color w:val="auto"/>
          <w:szCs w:val="21"/>
          <w:highlight w:val="none"/>
        </w:rPr>
      </w:pPr>
    </w:p>
    <w:p w14:paraId="1D3F4D96">
      <w:pPr>
        <w:spacing w:before="50" w:after="120" w:line="440" w:lineRule="exact"/>
        <w:jc w:val="left"/>
        <w:rPr>
          <w:strike/>
          <w:color w:val="auto"/>
          <w:szCs w:val="21"/>
          <w:highlight w:val="none"/>
        </w:rPr>
      </w:pPr>
      <w:r>
        <w:rPr>
          <w:color w:val="auto"/>
          <w:szCs w:val="21"/>
          <w:highlight w:val="none"/>
        </w:rPr>
        <w:t>2．售后服务机构概况</w:t>
      </w:r>
    </w:p>
    <w:tbl>
      <w:tblPr>
        <w:tblStyle w:val="5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0"/>
        <w:gridCol w:w="1422"/>
        <w:gridCol w:w="191"/>
        <w:gridCol w:w="1440"/>
        <w:gridCol w:w="889"/>
        <w:gridCol w:w="1436"/>
      </w:tblGrid>
      <w:tr w14:paraId="28B02C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399F27B8">
            <w:pPr>
              <w:spacing w:before="50" w:after="120" w:line="400" w:lineRule="exact"/>
              <w:jc w:val="left"/>
              <w:rPr>
                <w:color w:val="auto"/>
                <w:szCs w:val="21"/>
                <w:highlight w:val="none"/>
              </w:rPr>
            </w:pPr>
            <w:r>
              <w:rPr>
                <w:color w:val="auto"/>
                <w:szCs w:val="21"/>
                <w:highlight w:val="none"/>
              </w:rPr>
              <w:t>售后服务机构名称</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14AD1B31">
            <w:pPr>
              <w:spacing w:before="50" w:after="120" w:line="400" w:lineRule="exact"/>
              <w:jc w:val="left"/>
              <w:rPr>
                <w:color w:val="auto"/>
                <w:szCs w:val="21"/>
                <w:highlight w:val="none"/>
              </w:rPr>
            </w:pPr>
          </w:p>
        </w:tc>
      </w:tr>
      <w:tr w14:paraId="687055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58B5B56F">
            <w:pPr>
              <w:spacing w:before="50" w:after="120" w:line="400" w:lineRule="exact"/>
              <w:jc w:val="left"/>
              <w:rPr>
                <w:color w:val="auto"/>
                <w:szCs w:val="21"/>
                <w:highlight w:val="none"/>
              </w:rPr>
            </w:pPr>
            <w:r>
              <w:rPr>
                <w:color w:val="auto"/>
                <w:szCs w:val="21"/>
                <w:highlight w:val="none"/>
              </w:rPr>
              <w:t>地址</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04D1A823">
            <w:pPr>
              <w:spacing w:before="50" w:after="120" w:line="400" w:lineRule="exact"/>
              <w:jc w:val="left"/>
              <w:rPr>
                <w:color w:val="auto"/>
                <w:szCs w:val="21"/>
                <w:highlight w:val="none"/>
              </w:rPr>
            </w:pPr>
          </w:p>
        </w:tc>
      </w:tr>
      <w:tr w14:paraId="74CDC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0B2450ED">
            <w:pPr>
              <w:spacing w:before="50" w:after="120" w:line="400" w:lineRule="exact"/>
              <w:jc w:val="left"/>
              <w:rPr>
                <w:color w:val="auto"/>
                <w:szCs w:val="21"/>
                <w:highlight w:val="none"/>
              </w:rPr>
            </w:pPr>
            <w:r>
              <w:rPr>
                <w:color w:val="auto"/>
                <w:szCs w:val="21"/>
                <w:highlight w:val="none"/>
              </w:rPr>
              <w:t>注册资本金</w:t>
            </w:r>
          </w:p>
        </w:tc>
        <w:tc>
          <w:tcPr>
            <w:tcW w:w="1422" w:type="dxa"/>
            <w:tcBorders>
              <w:top w:val="single" w:color="auto" w:sz="4" w:space="0"/>
              <w:left w:val="single" w:color="auto" w:sz="4" w:space="0"/>
              <w:bottom w:val="single" w:color="auto" w:sz="4" w:space="0"/>
              <w:right w:val="single" w:color="auto" w:sz="4" w:space="0"/>
            </w:tcBorders>
            <w:noWrap w:val="0"/>
          </w:tcPr>
          <w:p w14:paraId="6BAF6317">
            <w:pPr>
              <w:spacing w:before="50" w:after="120" w:line="400" w:lineRule="exact"/>
              <w:jc w:val="left"/>
              <w:rPr>
                <w:color w:val="auto"/>
                <w:szCs w:val="21"/>
                <w:highlight w:val="none"/>
              </w:rPr>
            </w:pPr>
          </w:p>
        </w:tc>
        <w:tc>
          <w:tcPr>
            <w:tcW w:w="2520" w:type="dxa"/>
            <w:gridSpan w:val="3"/>
            <w:tcBorders>
              <w:top w:val="single" w:color="auto" w:sz="4" w:space="0"/>
              <w:left w:val="single" w:color="auto" w:sz="4" w:space="0"/>
              <w:bottom w:val="single" w:color="auto" w:sz="4" w:space="0"/>
              <w:right w:val="single" w:color="auto" w:sz="4" w:space="0"/>
            </w:tcBorders>
            <w:noWrap w:val="0"/>
          </w:tcPr>
          <w:p w14:paraId="68B093A7">
            <w:pPr>
              <w:spacing w:before="50" w:after="120" w:line="400" w:lineRule="exact"/>
              <w:jc w:val="left"/>
              <w:rPr>
                <w:color w:val="auto"/>
                <w:szCs w:val="21"/>
                <w:highlight w:val="none"/>
              </w:rPr>
            </w:pPr>
            <w:r>
              <w:rPr>
                <w:color w:val="auto"/>
                <w:szCs w:val="21"/>
                <w:highlight w:val="none"/>
              </w:rPr>
              <w:t>其中：供应商出资比例</w:t>
            </w:r>
          </w:p>
        </w:tc>
        <w:tc>
          <w:tcPr>
            <w:tcW w:w="1436" w:type="dxa"/>
            <w:tcBorders>
              <w:top w:val="single" w:color="auto" w:sz="4" w:space="0"/>
              <w:left w:val="single" w:color="auto" w:sz="4" w:space="0"/>
              <w:bottom w:val="single" w:color="auto" w:sz="4" w:space="0"/>
              <w:right w:val="single" w:color="auto" w:sz="4" w:space="0"/>
            </w:tcBorders>
            <w:noWrap w:val="0"/>
          </w:tcPr>
          <w:p w14:paraId="5A485F39">
            <w:pPr>
              <w:spacing w:before="50" w:after="120" w:line="400" w:lineRule="exact"/>
              <w:jc w:val="left"/>
              <w:rPr>
                <w:color w:val="auto"/>
                <w:szCs w:val="21"/>
                <w:highlight w:val="none"/>
              </w:rPr>
            </w:pPr>
          </w:p>
        </w:tc>
      </w:tr>
      <w:tr w14:paraId="4873BC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1440B452">
            <w:pPr>
              <w:spacing w:before="50" w:after="120" w:line="400" w:lineRule="exact"/>
              <w:jc w:val="left"/>
              <w:rPr>
                <w:color w:val="auto"/>
                <w:szCs w:val="21"/>
                <w:highlight w:val="none"/>
              </w:rPr>
            </w:pPr>
            <w:r>
              <w:rPr>
                <w:color w:val="auto"/>
                <w:szCs w:val="21"/>
                <w:highlight w:val="none"/>
              </w:rPr>
              <w:t>员工总人数</w:t>
            </w:r>
          </w:p>
        </w:tc>
        <w:tc>
          <w:tcPr>
            <w:tcW w:w="1422" w:type="dxa"/>
            <w:tcBorders>
              <w:top w:val="single" w:color="auto" w:sz="4" w:space="0"/>
              <w:left w:val="single" w:color="auto" w:sz="4" w:space="0"/>
              <w:bottom w:val="single" w:color="auto" w:sz="4" w:space="0"/>
              <w:right w:val="single" w:color="auto" w:sz="4" w:space="0"/>
            </w:tcBorders>
            <w:noWrap w:val="0"/>
          </w:tcPr>
          <w:p w14:paraId="40CD1ECE">
            <w:pPr>
              <w:spacing w:before="50" w:after="120" w:line="400" w:lineRule="exact"/>
              <w:jc w:val="left"/>
              <w:rPr>
                <w:color w:val="auto"/>
                <w:szCs w:val="21"/>
                <w:highlight w:val="none"/>
              </w:rPr>
            </w:pPr>
          </w:p>
        </w:tc>
        <w:tc>
          <w:tcPr>
            <w:tcW w:w="2520" w:type="dxa"/>
            <w:gridSpan w:val="3"/>
            <w:tcBorders>
              <w:top w:val="single" w:color="auto" w:sz="4" w:space="0"/>
              <w:left w:val="single" w:color="auto" w:sz="4" w:space="0"/>
              <w:bottom w:val="single" w:color="auto" w:sz="4" w:space="0"/>
              <w:right w:val="single" w:color="auto" w:sz="4" w:space="0"/>
            </w:tcBorders>
            <w:noWrap w:val="0"/>
          </w:tcPr>
          <w:p w14:paraId="4345ABCA">
            <w:pPr>
              <w:spacing w:before="50" w:after="120" w:line="400" w:lineRule="exact"/>
              <w:ind w:left="60"/>
              <w:jc w:val="left"/>
              <w:rPr>
                <w:color w:val="auto"/>
                <w:szCs w:val="21"/>
                <w:highlight w:val="none"/>
              </w:rPr>
            </w:pPr>
            <w:r>
              <w:rPr>
                <w:color w:val="auto"/>
                <w:szCs w:val="21"/>
                <w:highlight w:val="none"/>
              </w:rPr>
              <w:t>其中：技术人员数</w:t>
            </w:r>
          </w:p>
        </w:tc>
        <w:tc>
          <w:tcPr>
            <w:tcW w:w="1436" w:type="dxa"/>
            <w:tcBorders>
              <w:top w:val="single" w:color="auto" w:sz="4" w:space="0"/>
              <w:left w:val="single" w:color="auto" w:sz="4" w:space="0"/>
              <w:bottom w:val="single" w:color="auto" w:sz="4" w:space="0"/>
              <w:right w:val="single" w:color="auto" w:sz="4" w:space="0"/>
            </w:tcBorders>
            <w:noWrap w:val="0"/>
          </w:tcPr>
          <w:p w14:paraId="22BD7FA7">
            <w:pPr>
              <w:spacing w:before="50" w:after="120" w:line="400" w:lineRule="exact"/>
              <w:jc w:val="left"/>
              <w:rPr>
                <w:color w:val="auto"/>
                <w:szCs w:val="21"/>
                <w:highlight w:val="none"/>
              </w:rPr>
            </w:pPr>
          </w:p>
        </w:tc>
      </w:tr>
      <w:tr w14:paraId="32B418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718631D9">
            <w:pPr>
              <w:spacing w:before="50" w:after="120" w:line="400" w:lineRule="exact"/>
              <w:jc w:val="left"/>
              <w:rPr>
                <w:color w:val="auto"/>
                <w:szCs w:val="21"/>
                <w:highlight w:val="none"/>
              </w:rPr>
            </w:pPr>
            <w:r>
              <w:rPr>
                <w:color w:val="auto"/>
                <w:szCs w:val="21"/>
                <w:highlight w:val="none"/>
              </w:rPr>
              <w:t>经营期限</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6581562D">
            <w:pPr>
              <w:spacing w:before="50" w:after="120" w:line="400" w:lineRule="exact"/>
              <w:jc w:val="left"/>
              <w:rPr>
                <w:color w:val="auto"/>
                <w:szCs w:val="21"/>
                <w:highlight w:val="none"/>
              </w:rPr>
            </w:pPr>
          </w:p>
        </w:tc>
      </w:tr>
      <w:tr w14:paraId="731A0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09CC6A96">
            <w:pPr>
              <w:spacing w:before="50" w:after="120" w:line="400" w:lineRule="exact"/>
              <w:jc w:val="left"/>
              <w:rPr>
                <w:color w:val="auto"/>
                <w:szCs w:val="21"/>
                <w:highlight w:val="none"/>
              </w:rPr>
            </w:pPr>
            <w:r>
              <w:rPr>
                <w:color w:val="auto"/>
                <w:szCs w:val="21"/>
                <w:highlight w:val="none"/>
              </w:rPr>
              <w:t>售后服务协议</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1E060983">
            <w:pPr>
              <w:spacing w:before="50" w:after="120" w:line="400" w:lineRule="exact"/>
              <w:jc w:val="left"/>
              <w:rPr>
                <w:color w:val="auto"/>
                <w:szCs w:val="21"/>
                <w:highlight w:val="none"/>
              </w:rPr>
            </w:pPr>
          </w:p>
        </w:tc>
      </w:tr>
      <w:tr w14:paraId="62963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7142A00F">
            <w:pPr>
              <w:spacing w:before="50" w:after="120" w:line="400" w:lineRule="exact"/>
              <w:jc w:val="left"/>
              <w:rPr>
                <w:color w:val="auto"/>
                <w:szCs w:val="21"/>
                <w:highlight w:val="none"/>
              </w:rPr>
            </w:pPr>
            <w:r>
              <w:rPr>
                <w:color w:val="auto"/>
                <w:szCs w:val="21"/>
                <w:highlight w:val="none"/>
              </w:rPr>
              <w:t>售后服务内容</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12FFE754">
            <w:pPr>
              <w:spacing w:before="50" w:after="120" w:line="400" w:lineRule="exact"/>
              <w:jc w:val="left"/>
              <w:rPr>
                <w:color w:val="auto"/>
                <w:szCs w:val="21"/>
                <w:highlight w:val="none"/>
              </w:rPr>
            </w:pPr>
          </w:p>
        </w:tc>
      </w:tr>
      <w:tr w14:paraId="662749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3C08150D">
            <w:pPr>
              <w:spacing w:before="50" w:after="120" w:line="400" w:lineRule="exact"/>
              <w:jc w:val="left"/>
              <w:rPr>
                <w:color w:val="auto"/>
                <w:szCs w:val="21"/>
                <w:highlight w:val="none"/>
              </w:rPr>
            </w:pPr>
            <w:r>
              <w:rPr>
                <w:color w:val="auto"/>
                <w:szCs w:val="21"/>
                <w:highlight w:val="none"/>
              </w:rPr>
              <w:t>工作业绩</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72BB3156">
            <w:pPr>
              <w:spacing w:before="50" w:after="120" w:line="400" w:lineRule="exact"/>
              <w:jc w:val="left"/>
              <w:rPr>
                <w:color w:val="auto"/>
                <w:szCs w:val="21"/>
                <w:highlight w:val="none"/>
              </w:rPr>
            </w:pPr>
          </w:p>
        </w:tc>
      </w:tr>
      <w:tr w14:paraId="440848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5115501F">
            <w:pPr>
              <w:spacing w:before="50" w:after="120" w:line="400" w:lineRule="exact"/>
              <w:jc w:val="left"/>
              <w:rPr>
                <w:color w:val="auto"/>
                <w:szCs w:val="21"/>
                <w:highlight w:val="none"/>
              </w:rPr>
            </w:pPr>
            <w:r>
              <w:rPr>
                <w:color w:val="auto"/>
                <w:szCs w:val="21"/>
                <w:highlight w:val="none"/>
              </w:rPr>
              <w:t>服务承诺</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03D4E612">
            <w:pPr>
              <w:spacing w:before="50" w:after="120" w:line="400" w:lineRule="exact"/>
              <w:jc w:val="left"/>
              <w:rPr>
                <w:color w:val="auto"/>
                <w:szCs w:val="21"/>
                <w:highlight w:val="none"/>
              </w:rPr>
            </w:pPr>
          </w:p>
        </w:tc>
      </w:tr>
      <w:tr w14:paraId="73A436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43E73E74">
            <w:pPr>
              <w:spacing w:before="50" w:after="120" w:line="400" w:lineRule="exact"/>
              <w:jc w:val="left"/>
              <w:rPr>
                <w:color w:val="auto"/>
                <w:szCs w:val="21"/>
                <w:highlight w:val="none"/>
              </w:rPr>
            </w:pPr>
            <w:r>
              <w:rPr>
                <w:color w:val="auto"/>
                <w:szCs w:val="21"/>
                <w:highlight w:val="none"/>
              </w:rPr>
              <w:t>业务咨询电话</w:t>
            </w:r>
          </w:p>
        </w:tc>
        <w:tc>
          <w:tcPr>
            <w:tcW w:w="1613" w:type="dxa"/>
            <w:gridSpan w:val="2"/>
            <w:tcBorders>
              <w:top w:val="single" w:color="auto" w:sz="4" w:space="0"/>
              <w:left w:val="single" w:color="auto" w:sz="4" w:space="0"/>
              <w:bottom w:val="single" w:color="auto" w:sz="4" w:space="0"/>
              <w:right w:val="single" w:color="auto" w:sz="2" w:space="0"/>
            </w:tcBorders>
            <w:noWrap w:val="0"/>
          </w:tcPr>
          <w:p w14:paraId="09AAE686">
            <w:pPr>
              <w:spacing w:before="50" w:after="120" w:line="400" w:lineRule="exact"/>
              <w:jc w:val="left"/>
              <w:rPr>
                <w:color w:val="auto"/>
                <w:szCs w:val="21"/>
                <w:highlight w:val="none"/>
              </w:rPr>
            </w:pPr>
          </w:p>
        </w:tc>
        <w:tc>
          <w:tcPr>
            <w:tcW w:w="1440" w:type="dxa"/>
            <w:tcBorders>
              <w:top w:val="single" w:color="auto" w:sz="4" w:space="0"/>
              <w:left w:val="single" w:color="auto" w:sz="2" w:space="0"/>
              <w:bottom w:val="single" w:color="auto" w:sz="4" w:space="0"/>
              <w:right w:val="single" w:color="auto" w:sz="2" w:space="0"/>
            </w:tcBorders>
            <w:noWrap w:val="0"/>
          </w:tcPr>
          <w:p w14:paraId="7E557181">
            <w:pPr>
              <w:spacing w:before="50" w:after="120" w:line="400" w:lineRule="exact"/>
              <w:ind w:firstLine="210"/>
              <w:jc w:val="left"/>
              <w:rPr>
                <w:color w:val="auto"/>
                <w:szCs w:val="21"/>
                <w:highlight w:val="none"/>
              </w:rPr>
            </w:pPr>
            <w:r>
              <w:rPr>
                <w:color w:val="auto"/>
                <w:szCs w:val="21"/>
                <w:highlight w:val="none"/>
              </w:rPr>
              <w:t>传 真</w:t>
            </w:r>
          </w:p>
        </w:tc>
        <w:tc>
          <w:tcPr>
            <w:tcW w:w="2325" w:type="dxa"/>
            <w:gridSpan w:val="2"/>
            <w:tcBorders>
              <w:top w:val="single" w:color="auto" w:sz="4" w:space="0"/>
              <w:left w:val="single" w:color="auto" w:sz="2" w:space="0"/>
              <w:bottom w:val="single" w:color="auto" w:sz="4" w:space="0"/>
              <w:right w:val="single" w:color="auto" w:sz="2" w:space="0"/>
            </w:tcBorders>
            <w:noWrap w:val="0"/>
          </w:tcPr>
          <w:p w14:paraId="0EDABC5F">
            <w:pPr>
              <w:spacing w:before="50" w:after="120" w:line="400" w:lineRule="exact"/>
              <w:jc w:val="left"/>
              <w:rPr>
                <w:color w:val="auto"/>
                <w:szCs w:val="21"/>
                <w:highlight w:val="none"/>
              </w:rPr>
            </w:pPr>
          </w:p>
        </w:tc>
      </w:tr>
      <w:tr w14:paraId="22F6A4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1824E39D">
            <w:pPr>
              <w:spacing w:before="50" w:after="120" w:line="400" w:lineRule="exact"/>
              <w:jc w:val="left"/>
              <w:rPr>
                <w:color w:val="auto"/>
                <w:szCs w:val="21"/>
                <w:highlight w:val="none"/>
              </w:rPr>
            </w:pPr>
            <w:r>
              <w:rPr>
                <w:color w:val="auto"/>
                <w:szCs w:val="21"/>
                <w:highlight w:val="none"/>
              </w:rPr>
              <w:t>负责人</w:t>
            </w:r>
          </w:p>
        </w:tc>
        <w:tc>
          <w:tcPr>
            <w:tcW w:w="1613" w:type="dxa"/>
            <w:gridSpan w:val="2"/>
            <w:tcBorders>
              <w:top w:val="single" w:color="auto" w:sz="4" w:space="0"/>
              <w:left w:val="single" w:color="auto" w:sz="4" w:space="0"/>
              <w:bottom w:val="single" w:color="auto" w:sz="4" w:space="0"/>
              <w:right w:val="single" w:color="auto" w:sz="2" w:space="0"/>
            </w:tcBorders>
            <w:noWrap w:val="0"/>
          </w:tcPr>
          <w:p w14:paraId="4BDFBE41">
            <w:pPr>
              <w:spacing w:before="50" w:after="120" w:line="400" w:lineRule="exact"/>
              <w:jc w:val="left"/>
              <w:rPr>
                <w:color w:val="auto"/>
                <w:szCs w:val="21"/>
                <w:highlight w:val="none"/>
              </w:rPr>
            </w:pPr>
          </w:p>
        </w:tc>
        <w:tc>
          <w:tcPr>
            <w:tcW w:w="1440" w:type="dxa"/>
            <w:tcBorders>
              <w:top w:val="single" w:color="auto" w:sz="4" w:space="0"/>
              <w:left w:val="single" w:color="auto" w:sz="2" w:space="0"/>
              <w:bottom w:val="single" w:color="auto" w:sz="4" w:space="0"/>
              <w:right w:val="single" w:color="auto" w:sz="2" w:space="0"/>
            </w:tcBorders>
            <w:noWrap w:val="0"/>
          </w:tcPr>
          <w:p w14:paraId="3510EC7A">
            <w:pPr>
              <w:spacing w:before="50" w:after="120" w:line="400" w:lineRule="exact"/>
              <w:jc w:val="left"/>
              <w:rPr>
                <w:color w:val="auto"/>
                <w:szCs w:val="21"/>
                <w:highlight w:val="none"/>
              </w:rPr>
            </w:pPr>
            <w:r>
              <w:rPr>
                <w:color w:val="auto"/>
                <w:szCs w:val="21"/>
                <w:highlight w:val="none"/>
              </w:rPr>
              <w:t>联系电话</w:t>
            </w:r>
          </w:p>
        </w:tc>
        <w:tc>
          <w:tcPr>
            <w:tcW w:w="2325" w:type="dxa"/>
            <w:gridSpan w:val="2"/>
            <w:tcBorders>
              <w:top w:val="single" w:color="auto" w:sz="4" w:space="0"/>
              <w:left w:val="single" w:color="auto" w:sz="2" w:space="0"/>
              <w:bottom w:val="single" w:color="auto" w:sz="4" w:space="0"/>
              <w:right w:val="single" w:color="auto" w:sz="4" w:space="0"/>
            </w:tcBorders>
            <w:noWrap w:val="0"/>
          </w:tcPr>
          <w:p w14:paraId="137F3A7B">
            <w:pPr>
              <w:spacing w:before="50" w:after="120" w:line="400" w:lineRule="exact"/>
              <w:jc w:val="left"/>
              <w:rPr>
                <w:color w:val="auto"/>
                <w:szCs w:val="21"/>
                <w:highlight w:val="none"/>
              </w:rPr>
            </w:pPr>
          </w:p>
        </w:tc>
      </w:tr>
    </w:tbl>
    <w:p w14:paraId="6396FA70">
      <w:pPr>
        <w:pStyle w:val="20"/>
        <w:rPr>
          <w:color w:val="auto"/>
          <w:sz w:val="22"/>
          <w:szCs w:val="20"/>
          <w:highlight w:val="none"/>
        </w:rPr>
      </w:pPr>
    </w:p>
    <w:p w14:paraId="13FB2E94">
      <w:pPr>
        <w:pStyle w:val="20"/>
        <w:rPr>
          <w:color w:val="auto"/>
          <w:sz w:val="21"/>
          <w:szCs w:val="21"/>
          <w:highlight w:val="none"/>
        </w:rPr>
      </w:pPr>
      <w:r>
        <w:rPr>
          <w:color w:val="auto"/>
          <w:sz w:val="22"/>
          <w:szCs w:val="20"/>
          <w:highlight w:val="none"/>
        </w:rPr>
        <w:t>供应商</w:t>
      </w:r>
      <w:r>
        <w:rPr>
          <w:rFonts w:hint="eastAsia"/>
          <w:color w:val="auto"/>
          <w:sz w:val="22"/>
          <w:szCs w:val="20"/>
          <w:highlight w:val="none"/>
        </w:rPr>
        <w:t>名称(电子签章</w:t>
      </w:r>
      <w:r>
        <w:rPr>
          <w:color w:val="auto"/>
          <w:sz w:val="22"/>
          <w:szCs w:val="20"/>
          <w:highlight w:val="none"/>
        </w:rPr>
        <w:t>)</w:t>
      </w:r>
      <w:r>
        <w:rPr>
          <w:color w:val="auto"/>
          <w:sz w:val="20"/>
          <w:szCs w:val="20"/>
          <w:highlight w:val="none"/>
        </w:rPr>
        <w:t>：</w:t>
      </w:r>
      <w:r>
        <w:rPr>
          <w:color w:val="auto"/>
          <w:sz w:val="20"/>
          <w:szCs w:val="20"/>
          <w:highlight w:val="none"/>
          <w:u w:val="single"/>
        </w:rPr>
        <w:t xml:space="preserve">               </w:t>
      </w:r>
      <w:r>
        <w:rPr>
          <w:color w:val="auto"/>
          <w:sz w:val="21"/>
          <w:szCs w:val="21"/>
          <w:highlight w:val="none"/>
        </w:rPr>
        <w:t xml:space="preserve">                　 年    月　 日</w:t>
      </w:r>
    </w:p>
    <w:p w14:paraId="43E376C3">
      <w:pPr>
        <w:pStyle w:val="16"/>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注：（1）应提供供应商或其分支机构或其售后服务机构的营业执照</w:t>
      </w:r>
      <w:r>
        <w:rPr>
          <w:rFonts w:hint="eastAsia" w:ascii="Times New Roman" w:hAnsi="Times New Roman" w:eastAsia="宋体" w:cs="Times New Roman"/>
          <w:color w:val="auto"/>
          <w:sz w:val="21"/>
          <w:szCs w:val="21"/>
          <w:highlight w:val="none"/>
        </w:rPr>
        <w:t>扫描件</w:t>
      </w:r>
      <w:r>
        <w:rPr>
          <w:rFonts w:ascii="Times New Roman" w:hAnsi="Times New Roman" w:eastAsia="宋体" w:cs="Times New Roman"/>
          <w:color w:val="auto"/>
          <w:sz w:val="21"/>
          <w:szCs w:val="21"/>
          <w:highlight w:val="none"/>
        </w:rPr>
        <w:t>；</w:t>
      </w:r>
    </w:p>
    <w:p w14:paraId="1E5BEFD7">
      <w:pPr>
        <w:pStyle w:val="16"/>
        <w:rPr>
          <w:color w:val="auto"/>
          <w:szCs w:val="21"/>
          <w:highlight w:val="none"/>
        </w:rPr>
      </w:pPr>
      <w:r>
        <w:rPr>
          <w:rFonts w:ascii="Times New Roman" w:hAnsi="Times New Roman" w:eastAsia="宋体" w:cs="Times New Roman"/>
          <w:color w:val="auto"/>
          <w:sz w:val="21"/>
          <w:szCs w:val="21"/>
          <w:highlight w:val="none"/>
        </w:rPr>
        <w:t>（2）供应商授权本地服务机构的，须提供授权书或服务协议</w:t>
      </w:r>
      <w:r>
        <w:rPr>
          <w:rFonts w:hint="eastAsia" w:ascii="Times New Roman" w:hAnsi="Times New Roman" w:eastAsia="宋体" w:cs="Times New Roman"/>
          <w:color w:val="auto"/>
          <w:sz w:val="21"/>
          <w:szCs w:val="21"/>
          <w:highlight w:val="none"/>
        </w:rPr>
        <w:t>扫描件</w:t>
      </w:r>
      <w:r>
        <w:rPr>
          <w:rFonts w:ascii="Times New Roman" w:hAnsi="Times New Roman" w:eastAsia="宋体" w:cs="Times New Roman"/>
          <w:color w:val="auto"/>
          <w:sz w:val="21"/>
          <w:szCs w:val="21"/>
          <w:highlight w:val="none"/>
        </w:rPr>
        <w:t>。</w:t>
      </w:r>
    </w:p>
    <w:p w14:paraId="4696BAC5">
      <w:pPr>
        <w:spacing w:line="360" w:lineRule="exact"/>
        <w:jc w:val="center"/>
        <w:rPr>
          <w:rFonts w:ascii="Arial" w:hAnsi="Arial" w:cs="Arial"/>
          <w:color w:val="auto"/>
          <w:highlight w:val="none"/>
        </w:rPr>
      </w:pPr>
    </w:p>
    <w:p w14:paraId="17F02000">
      <w:pPr>
        <w:numPr>
          <w:ilvl w:val="0"/>
          <w:numId w:val="24"/>
        </w:numPr>
        <w:spacing w:before="50" w:after="120" w:line="440" w:lineRule="exact"/>
        <w:jc w:val="left"/>
        <w:rPr>
          <w:color w:val="auto"/>
          <w:szCs w:val="21"/>
          <w:highlight w:val="none"/>
        </w:rPr>
      </w:pPr>
      <w:r>
        <w:rPr>
          <w:color w:val="auto"/>
          <w:szCs w:val="21"/>
          <w:highlight w:val="none"/>
        </w:rPr>
        <w:t>制造商授权（如有</w:t>
      </w:r>
      <w:r>
        <w:rPr>
          <w:rFonts w:hint="eastAsia"/>
          <w:color w:val="auto"/>
          <w:szCs w:val="21"/>
          <w:highlight w:val="none"/>
        </w:rPr>
        <w:t>，</w:t>
      </w:r>
      <w:r>
        <w:rPr>
          <w:color w:val="auto"/>
          <w:szCs w:val="21"/>
          <w:highlight w:val="none"/>
        </w:rPr>
        <w:t>供应商自行编写）</w:t>
      </w:r>
    </w:p>
    <w:p w14:paraId="5A022B90">
      <w:pPr>
        <w:pStyle w:val="14"/>
        <w:ind w:left="0"/>
        <w:rPr>
          <w:color w:val="auto"/>
          <w:highlight w:val="none"/>
        </w:rPr>
      </w:pPr>
    </w:p>
    <w:p w14:paraId="72BAC02B">
      <w:pPr>
        <w:rPr>
          <w:color w:val="auto"/>
          <w:highlight w:val="none"/>
        </w:rPr>
      </w:pPr>
    </w:p>
    <w:p w14:paraId="013BD6FE">
      <w:pPr>
        <w:numPr>
          <w:ilvl w:val="0"/>
          <w:numId w:val="24"/>
        </w:numPr>
        <w:spacing w:before="50" w:after="120" w:line="440" w:lineRule="exact"/>
        <w:jc w:val="left"/>
        <w:rPr>
          <w:color w:val="auto"/>
          <w:spacing w:val="20"/>
          <w:szCs w:val="21"/>
          <w:highlight w:val="none"/>
        </w:rPr>
      </w:pPr>
      <w:r>
        <w:rPr>
          <w:color w:val="auto"/>
          <w:szCs w:val="21"/>
          <w:highlight w:val="none"/>
        </w:rPr>
        <w:t>售后服务</w:t>
      </w:r>
      <w:r>
        <w:rPr>
          <w:rFonts w:hint="eastAsia"/>
          <w:color w:val="auto"/>
          <w:szCs w:val="21"/>
          <w:highlight w:val="none"/>
          <w:lang w:val="en-US" w:eastAsia="zh-CN"/>
        </w:rPr>
        <w:t>方案</w:t>
      </w:r>
      <w:r>
        <w:rPr>
          <w:color w:val="auto"/>
          <w:szCs w:val="21"/>
          <w:highlight w:val="none"/>
        </w:rPr>
        <w:t>（如有</w:t>
      </w:r>
      <w:r>
        <w:rPr>
          <w:rFonts w:hint="eastAsia"/>
          <w:color w:val="auto"/>
          <w:szCs w:val="21"/>
          <w:highlight w:val="none"/>
        </w:rPr>
        <w:t>，</w:t>
      </w:r>
      <w:r>
        <w:rPr>
          <w:color w:val="auto"/>
          <w:szCs w:val="21"/>
          <w:highlight w:val="none"/>
        </w:rPr>
        <w:t>供应商自行编写）</w:t>
      </w:r>
    </w:p>
    <w:p w14:paraId="021D3439">
      <w:pPr>
        <w:spacing w:before="50" w:after="120"/>
        <w:jc w:val="left"/>
        <w:rPr>
          <w:color w:val="auto"/>
          <w:spacing w:val="20"/>
          <w:szCs w:val="21"/>
          <w:highlight w:val="none"/>
        </w:rPr>
      </w:pPr>
    </w:p>
    <w:p w14:paraId="2292C5F9">
      <w:pPr>
        <w:spacing w:before="50" w:after="120"/>
        <w:jc w:val="left"/>
        <w:rPr>
          <w:color w:val="auto"/>
          <w:spacing w:val="20"/>
          <w:szCs w:val="21"/>
          <w:highlight w:val="none"/>
        </w:rPr>
      </w:pPr>
    </w:p>
    <w:p w14:paraId="6621C3DE">
      <w:pPr>
        <w:spacing w:before="50" w:after="120"/>
        <w:jc w:val="left"/>
        <w:rPr>
          <w:rFonts w:hint="eastAsia"/>
          <w:color w:val="auto"/>
          <w:szCs w:val="21"/>
          <w:highlight w:val="none"/>
        </w:rPr>
      </w:pPr>
    </w:p>
    <w:p w14:paraId="7C996D15">
      <w:pPr>
        <w:spacing w:before="50" w:after="120"/>
        <w:jc w:val="left"/>
        <w:rPr>
          <w:rFonts w:hint="eastAsia"/>
          <w:color w:val="auto"/>
          <w:szCs w:val="21"/>
          <w:highlight w:val="none"/>
        </w:rPr>
        <w:sectPr>
          <w:footerReference r:id="rId18" w:type="default"/>
          <w:pgSz w:w="11906" w:h="16838"/>
          <w:pgMar w:top="1418" w:right="1133" w:bottom="1246" w:left="1418" w:header="851" w:footer="992" w:gutter="0"/>
          <w:cols w:space="720" w:num="1"/>
        </w:sectPr>
      </w:pPr>
    </w:p>
    <w:p w14:paraId="697DEC30">
      <w:pPr>
        <w:spacing w:before="50" w:after="120"/>
        <w:jc w:val="left"/>
        <w:rPr>
          <w:b/>
          <w:color w:val="auto"/>
          <w:szCs w:val="21"/>
          <w:highlight w:val="none"/>
        </w:rPr>
      </w:pPr>
      <w:r>
        <w:rPr>
          <w:rFonts w:hint="eastAsia"/>
          <w:color w:val="auto"/>
          <w:szCs w:val="21"/>
          <w:highlight w:val="none"/>
        </w:rPr>
        <w:t>5</w:t>
      </w:r>
      <w:r>
        <w:rPr>
          <w:color w:val="auto"/>
          <w:szCs w:val="21"/>
          <w:highlight w:val="none"/>
        </w:rPr>
        <w:t>．近</w:t>
      </w:r>
      <w:r>
        <w:rPr>
          <w:rFonts w:hint="eastAsia"/>
          <w:color w:val="auto"/>
          <w:szCs w:val="21"/>
          <w:highlight w:val="none"/>
          <w:lang w:eastAsia="zh-CN"/>
        </w:rPr>
        <w:t>年来</w:t>
      </w:r>
      <w:r>
        <w:rPr>
          <w:color w:val="auto"/>
          <w:szCs w:val="21"/>
          <w:highlight w:val="none"/>
        </w:rPr>
        <w:t>供应商</w:t>
      </w:r>
      <w:r>
        <w:rPr>
          <w:rFonts w:hint="eastAsia"/>
          <w:color w:val="auto"/>
          <w:szCs w:val="21"/>
          <w:highlight w:val="none"/>
        </w:rPr>
        <w:t>同类</w:t>
      </w:r>
      <w:r>
        <w:rPr>
          <w:color w:val="auto"/>
          <w:szCs w:val="21"/>
          <w:highlight w:val="none"/>
        </w:rPr>
        <w:t>成功案例的业绩证明</w:t>
      </w:r>
      <w:r>
        <w:rPr>
          <w:rFonts w:hint="eastAsia"/>
          <w:color w:val="auto"/>
          <w:szCs w:val="21"/>
          <w:highlight w:val="none"/>
        </w:rPr>
        <w:t>。（如有）</w:t>
      </w:r>
    </w:p>
    <w:p w14:paraId="0C2E982B">
      <w:pPr>
        <w:spacing w:before="50" w:after="120"/>
        <w:jc w:val="center"/>
        <w:rPr>
          <w:color w:val="auto"/>
          <w:szCs w:val="21"/>
          <w:highlight w:val="none"/>
        </w:rPr>
      </w:pPr>
      <w:r>
        <w:rPr>
          <w:rFonts w:hint="eastAsia"/>
          <w:b/>
          <w:color w:val="auto"/>
          <w:szCs w:val="21"/>
          <w:highlight w:val="none"/>
        </w:rPr>
        <w:t>同类</w:t>
      </w:r>
      <w:r>
        <w:rPr>
          <w:b/>
          <w:color w:val="auto"/>
          <w:szCs w:val="21"/>
          <w:highlight w:val="none"/>
        </w:rPr>
        <w:t>成功案例业绩一览表</w:t>
      </w:r>
    </w:p>
    <w:tbl>
      <w:tblPr>
        <w:tblStyle w:val="56"/>
        <w:tblW w:w="1337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5"/>
        <w:gridCol w:w="2943"/>
        <w:gridCol w:w="4123"/>
        <w:gridCol w:w="958"/>
        <w:gridCol w:w="958"/>
        <w:gridCol w:w="1278"/>
        <w:gridCol w:w="2480"/>
      </w:tblGrid>
      <w:tr w14:paraId="59E461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63" w:hRule="atLeast"/>
        </w:trPr>
        <w:tc>
          <w:tcPr>
            <w:tcW w:w="635" w:type="dxa"/>
            <w:tcBorders>
              <w:top w:val="single" w:color="auto" w:sz="4" w:space="0"/>
              <w:left w:val="single" w:color="auto" w:sz="4" w:space="0"/>
              <w:right w:val="single" w:color="auto" w:sz="4" w:space="0"/>
            </w:tcBorders>
            <w:noWrap w:val="0"/>
          </w:tcPr>
          <w:p w14:paraId="043B978F">
            <w:pPr>
              <w:spacing w:line="240" w:lineRule="exact"/>
              <w:jc w:val="center"/>
              <w:rPr>
                <w:color w:val="auto"/>
                <w:szCs w:val="21"/>
                <w:highlight w:val="none"/>
              </w:rPr>
            </w:pPr>
          </w:p>
          <w:p w14:paraId="0206C411">
            <w:pPr>
              <w:spacing w:line="240" w:lineRule="exact"/>
              <w:jc w:val="center"/>
              <w:rPr>
                <w:color w:val="auto"/>
                <w:szCs w:val="21"/>
                <w:highlight w:val="none"/>
              </w:rPr>
            </w:pPr>
          </w:p>
          <w:p w14:paraId="0F6B68FF">
            <w:pPr>
              <w:spacing w:line="240" w:lineRule="exact"/>
              <w:jc w:val="center"/>
              <w:rPr>
                <w:color w:val="auto"/>
                <w:szCs w:val="21"/>
                <w:highlight w:val="none"/>
              </w:rPr>
            </w:pPr>
            <w:r>
              <w:rPr>
                <w:rFonts w:hint="eastAsia"/>
                <w:color w:val="auto"/>
                <w:szCs w:val="21"/>
                <w:highlight w:val="none"/>
              </w:rPr>
              <w:t>序号</w:t>
            </w:r>
          </w:p>
        </w:tc>
        <w:tc>
          <w:tcPr>
            <w:tcW w:w="2943" w:type="dxa"/>
            <w:tcBorders>
              <w:top w:val="single" w:color="auto" w:sz="4" w:space="0"/>
              <w:left w:val="single" w:color="auto" w:sz="4" w:space="0"/>
              <w:bottom w:val="single" w:color="auto" w:sz="4" w:space="0"/>
              <w:right w:val="single" w:color="auto" w:sz="4" w:space="0"/>
            </w:tcBorders>
            <w:noWrap w:val="0"/>
            <w:vAlign w:val="center"/>
          </w:tcPr>
          <w:p w14:paraId="1F7D6266">
            <w:pPr>
              <w:spacing w:line="240" w:lineRule="exact"/>
              <w:jc w:val="center"/>
              <w:rPr>
                <w:color w:val="auto"/>
                <w:szCs w:val="21"/>
                <w:highlight w:val="none"/>
              </w:rPr>
            </w:pPr>
            <w:r>
              <w:rPr>
                <w:color w:val="auto"/>
                <w:szCs w:val="21"/>
                <w:highlight w:val="none"/>
              </w:rPr>
              <w:t>采购单位名称</w:t>
            </w:r>
          </w:p>
        </w:tc>
        <w:tc>
          <w:tcPr>
            <w:tcW w:w="4123" w:type="dxa"/>
            <w:tcBorders>
              <w:top w:val="single" w:color="auto" w:sz="4" w:space="0"/>
              <w:left w:val="single" w:color="auto" w:sz="4" w:space="0"/>
              <w:bottom w:val="single" w:color="auto" w:sz="4" w:space="0"/>
              <w:right w:val="single" w:color="auto" w:sz="4" w:space="0"/>
            </w:tcBorders>
            <w:noWrap w:val="0"/>
            <w:vAlign w:val="center"/>
          </w:tcPr>
          <w:p w14:paraId="1D4EC252">
            <w:pPr>
              <w:spacing w:line="240" w:lineRule="exact"/>
              <w:jc w:val="center"/>
              <w:rPr>
                <w:color w:val="auto"/>
                <w:szCs w:val="21"/>
                <w:highlight w:val="none"/>
              </w:rPr>
            </w:pPr>
            <w:r>
              <w:rPr>
                <w:color w:val="auto"/>
                <w:szCs w:val="21"/>
                <w:highlight w:val="none"/>
              </w:rPr>
              <w:t>产品或项目名称</w:t>
            </w:r>
          </w:p>
        </w:tc>
        <w:tc>
          <w:tcPr>
            <w:tcW w:w="958" w:type="dxa"/>
            <w:tcBorders>
              <w:top w:val="single" w:color="auto" w:sz="4" w:space="0"/>
              <w:left w:val="single" w:color="auto" w:sz="4" w:space="0"/>
              <w:bottom w:val="single" w:color="auto" w:sz="4" w:space="0"/>
              <w:right w:val="single" w:color="auto" w:sz="4" w:space="0"/>
            </w:tcBorders>
            <w:noWrap w:val="0"/>
            <w:vAlign w:val="center"/>
          </w:tcPr>
          <w:p w14:paraId="456A97BD">
            <w:pPr>
              <w:spacing w:line="240" w:lineRule="exact"/>
              <w:jc w:val="center"/>
              <w:rPr>
                <w:color w:val="auto"/>
                <w:szCs w:val="21"/>
                <w:highlight w:val="none"/>
              </w:rPr>
            </w:pPr>
            <w:r>
              <w:rPr>
                <w:color w:val="auto"/>
                <w:szCs w:val="21"/>
                <w:highlight w:val="none"/>
              </w:rPr>
              <w:t>采购</w:t>
            </w:r>
          </w:p>
          <w:p w14:paraId="71A0AB55">
            <w:pPr>
              <w:spacing w:line="240" w:lineRule="exact"/>
              <w:jc w:val="center"/>
              <w:rPr>
                <w:color w:val="auto"/>
                <w:szCs w:val="21"/>
                <w:highlight w:val="none"/>
              </w:rPr>
            </w:pPr>
            <w:r>
              <w:rPr>
                <w:color w:val="auto"/>
                <w:szCs w:val="21"/>
                <w:highlight w:val="none"/>
              </w:rPr>
              <w:t>数量</w:t>
            </w:r>
          </w:p>
        </w:tc>
        <w:tc>
          <w:tcPr>
            <w:tcW w:w="958" w:type="dxa"/>
            <w:tcBorders>
              <w:top w:val="single" w:color="auto" w:sz="4" w:space="0"/>
              <w:left w:val="single" w:color="auto" w:sz="4" w:space="0"/>
              <w:bottom w:val="single" w:color="auto" w:sz="4" w:space="0"/>
              <w:right w:val="single" w:color="auto" w:sz="4" w:space="0"/>
            </w:tcBorders>
            <w:noWrap w:val="0"/>
            <w:vAlign w:val="center"/>
          </w:tcPr>
          <w:p w14:paraId="42892DDC">
            <w:pPr>
              <w:spacing w:line="240" w:lineRule="exact"/>
              <w:jc w:val="center"/>
              <w:rPr>
                <w:color w:val="auto"/>
                <w:szCs w:val="21"/>
                <w:highlight w:val="none"/>
              </w:rPr>
            </w:pPr>
            <w:r>
              <w:rPr>
                <w:color w:val="auto"/>
                <w:szCs w:val="21"/>
                <w:highlight w:val="none"/>
              </w:rPr>
              <w:t>单价</w:t>
            </w:r>
            <w:r>
              <w:rPr>
                <w:rFonts w:hint="eastAsia"/>
                <w:color w:val="auto"/>
                <w:szCs w:val="21"/>
                <w:highlight w:val="none"/>
              </w:rPr>
              <w:t>（元）</w:t>
            </w:r>
          </w:p>
        </w:tc>
        <w:tc>
          <w:tcPr>
            <w:tcW w:w="1278" w:type="dxa"/>
            <w:tcBorders>
              <w:top w:val="single" w:color="auto" w:sz="4" w:space="0"/>
              <w:left w:val="single" w:color="auto" w:sz="4" w:space="0"/>
              <w:bottom w:val="single" w:color="auto" w:sz="4" w:space="0"/>
              <w:right w:val="single" w:color="auto" w:sz="4" w:space="0"/>
            </w:tcBorders>
            <w:noWrap w:val="0"/>
            <w:vAlign w:val="center"/>
          </w:tcPr>
          <w:p w14:paraId="5CD34599">
            <w:pPr>
              <w:spacing w:line="240" w:lineRule="exact"/>
              <w:jc w:val="center"/>
              <w:rPr>
                <w:color w:val="auto"/>
                <w:szCs w:val="21"/>
                <w:highlight w:val="none"/>
              </w:rPr>
            </w:pPr>
            <w:r>
              <w:rPr>
                <w:color w:val="auto"/>
                <w:szCs w:val="21"/>
                <w:highlight w:val="none"/>
              </w:rPr>
              <w:t>合同总价</w:t>
            </w:r>
            <w:r>
              <w:rPr>
                <w:rFonts w:hint="eastAsia"/>
                <w:color w:val="auto"/>
                <w:szCs w:val="21"/>
                <w:highlight w:val="none"/>
              </w:rPr>
              <w:t>（元）</w:t>
            </w:r>
          </w:p>
        </w:tc>
        <w:tc>
          <w:tcPr>
            <w:tcW w:w="2480" w:type="dxa"/>
            <w:tcBorders>
              <w:top w:val="single" w:color="auto" w:sz="4" w:space="0"/>
              <w:left w:val="single" w:color="auto" w:sz="4" w:space="0"/>
              <w:right w:val="single" w:color="auto" w:sz="4" w:space="0"/>
            </w:tcBorders>
            <w:noWrap w:val="0"/>
            <w:vAlign w:val="center"/>
          </w:tcPr>
          <w:p w14:paraId="5B7607E6">
            <w:pPr>
              <w:jc w:val="center"/>
              <w:rPr>
                <w:color w:val="auto"/>
                <w:szCs w:val="21"/>
                <w:highlight w:val="none"/>
              </w:rPr>
            </w:pPr>
            <w:r>
              <w:rPr>
                <w:color w:val="auto"/>
                <w:szCs w:val="21"/>
                <w:highlight w:val="none"/>
              </w:rPr>
              <w:t>采购单位联系人及联系电话</w:t>
            </w:r>
          </w:p>
        </w:tc>
      </w:tr>
      <w:tr w14:paraId="0CE5C4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635" w:type="dxa"/>
            <w:tcBorders>
              <w:top w:val="single" w:color="auto" w:sz="4" w:space="0"/>
              <w:left w:val="single" w:color="auto" w:sz="4" w:space="0"/>
              <w:bottom w:val="single" w:color="auto" w:sz="4" w:space="0"/>
              <w:right w:val="single" w:color="auto" w:sz="4" w:space="0"/>
            </w:tcBorders>
            <w:noWrap w:val="0"/>
          </w:tcPr>
          <w:p w14:paraId="33349FE9">
            <w:pPr>
              <w:spacing w:line="240" w:lineRule="exact"/>
              <w:jc w:val="left"/>
              <w:rPr>
                <w:color w:val="auto"/>
                <w:szCs w:val="21"/>
                <w:highlight w:val="none"/>
              </w:rPr>
            </w:pPr>
          </w:p>
        </w:tc>
        <w:tc>
          <w:tcPr>
            <w:tcW w:w="2943" w:type="dxa"/>
            <w:tcBorders>
              <w:top w:val="single" w:color="auto" w:sz="4" w:space="0"/>
              <w:left w:val="single" w:color="auto" w:sz="4" w:space="0"/>
              <w:bottom w:val="single" w:color="auto" w:sz="4" w:space="0"/>
              <w:right w:val="single" w:color="auto" w:sz="4" w:space="0"/>
            </w:tcBorders>
            <w:noWrap w:val="0"/>
          </w:tcPr>
          <w:p w14:paraId="6A873B8E">
            <w:pPr>
              <w:spacing w:line="240" w:lineRule="exact"/>
              <w:jc w:val="left"/>
              <w:rPr>
                <w:color w:val="auto"/>
                <w:szCs w:val="21"/>
                <w:highlight w:val="none"/>
              </w:rPr>
            </w:pPr>
          </w:p>
        </w:tc>
        <w:tc>
          <w:tcPr>
            <w:tcW w:w="4123" w:type="dxa"/>
            <w:tcBorders>
              <w:top w:val="single" w:color="auto" w:sz="4" w:space="0"/>
              <w:left w:val="single" w:color="auto" w:sz="4" w:space="0"/>
              <w:bottom w:val="single" w:color="auto" w:sz="4" w:space="0"/>
              <w:right w:val="single" w:color="auto" w:sz="4" w:space="0"/>
            </w:tcBorders>
            <w:noWrap w:val="0"/>
          </w:tcPr>
          <w:p w14:paraId="7430FC8F">
            <w:pPr>
              <w:spacing w:line="24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1DCF959E">
            <w:pPr>
              <w:spacing w:line="24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4818A2D8">
            <w:pPr>
              <w:spacing w:line="240" w:lineRule="exact"/>
              <w:jc w:val="left"/>
              <w:rPr>
                <w:color w:val="auto"/>
                <w:szCs w:val="21"/>
                <w:highlight w:val="none"/>
              </w:rPr>
            </w:pPr>
          </w:p>
        </w:tc>
        <w:tc>
          <w:tcPr>
            <w:tcW w:w="1278" w:type="dxa"/>
            <w:tcBorders>
              <w:top w:val="single" w:color="auto" w:sz="4" w:space="0"/>
              <w:left w:val="single" w:color="auto" w:sz="4" w:space="0"/>
              <w:bottom w:val="single" w:color="auto" w:sz="4" w:space="0"/>
              <w:right w:val="single" w:color="auto" w:sz="4" w:space="0"/>
            </w:tcBorders>
            <w:noWrap w:val="0"/>
          </w:tcPr>
          <w:p w14:paraId="199443F3">
            <w:pPr>
              <w:spacing w:line="240" w:lineRule="exact"/>
              <w:jc w:val="left"/>
              <w:rPr>
                <w:color w:val="auto"/>
                <w:szCs w:val="21"/>
                <w:highlight w:val="none"/>
              </w:rPr>
            </w:pPr>
          </w:p>
        </w:tc>
        <w:tc>
          <w:tcPr>
            <w:tcW w:w="2480" w:type="dxa"/>
            <w:tcBorders>
              <w:top w:val="single" w:color="auto" w:sz="4" w:space="0"/>
              <w:left w:val="single" w:color="auto" w:sz="4" w:space="0"/>
              <w:bottom w:val="single" w:color="auto" w:sz="4" w:space="0"/>
              <w:right w:val="single" w:color="auto" w:sz="4" w:space="0"/>
            </w:tcBorders>
            <w:noWrap w:val="0"/>
          </w:tcPr>
          <w:p w14:paraId="6128A5A7">
            <w:pPr>
              <w:spacing w:line="240" w:lineRule="exact"/>
              <w:jc w:val="left"/>
              <w:rPr>
                <w:color w:val="auto"/>
                <w:szCs w:val="21"/>
                <w:highlight w:val="none"/>
              </w:rPr>
            </w:pPr>
          </w:p>
        </w:tc>
      </w:tr>
      <w:tr w14:paraId="35C6D4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635" w:type="dxa"/>
            <w:tcBorders>
              <w:top w:val="single" w:color="auto" w:sz="4" w:space="0"/>
              <w:left w:val="single" w:color="auto" w:sz="4" w:space="0"/>
              <w:bottom w:val="single" w:color="auto" w:sz="4" w:space="0"/>
              <w:right w:val="single" w:color="auto" w:sz="4" w:space="0"/>
            </w:tcBorders>
            <w:noWrap w:val="0"/>
          </w:tcPr>
          <w:p w14:paraId="6BCBF83E">
            <w:pPr>
              <w:spacing w:before="50" w:after="120" w:line="400" w:lineRule="exact"/>
              <w:jc w:val="left"/>
              <w:rPr>
                <w:color w:val="auto"/>
                <w:szCs w:val="21"/>
                <w:highlight w:val="none"/>
              </w:rPr>
            </w:pPr>
          </w:p>
        </w:tc>
        <w:tc>
          <w:tcPr>
            <w:tcW w:w="2943" w:type="dxa"/>
            <w:tcBorders>
              <w:top w:val="single" w:color="auto" w:sz="4" w:space="0"/>
              <w:left w:val="single" w:color="auto" w:sz="4" w:space="0"/>
              <w:bottom w:val="single" w:color="auto" w:sz="4" w:space="0"/>
              <w:right w:val="single" w:color="auto" w:sz="4" w:space="0"/>
            </w:tcBorders>
            <w:noWrap w:val="0"/>
          </w:tcPr>
          <w:p w14:paraId="370DF964">
            <w:pPr>
              <w:spacing w:before="50" w:after="120" w:line="400" w:lineRule="exact"/>
              <w:jc w:val="left"/>
              <w:rPr>
                <w:color w:val="auto"/>
                <w:szCs w:val="21"/>
                <w:highlight w:val="none"/>
              </w:rPr>
            </w:pPr>
          </w:p>
        </w:tc>
        <w:tc>
          <w:tcPr>
            <w:tcW w:w="4123" w:type="dxa"/>
            <w:tcBorders>
              <w:top w:val="single" w:color="auto" w:sz="4" w:space="0"/>
              <w:left w:val="single" w:color="auto" w:sz="4" w:space="0"/>
              <w:bottom w:val="single" w:color="auto" w:sz="4" w:space="0"/>
              <w:right w:val="single" w:color="auto" w:sz="4" w:space="0"/>
            </w:tcBorders>
            <w:noWrap w:val="0"/>
          </w:tcPr>
          <w:p w14:paraId="757EFEDE">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2512EA07">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56C4E87A">
            <w:pPr>
              <w:spacing w:before="50" w:after="120" w:line="400" w:lineRule="exact"/>
              <w:jc w:val="left"/>
              <w:rPr>
                <w:color w:val="auto"/>
                <w:szCs w:val="21"/>
                <w:highlight w:val="none"/>
              </w:rPr>
            </w:pPr>
          </w:p>
        </w:tc>
        <w:tc>
          <w:tcPr>
            <w:tcW w:w="1278" w:type="dxa"/>
            <w:tcBorders>
              <w:top w:val="single" w:color="auto" w:sz="4" w:space="0"/>
              <w:left w:val="single" w:color="auto" w:sz="4" w:space="0"/>
              <w:bottom w:val="single" w:color="auto" w:sz="4" w:space="0"/>
              <w:right w:val="single" w:color="auto" w:sz="4" w:space="0"/>
            </w:tcBorders>
            <w:noWrap w:val="0"/>
          </w:tcPr>
          <w:p w14:paraId="281D30E0">
            <w:pPr>
              <w:spacing w:before="50" w:after="120" w:line="400" w:lineRule="exact"/>
              <w:jc w:val="left"/>
              <w:rPr>
                <w:color w:val="auto"/>
                <w:szCs w:val="21"/>
                <w:highlight w:val="none"/>
              </w:rPr>
            </w:pPr>
          </w:p>
        </w:tc>
        <w:tc>
          <w:tcPr>
            <w:tcW w:w="2480" w:type="dxa"/>
            <w:tcBorders>
              <w:top w:val="single" w:color="auto" w:sz="4" w:space="0"/>
              <w:left w:val="single" w:color="auto" w:sz="4" w:space="0"/>
              <w:bottom w:val="single" w:color="auto" w:sz="4" w:space="0"/>
              <w:right w:val="single" w:color="auto" w:sz="4" w:space="0"/>
            </w:tcBorders>
            <w:noWrap w:val="0"/>
          </w:tcPr>
          <w:p w14:paraId="06042C18">
            <w:pPr>
              <w:spacing w:before="50" w:after="120" w:line="400" w:lineRule="exact"/>
              <w:jc w:val="left"/>
              <w:rPr>
                <w:color w:val="auto"/>
                <w:szCs w:val="21"/>
                <w:highlight w:val="none"/>
              </w:rPr>
            </w:pPr>
          </w:p>
        </w:tc>
      </w:tr>
      <w:tr w14:paraId="53A3C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635" w:type="dxa"/>
            <w:tcBorders>
              <w:top w:val="single" w:color="auto" w:sz="4" w:space="0"/>
              <w:left w:val="single" w:color="auto" w:sz="4" w:space="0"/>
              <w:bottom w:val="single" w:color="auto" w:sz="4" w:space="0"/>
              <w:right w:val="single" w:color="auto" w:sz="4" w:space="0"/>
            </w:tcBorders>
            <w:noWrap w:val="0"/>
          </w:tcPr>
          <w:p w14:paraId="49C93A7A">
            <w:pPr>
              <w:spacing w:before="50" w:after="120" w:line="400" w:lineRule="exact"/>
              <w:jc w:val="left"/>
              <w:rPr>
                <w:color w:val="auto"/>
                <w:szCs w:val="21"/>
                <w:highlight w:val="none"/>
              </w:rPr>
            </w:pPr>
          </w:p>
        </w:tc>
        <w:tc>
          <w:tcPr>
            <w:tcW w:w="2943" w:type="dxa"/>
            <w:tcBorders>
              <w:top w:val="single" w:color="auto" w:sz="4" w:space="0"/>
              <w:left w:val="single" w:color="auto" w:sz="4" w:space="0"/>
              <w:bottom w:val="single" w:color="auto" w:sz="4" w:space="0"/>
              <w:right w:val="single" w:color="auto" w:sz="4" w:space="0"/>
            </w:tcBorders>
            <w:noWrap w:val="0"/>
          </w:tcPr>
          <w:p w14:paraId="5D026EE5">
            <w:pPr>
              <w:spacing w:before="50" w:after="120" w:line="400" w:lineRule="exact"/>
              <w:jc w:val="left"/>
              <w:rPr>
                <w:color w:val="auto"/>
                <w:szCs w:val="21"/>
                <w:highlight w:val="none"/>
              </w:rPr>
            </w:pPr>
          </w:p>
        </w:tc>
        <w:tc>
          <w:tcPr>
            <w:tcW w:w="4123" w:type="dxa"/>
            <w:tcBorders>
              <w:top w:val="single" w:color="auto" w:sz="4" w:space="0"/>
              <w:left w:val="single" w:color="auto" w:sz="4" w:space="0"/>
              <w:bottom w:val="single" w:color="auto" w:sz="4" w:space="0"/>
              <w:right w:val="single" w:color="auto" w:sz="4" w:space="0"/>
            </w:tcBorders>
            <w:noWrap w:val="0"/>
          </w:tcPr>
          <w:p w14:paraId="37FD105E">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1049EFE5">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417F90CA">
            <w:pPr>
              <w:spacing w:before="50" w:after="120" w:line="400" w:lineRule="exact"/>
              <w:jc w:val="left"/>
              <w:rPr>
                <w:color w:val="auto"/>
                <w:szCs w:val="21"/>
                <w:highlight w:val="none"/>
              </w:rPr>
            </w:pPr>
          </w:p>
        </w:tc>
        <w:tc>
          <w:tcPr>
            <w:tcW w:w="1278" w:type="dxa"/>
            <w:tcBorders>
              <w:top w:val="single" w:color="auto" w:sz="4" w:space="0"/>
              <w:left w:val="single" w:color="auto" w:sz="4" w:space="0"/>
              <w:bottom w:val="single" w:color="auto" w:sz="4" w:space="0"/>
              <w:right w:val="single" w:color="auto" w:sz="4" w:space="0"/>
            </w:tcBorders>
            <w:noWrap w:val="0"/>
          </w:tcPr>
          <w:p w14:paraId="5180446F">
            <w:pPr>
              <w:spacing w:before="50" w:after="120" w:line="400" w:lineRule="exact"/>
              <w:jc w:val="left"/>
              <w:rPr>
                <w:color w:val="auto"/>
                <w:szCs w:val="21"/>
                <w:highlight w:val="none"/>
              </w:rPr>
            </w:pPr>
          </w:p>
        </w:tc>
        <w:tc>
          <w:tcPr>
            <w:tcW w:w="2480" w:type="dxa"/>
            <w:tcBorders>
              <w:top w:val="single" w:color="auto" w:sz="4" w:space="0"/>
              <w:left w:val="single" w:color="auto" w:sz="4" w:space="0"/>
              <w:bottom w:val="single" w:color="auto" w:sz="4" w:space="0"/>
              <w:right w:val="single" w:color="auto" w:sz="4" w:space="0"/>
            </w:tcBorders>
            <w:noWrap w:val="0"/>
          </w:tcPr>
          <w:p w14:paraId="77D63797">
            <w:pPr>
              <w:spacing w:before="50" w:after="120" w:line="400" w:lineRule="exact"/>
              <w:jc w:val="left"/>
              <w:rPr>
                <w:color w:val="auto"/>
                <w:szCs w:val="21"/>
                <w:highlight w:val="none"/>
              </w:rPr>
            </w:pPr>
          </w:p>
        </w:tc>
      </w:tr>
      <w:tr w14:paraId="02261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3" w:hRule="atLeast"/>
        </w:trPr>
        <w:tc>
          <w:tcPr>
            <w:tcW w:w="635" w:type="dxa"/>
            <w:tcBorders>
              <w:top w:val="single" w:color="auto" w:sz="4" w:space="0"/>
              <w:left w:val="single" w:color="auto" w:sz="4" w:space="0"/>
              <w:bottom w:val="single" w:color="auto" w:sz="4" w:space="0"/>
              <w:right w:val="single" w:color="auto" w:sz="4" w:space="0"/>
            </w:tcBorders>
            <w:noWrap w:val="0"/>
          </w:tcPr>
          <w:p w14:paraId="3C2539B4">
            <w:pPr>
              <w:spacing w:before="50" w:after="120" w:line="400" w:lineRule="exact"/>
              <w:jc w:val="left"/>
              <w:rPr>
                <w:color w:val="auto"/>
                <w:szCs w:val="21"/>
                <w:highlight w:val="none"/>
              </w:rPr>
            </w:pPr>
          </w:p>
        </w:tc>
        <w:tc>
          <w:tcPr>
            <w:tcW w:w="2943" w:type="dxa"/>
            <w:tcBorders>
              <w:top w:val="single" w:color="auto" w:sz="4" w:space="0"/>
              <w:left w:val="single" w:color="auto" w:sz="4" w:space="0"/>
              <w:bottom w:val="single" w:color="auto" w:sz="4" w:space="0"/>
              <w:right w:val="single" w:color="auto" w:sz="4" w:space="0"/>
            </w:tcBorders>
            <w:noWrap w:val="0"/>
          </w:tcPr>
          <w:p w14:paraId="2E7C18CB">
            <w:pPr>
              <w:spacing w:before="50" w:after="120" w:line="400" w:lineRule="exact"/>
              <w:jc w:val="left"/>
              <w:rPr>
                <w:color w:val="auto"/>
                <w:szCs w:val="21"/>
                <w:highlight w:val="none"/>
              </w:rPr>
            </w:pPr>
          </w:p>
        </w:tc>
        <w:tc>
          <w:tcPr>
            <w:tcW w:w="4123" w:type="dxa"/>
            <w:tcBorders>
              <w:top w:val="single" w:color="auto" w:sz="4" w:space="0"/>
              <w:left w:val="single" w:color="auto" w:sz="4" w:space="0"/>
              <w:bottom w:val="single" w:color="auto" w:sz="4" w:space="0"/>
              <w:right w:val="single" w:color="auto" w:sz="4" w:space="0"/>
            </w:tcBorders>
            <w:noWrap w:val="0"/>
          </w:tcPr>
          <w:p w14:paraId="5F4298D2">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137D3979">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06ED06AC">
            <w:pPr>
              <w:spacing w:before="50" w:after="120" w:line="400" w:lineRule="exact"/>
              <w:jc w:val="left"/>
              <w:rPr>
                <w:color w:val="auto"/>
                <w:szCs w:val="21"/>
                <w:highlight w:val="none"/>
              </w:rPr>
            </w:pPr>
          </w:p>
        </w:tc>
        <w:tc>
          <w:tcPr>
            <w:tcW w:w="1278" w:type="dxa"/>
            <w:tcBorders>
              <w:top w:val="single" w:color="auto" w:sz="4" w:space="0"/>
              <w:left w:val="single" w:color="auto" w:sz="4" w:space="0"/>
              <w:bottom w:val="single" w:color="auto" w:sz="4" w:space="0"/>
              <w:right w:val="single" w:color="auto" w:sz="4" w:space="0"/>
            </w:tcBorders>
            <w:noWrap w:val="0"/>
          </w:tcPr>
          <w:p w14:paraId="29DA1DA3">
            <w:pPr>
              <w:spacing w:before="50" w:after="120" w:line="400" w:lineRule="exact"/>
              <w:jc w:val="left"/>
              <w:rPr>
                <w:color w:val="auto"/>
                <w:szCs w:val="21"/>
                <w:highlight w:val="none"/>
              </w:rPr>
            </w:pPr>
          </w:p>
        </w:tc>
        <w:tc>
          <w:tcPr>
            <w:tcW w:w="2480" w:type="dxa"/>
            <w:tcBorders>
              <w:top w:val="single" w:color="auto" w:sz="4" w:space="0"/>
              <w:left w:val="single" w:color="auto" w:sz="4" w:space="0"/>
              <w:bottom w:val="single" w:color="auto" w:sz="4" w:space="0"/>
              <w:right w:val="single" w:color="auto" w:sz="4" w:space="0"/>
            </w:tcBorders>
            <w:noWrap w:val="0"/>
          </w:tcPr>
          <w:p w14:paraId="59078AD7">
            <w:pPr>
              <w:spacing w:before="50" w:after="120" w:line="400" w:lineRule="exact"/>
              <w:jc w:val="left"/>
              <w:rPr>
                <w:color w:val="auto"/>
                <w:szCs w:val="21"/>
                <w:highlight w:val="none"/>
              </w:rPr>
            </w:pPr>
          </w:p>
        </w:tc>
      </w:tr>
      <w:tr w14:paraId="62C42C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635" w:type="dxa"/>
            <w:tcBorders>
              <w:top w:val="single" w:color="auto" w:sz="4" w:space="0"/>
              <w:left w:val="single" w:color="auto" w:sz="4" w:space="0"/>
              <w:bottom w:val="single" w:color="auto" w:sz="4" w:space="0"/>
              <w:right w:val="single" w:color="auto" w:sz="4" w:space="0"/>
            </w:tcBorders>
            <w:noWrap w:val="0"/>
          </w:tcPr>
          <w:p w14:paraId="1575E3A9">
            <w:pPr>
              <w:spacing w:before="50" w:after="120" w:line="400" w:lineRule="exact"/>
              <w:jc w:val="left"/>
              <w:rPr>
                <w:color w:val="auto"/>
                <w:szCs w:val="21"/>
                <w:highlight w:val="none"/>
              </w:rPr>
            </w:pPr>
          </w:p>
        </w:tc>
        <w:tc>
          <w:tcPr>
            <w:tcW w:w="2943" w:type="dxa"/>
            <w:tcBorders>
              <w:top w:val="single" w:color="auto" w:sz="4" w:space="0"/>
              <w:left w:val="single" w:color="auto" w:sz="4" w:space="0"/>
              <w:bottom w:val="single" w:color="auto" w:sz="4" w:space="0"/>
              <w:right w:val="single" w:color="auto" w:sz="4" w:space="0"/>
            </w:tcBorders>
            <w:noWrap w:val="0"/>
          </w:tcPr>
          <w:p w14:paraId="5D57F256">
            <w:pPr>
              <w:spacing w:before="50" w:after="120" w:line="400" w:lineRule="exact"/>
              <w:jc w:val="left"/>
              <w:rPr>
                <w:color w:val="auto"/>
                <w:szCs w:val="21"/>
                <w:highlight w:val="none"/>
              </w:rPr>
            </w:pPr>
          </w:p>
        </w:tc>
        <w:tc>
          <w:tcPr>
            <w:tcW w:w="4123" w:type="dxa"/>
            <w:tcBorders>
              <w:top w:val="single" w:color="auto" w:sz="4" w:space="0"/>
              <w:left w:val="single" w:color="auto" w:sz="4" w:space="0"/>
              <w:bottom w:val="single" w:color="auto" w:sz="4" w:space="0"/>
              <w:right w:val="single" w:color="auto" w:sz="4" w:space="0"/>
            </w:tcBorders>
            <w:noWrap w:val="0"/>
          </w:tcPr>
          <w:p w14:paraId="169EA1C3">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013F65E8">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3924D92F">
            <w:pPr>
              <w:spacing w:before="50" w:after="120" w:line="400" w:lineRule="exact"/>
              <w:jc w:val="left"/>
              <w:rPr>
                <w:color w:val="auto"/>
                <w:szCs w:val="21"/>
                <w:highlight w:val="none"/>
              </w:rPr>
            </w:pPr>
          </w:p>
        </w:tc>
        <w:tc>
          <w:tcPr>
            <w:tcW w:w="1278" w:type="dxa"/>
            <w:tcBorders>
              <w:top w:val="single" w:color="auto" w:sz="4" w:space="0"/>
              <w:left w:val="single" w:color="auto" w:sz="4" w:space="0"/>
              <w:bottom w:val="single" w:color="auto" w:sz="4" w:space="0"/>
              <w:right w:val="single" w:color="auto" w:sz="4" w:space="0"/>
            </w:tcBorders>
            <w:noWrap w:val="0"/>
          </w:tcPr>
          <w:p w14:paraId="6E5E50AD">
            <w:pPr>
              <w:spacing w:before="50" w:after="120" w:line="400" w:lineRule="exact"/>
              <w:jc w:val="left"/>
              <w:rPr>
                <w:color w:val="auto"/>
                <w:szCs w:val="21"/>
                <w:highlight w:val="none"/>
              </w:rPr>
            </w:pPr>
          </w:p>
        </w:tc>
        <w:tc>
          <w:tcPr>
            <w:tcW w:w="2480" w:type="dxa"/>
            <w:tcBorders>
              <w:top w:val="single" w:color="auto" w:sz="4" w:space="0"/>
              <w:left w:val="single" w:color="auto" w:sz="4" w:space="0"/>
              <w:bottom w:val="single" w:color="auto" w:sz="4" w:space="0"/>
              <w:right w:val="single" w:color="auto" w:sz="4" w:space="0"/>
            </w:tcBorders>
            <w:noWrap w:val="0"/>
          </w:tcPr>
          <w:p w14:paraId="26CBC7F4">
            <w:pPr>
              <w:spacing w:before="50" w:after="120" w:line="400" w:lineRule="exact"/>
              <w:jc w:val="left"/>
              <w:rPr>
                <w:color w:val="auto"/>
                <w:szCs w:val="21"/>
                <w:highlight w:val="none"/>
              </w:rPr>
            </w:pPr>
          </w:p>
        </w:tc>
      </w:tr>
    </w:tbl>
    <w:p w14:paraId="119FFF6D">
      <w:pPr>
        <w:pStyle w:val="16"/>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42BC3901">
      <w:pPr>
        <w:pStyle w:val="16"/>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见第四章《评审方法及标准》规定</w:t>
      </w:r>
    </w:p>
    <w:p w14:paraId="7A60A206">
      <w:pPr>
        <w:rPr>
          <w:color w:val="auto"/>
          <w:highlight w:val="none"/>
        </w:rPr>
      </w:pPr>
      <w:r>
        <w:rPr>
          <w:color w:val="auto"/>
          <w:szCs w:val="21"/>
          <w:highlight w:val="none"/>
        </w:rPr>
        <w:t>（</w:t>
      </w:r>
      <w:r>
        <w:rPr>
          <w:rFonts w:hint="eastAsia"/>
          <w:color w:val="auto"/>
          <w:szCs w:val="21"/>
          <w:highlight w:val="none"/>
        </w:rPr>
        <w:t>2</w:t>
      </w:r>
      <w:r>
        <w:rPr>
          <w:color w:val="auto"/>
          <w:szCs w:val="21"/>
          <w:highlight w:val="none"/>
        </w:rPr>
        <w:t>）</w:t>
      </w:r>
      <w:bookmarkStart w:id="222" w:name="_Hlk19049505"/>
      <w:r>
        <w:rPr>
          <w:color w:val="auto"/>
          <w:highlight w:val="none"/>
        </w:rPr>
        <w:t>本表可拓展。</w:t>
      </w:r>
      <w:bookmarkEnd w:id="222"/>
    </w:p>
    <w:p w14:paraId="29ED057D">
      <w:pPr>
        <w:spacing w:before="50"/>
        <w:jc w:val="left"/>
        <w:rPr>
          <w:color w:val="auto"/>
          <w:szCs w:val="21"/>
          <w:highlight w:val="none"/>
        </w:rPr>
      </w:pPr>
    </w:p>
    <w:p w14:paraId="70C7FD8A">
      <w:pPr>
        <w:spacing w:before="50"/>
        <w:jc w:val="left"/>
        <w:rPr>
          <w:color w:val="auto"/>
          <w:szCs w:val="21"/>
          <w:highlight w:val="none"/>
        </w:rPr>
      </w:pPr>
      <w:bookmarkStart w:id="223" w:name="_Hlk88990617"/>
      <w:r>
        <w:rPr>
          <w:color w:val="auto"/>
          <w:szCs w:val="21"/>
          <w:highlight w:val="none"/>
        </w:rPr>
        <w:t>供应商</w:t>
      </w:r>
      <w:r>
        <w:rPr>
          <w:rFonts w:hint="eastAsia"/>
          <w:color w:val="auto"/>
          <w:szCs w:val="21"/>
          <w:highlight w:val="none"/>
        </w:rPr>
        <w:t>名称(电子签章</w:t>
      </w:r>
      <w:r>
        <w:rPr>
          <w:color w:val="auto"/>
          <w:szCs w:val="21"/>
          <w:highlight w:val="none"/>
        </w:rPr>
        <w:t>)：</w:t>
      </w:r>
      <w:bookmarkEnd w:id="223"/>
      <w:r>
        <w:rPr>
          <w:color w:val="auto"/>
          <w:szCs w:val="21"/>
          <w:highlight w:val="none"/>
          <w:u w:val="single"/>
        </w:rPr>
        <w:t xml:space="preserve">                 </w:t>
      </w:r>
      <w:r>
        <w:rPr>
          <w:color w:val="auto"/>
          <w:szCs w:val="21"/>
          <w:highlight w:val="none"/>
        </w:rPr>
        <w:t xml:space="preserve">                                           年    月   日</w:t>
      </w:r>
    </w:p>
    <w:p w14:paraId="20C08007">
      <w:pPr>
        <w:spacing w:before="50"/>
        <w:jc w:val="left"/>
        <w:rPr>
          <w:color w:val="auto"/>
          <w:szCs w:val="21"/>
          <w:highlight w:val="none"/>
        </w:rPr>
      </w:pPr>
    </w:p>
    <w:p w14:paraId="183168D2">
      <w:pPr>
        <w:spacing w:before="50"/>
        <w:jc w:val="left"/>
        <w:rPr>
          <w:color w:val="auto"/>
          <w:szCs w:val="21"/>
          <w:highlight w:val="none"/>
        </w:rPr>
        <w:sectPr>
          <w:pgSz w:w="16838" w:h="11906" w:orient="landscape"/>
          <w:pgMar w:top="1418" w:right="1418" w:bottom="1133" w:left="1246" w:header="851" w:footer="992" w:gutter="0"/>
          <w:cols w:space="720" w:num="1"/>
        </w:sectPr>
      </w:pPr>
    </w:p>
    <w:p w14:paraId="2382884C">
      <w:pPr>
        <w:spacing w:before="50" w:after="120"/>
        <w:jc w:val="left"/>
        <w:rPr>
          <w:color w:val="auto"/>
          <w:szCs w:val="21"/>
          <w:highlight w:val="none"/>
        </w:rPr>
      </w:pPr>
      <w:r>
        <w:rPr>
          <w:rFonts w:hint="eastAsia"/>
          <w:color w:val="auto"/>
          <w:szCs w:val="21"/>
          <w:highlight w:val="none"/>
        </w:rPr>
        <w:t>6</w:t>
      </w:r>
      <w:r>
        <w:rPr>
          <w:color w:val="auto"/>
          <w:szCs w:val="21"/>
          <w:highlight w:val="none"/>
        </w:rPr>
        <w:t>．</w:t>
      </w:r>
      <w:r>
        <w:rPr>
          <w:rFonts w:hint="eastAsia"/>
          <w:color w:val="auto"/>
          <w:szCs w:val="21"/>
          <w:highlight w:val="none"/>
        </w:rPr>
        <w:t>提供投标产品由中共中央网络安全和信息化委员会办公室网站最新发布的《网络关键设备和网络安全专用产品安全认证和安全检测结果》截图证明材料或提供有效期内的《计算机信息系统安全专用产品销售许可证》（采购标的包含时提供）</w:t>
      </w:r>
    </w:p>
    <w:p w14:paraId="3AE4CDC3">
      <w:pPr>
        <w:widowControl/>
        <w:jc w:val="left"/>
        <w:rPr>
          <w:color w:val="auto"/>
          <w:szCs w:val="21"/>
          <w:highlight w:val="none"/>
        </w:rPr>
      </w:pPr>
    </w:p>
    <w:p w14:paraId="340853A6">
      <w:pPr>
        <w:widowControl/>
        <w:jc w:val="left"/>
        <w:rPr>
          <w:color w:val="auto"/>
          <w:szCs w:val="21"/>
          <w:highlight w:val="none"/>
        </w:rPr>
      </w:pPr>
    </w:p>
    <w:p w14:paraId="278C9A45">
      <w:pPr>
        <w:widowControl/>
        <w:jc w:val="left"/>
        <w:rPr>
          <w:color w:val="auto"/>
          <w:szCs w:val="21"/>
          <w:highlight w:val="none"/>
        </w:rPr>
      </w:pPr>
      <w:r>
        <w:rPr>
          <w:rFonts w:hint="eastAsia"/>
          <w:color w:val="auto"/>
          <w:szCs w:val="21"/>
          <w:highlight w:val="none"/>
        </w:rPr>
        <w:t>7</w:t>
      </w:r>
      <w:r>
        <w:rPr>
          <w:color w:val="auto"/>
          <w:szCs w:val="21"/>
          <w:highlight w:val="none"/>
        </w:rPr>
        <w:t>．符合政府采购政策</w:t>
      </w:r>
      <w:r>
        <w:rPr>
          <w:rFonts w:hint="eastAsia"/>
          <w:color w:val="auto"/>
          <w:szCs w:val="21"/>
          <w:highlight w:val="none"/>
        </w:rPr>
        <w:t>的</w:t>
      </w:r>
      <w:r>
        <w:rPr>
          <w:color w:val="auto"/>
          <w:szCs w:val="21"/>
          <w:highlight w:val="none"/>
        </w:rPr>
        <w:t>证明材料。</w:t>
      </w:r>
    </w:p>
    <w:p w14:paraId="440BDC98">
      <w:pPr>
        <w:spacing w:before="50" w:after="120"/>
        <w:jc w:val="left"/>
        <w:rPr>
          <w:color w:val="auto"/>
          <w:szCs w:val="21"/>
          <w:highlight w:val="none"/>
        </w:rPr>
      </w:pPr>
      <w:r>
        <w:rPr>
          <w:rFonts w:hint="eastAsia"/>
          <w:color w:val="auto"/>
          <w:szCs w:val="21"/>
          <w:highlight w:val="none"/>
        </w:rPr>
        <w:t>7.1列入节能产品政府采购品目清单及环境标志产品政府采购品目清单的货物清单。</w:t>
      </w:r>
      <w:r>
        <w:rPr>
          <w:rFonts w:hint="eastAsia"/>
          <w:b/>
          <w:color w:val="auto"/>
          <w:szCs w:val="21"/>
          <w:highlight w:val="none"/>
        </w:rPr>
        <w:t>（如有，须提供）</w:t>
      </w:r>
    </w:p>
    <w:p w14:paraId="230CADB0">
      <w:pPr>
        <w:spacing w:before="50" w:after="120"/>
        <w:jc w:val="left"/>
        <w:rPr>
          <w:rFonts w:hint="eastAsia" w:eastAsia="宋体"/>
          <w:color w:val="auto"/>
          <w:szCs w:val="21"/>
          <w:highlight w:val="none"/>
          <w:lang w:eastAsia="zh-CN"/>
        </w:rPr>
      </w:pPr>
      <w:r>
        <w:rPr>
          <w:rFonts w:hint="eastAsia"/>
          <w:color w:val="auto"/>
          <w:szCs w:val="21"/>
          <w:highlight w:val="none"/>
        </w:rPr>
        <w:t>投标产品中如有列入节能产品政府采购品目清单及环境标志产品政府采购品目清单的货物，应按下表提供清单。投标文件中</w:t>
      </w:r>
      <w:r>
        <w:rPr>
          <w:rFonts w:hint="eastAsia"/>
          <w:color w:val="auto"/>
          <w:szCs w:val="21"/>
          <w:highlight w:val="none"/>
          <w:lang w:val="en-US" w:eastAsia="zh-CN"/>
        </w:rPr>
        <w:t>同时</w:t>
      </w:r>
      <w:r>
        <w:rPr>
          <w:rFonts w:hint="eastAsia"/>
          <w:color w:val="auto"/>
          <w:szCs w:val="21"/>
          <w:highlight w:val="none"/>
        </w:rPr>
        <w:t>提供所投标产品的节能产品及环境标志认证证书扫描件</w:t>
      </w:r>
      <w:r>
        <w:rPr>
          <w:rFonts w:hint="eastAsia"/>
          <w:color w:val="auto"/>
          <w:highlight w:val="none"/>
          <w:lang w:eastAsia="zh-CN"/>
        </w:rPr>
        <w:t>。</w:t>
      </w:r>
    </w:p>
    <w:p w14:paraId="39D456A4">
      <w:pPr>
        <w:spacing w:before="50" w:after="120"/>
        <w:jc w:val="left"/>
        <w:rPr>
          <w:color w:val="auto"/>
          <w:szCs w:val="21"/>
          <w:highlight w:val="none"/>
        </w:rPr>
      </w:pPr>
    </w:p>
    <w:p w14:paraId="29826202">
      <w:pPr>
        <w:spacing w:line="360" w:lineRule="auto"/>
        <w:jc w:val="center"/>
        <w:rPr>
          <w:color w:val="auto"/>
          <w:szCs w:val="21"/>
          <w:highlight w:val="none"/>
        </w:rPr>
      </w:pPr>
      <w:r>
        <w:rPr>
          <w:rFonts w:hint="eastAsia"/>
          <w:b/>
          <w:color w:val="auto"/>
          <w:szCs w:val="21"/>
          <w:highlight w:val="none"/>
        </w:rPr>
        <w:t>节能产品及环境标志产品清单</w:t>
      </w:r>
    </w:p>
    <w:tbl>
      <w:tblPr>
        <w:tblStyle w:val="56"/>
        <w:tblW w:w="9328"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25FA042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084AE193">
            <w:pPr>
              <w:widowControl/>
              <w:spacing w:before="100" w:beforeAutospacing="1" w:after="100" w:afterAutospacing="1" w:line="376" w:lineRule="atLeast"/>
              <w:jc w:val="center"/>
              <w:rPr>
                <w:color w:val="auto"/>
                <w:szCs w:val="21"/>
                <w:highlight w:val="none"/>
              </w:rPr>
            </w:pPr>
            <w:r>
              <w:rPr>
                <w:color w:val="auto"/>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763CBEE7">
            <w:pPr>
              <w:widowControl/>
              <w:spacing w:before="100" w:beforeAutospacing="1" w:after="100" w:afterAutospacing="1" w:line="376" w:lineRule="atLeast"/>
              <w:jc w:val="center"/>
              <w:rPr>
                <w:color w:val="auto"/>
                <w:szCs w:val="21"/>
                <w:highlight w:val="none"/>
              </w:rPr>
            </w:pPr>
            <w:r>
              <w:rPr>
                <w:rFonts w:hint="eastAsia"/>
                <w:color w:val="auto"/>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22236B52">
            <w:pPr>
              <w:widowControl/>
              <w:spacing w:before="100" w:beforeAutospacing="1" w:after="100" w:afterAutospacing="1" w:line="376" w:lineRule="atLeast"/>
              <w:jc w:val="center"/>
              <w:rPr>
                <w:color w:val="auto"/>
                <w:szCs w:val="21"/>
                <w:highlight w:val="none"/>
              </w:rPr>
            </w:pPr>
            <w:r>
              <w:rPr>
                <w:rFonts w:hint="eastAsia"/>
                <w:color w:val="auto"/>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6ABBCC62">
            <w:pPr>
              <w:widowControl/>
              <w:spacing w:before="100" w:beforeAutospacing="1" w:after="100" w:afterAutospacing="1" w:line="376" w:lineRule="atLeast"/>
              <w:jc w:val="center"/>
              <w:rPr>
                <w:color w:val="auto"/>
                <w:szCs w:val="21"/>
                <w:highlight w:val="none"/>
              </w:rPr>
            </w:pPr>
            <w:r>
              <w:rPr>
                <w:rFonts w:hint="eastAsia"/>
                <w:color w:val="auto"/>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7BC43D3B">
            <w:pPr>
              <w:widowControl/>
              <w:spacing w:before="100" w:beforeAutospacing="1" w:after="100" w:afterAutospacing="1" w:line="376" w:lineRule="atLeast"/>
              <w:jc w:val="center"/>
              <w:rPr>
                <w:color w:val="auto"/>
                <w:szCs w:val="21"/>
                <w:highlight w:val="none"/>
              </w:rPr>
            </w:pPr>
            <w:r>
              <w:rPr>
                <w:color w:val="auto"/>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42F53923">
            <w:pPr>
              <w:widowControl/>
              <w:spacing w:before="100" w:beforeAutospacing="1" w:after="100" w:afterAutospacing="1" w:line="376" w:lineRule="atLeast"/>
              <w:jc w:val="center"/>
              <w:rPr>
                <w:color w:val="auto"/>
                <w:szCs w:val="21"/>
                <w:highlight w:val="none"/>
              </w:rPr>
            </w:pPr>
            <w:r>
              <w:rPr>
                <w:rFonts w:ascii="Helvetica" w:hAnsi="Helvetica" w:cs="Helvetica"/>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4D0B51CC">
            <w:pPr>
              <w:widowControl/>
              <w:spacing w:before="100" w:beforeAutospacing="1" w:after="100" w:afterAutospacing="1" w:line="376" w:lineRule="atLeast"/>
              <w:jc w:val="center"/>
              <w:rPr>
                <w:color w:val="auto"/>
                <w:szCs w:val="21"/>
                <w:highlight w:val="none"/>
              </w:rPr>
            </w:pPr>
            <w:r>
              <w:rPr>
                <w:rFonts w:hint="eastAsia"/>
                <w:color w:val="auto"/>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4AFCA90D">
            <w:pPr>
              <w:widowControl/>
              <w:spacing w:before="100" w:beforeAutospacing="1" w:after="100" w:afterAutospacing="1" w:line="376" w:lineRule="atLeast"/>
              <w:jc w:val="center"/>
              <w:rPr>
                <w:color w:val="auto"/>
                <w:szCs w:val="21"/>
                <w:highlight w:val="none"/>
              </w:rPr>
            </w:pPr>
            <w:r>
              <w:rPr>
                <w:color w:val="auto"/>
                <w:szCs w:val="21"/>
                <w:highlight w:val="none"/>
              </w:rPr>
              <w:t>备注</w:t>
            </w:r>
          </w:p>
        </w:tc>
      </w:tr>
      <w:tr w14:paraId="3EB711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EAC17A">
            <w:pPr>
              <w:widowControl/>
              <w:spacing w:before="100" w:beforeAutospacing="1" w:after="100" w:afterAutospacing="1" w:line="376" w:lineRule="atLeast"/>
              <w:jc w:val="center"/>
              <w:rPr>
                <w:color w:val="auto"/>
                <w:szCs w:val="21"/>
                <w:highlight w:val="none"/>
              </w:rPr>
            </w:pPr>
            <w:r>
              <w:rPr>
                <w:color w:val="auto"/>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E3BF6C8">
            <w:pPr>
              <w:widowControl/>
              <w:spacing w:before="100" w:beforeAutospacing="1" w:after="100" w:afterAutospacing="1" w:line="376" w:lineRule="atLeast"/>
              <w:jc w:val="center"/>
              <w:rPr>
                <w:color w:val="auto"/>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2934ED80">
            <w:pPr>
              <w:widowControl/>
              <w:spacing w:before="100" w:beforeAutospacing="1" w:after="100" w:afterAutospacing="1" w:line="376" w:lineRule="atLeast"/>
              <w:jc w:val="center"/>
              <w:rPr>
                <w:color w:val="auto"/>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6A8696D8">
            <w:pPr>
              <w:widowControl/>
              <w:spacing w:before="100" w:beforeAutospacing="1" w:after="100" w:afterAutospacing="1" w:line="376" w:lineRule="atLeast"/>
              <w:jc w:val="center"/>
              <w:rPr>
                <w:color w:val="auto"/>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7879E547">
            <w:pPr>
              <w:widowControl/>
              <w:spacing w:before="100" w:beforeAutospacing="1" w:after="100" w:afterAutospacing="1" w:line="376" w:lineRule="atLeast"/>
              <w:jc w:val="center"/>
              <w:rPr>
                <w:color w:val="auto"/>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71254122">
            <w:pPr>
              <w:widowControl/>
              <w:spacing w:before="100" w:beforeAutospacing="1" w:after="100" w:afterAutospacing="1" w:line="376" w:lineRule="atLeast"/>
              <w:jc w:val="center"/>
              <w:rPr>
                <w:color w:val="auto"/>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57F312AF">
            <w:pPr>
              <w:widowControl/>
              <w:spacing w:before="100" w:beforeAutospacing="1" w:after="100" w:afterAutospacing="1" w:line="376" w:lineRule="atLeast"/>
              <w:jc w:val="center"/>
              <w:rPr>
                <w:color w:val="auto"/>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834D024">
            <w:pPr>
              <w:widowControl/>
              <w:spacing w:before="100" w:beforeAutospacing="1" w:after="100" w:afterAutospacing="1" w:line="376" w:lineRule="atLeast"/>
              <w:jc w:val="center"/>
              <w:rPr>
                <w:color w:val="auto"/>
                <w:szCs w:val="21"/>
                <w:highlight w:val="none"/>
              </w:rPr>
            </w:pPr>
          </w:p>
        </w:tc>
      </w:tr>
      <w:tr w14:paraId="78EC8A6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35207961">
            <w:pPr>
              <w:widowControl/>
              <w:spacing w:before="100" w:beforeAutospacing="1" w:after="100" w:afterAutospacing="1" w:line="376" w:lineRule="atLeast"/>
              <w:jc w:val="center"/>
              <w:rPr>
                <w:color w:val="auto"/>
                <w:szCs w:val="21"/>
                <w:highlight w:val="none"/>
              </w:rPr>
            </w:pPr>
            <w:r>
              <w:rPr>
                <w:color w:val="auto"/>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7F31A25">
            <w:pPr>
              <w:widowControl/>
              <w:spacing w:before="100" w:beforeAutospacing="1" w:after="100" w:afterAutospacing="1" w:line="376" w:lineRule="atLeast"/>
              <w:jc w:val="center"/>
              <w:rPr>
                <w:color w:val="auto"/>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73145F65">
            <w:pPr>
              <w:widowControl/>
              <w:spacing w:before="100" w:beforeAutospacing="1" w:after="100" w:afterAutospacing="1" w:line="376" w:lineRule="atLeast"/>
              <w:jc w:val="center"/>
              <w:rPr>
                <w:color w:val="auto"/>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F94A064">
            <w:pPr>
              <w:widowControl/>
              <w:spacing w:before="100" w:beforeAutospacing="1" w:after="100" w:afterAutospacing="1" w:line="376" w:lineRule="atLeast"/>
              <w:jc w:val="center"/>
              <w:rPr>
                <w:color w:val="auto"/>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594AEBD4">
            <w:pPr>
              <w:widowControl/>
              <w:spacing w:before="100" w:beforeAutospacing="1" w:after="100" w:afterAutospacing="1" w:line="376" w:lineRule="atLeast"/>
              <w:jc w:val="center"/>
              <w:rPr>
                <w:color w:val="auto"/>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552005E5">
            <w:pPr>
              <w:widowControl/>
              <w:spacing w:before="100" w:beforeAutospacing="1" w:after="100" w:afterAutospacing="1" w:line="376" w:lineRule="atLeast"/>
              <w:jc w:val="center"/>
              <w:rPr>
                <w:color w:val="auto"/>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A22A8EE">
            <w:pPr>
              <w:widowControl/>
              <w:spacing w:before="100" w:beforeAutospacing="1" w:after="100" w:afterAutospacing="1" w:line="376" w:lineRule="atLeast"/>
              <w:jc w:val="center"/>
              <w:rPr>
                <w:color w:val="auto"/>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EFD1C1C">
            <w:pPr>
              <w:widowControl/>
              <w:spacing w:before="100" w:beforeAutospacing="1" w:after="100" w:afterAutospacing="1" w:line="376" w:lineRule="atLeast"/>
              <w:jc w:val="center"/>
              <w:rPr>
                <w:color w:val="auto"/>
                <w:szCs w:val="21"/>
                <w:highlight w:val="none"/>
              </w:rPr>
            </w:pPr>
          </w:p>
        </w:tc>
      </w:tr>
      <w:tr w14:paraId="183BACE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3350B4B5">
            <w:pPr>
              <w:widowControl/>
              <w:spacing w:before="100" w:beforeAutospacing="1" w:after="100" w:afterAutospacing="1" w:line="376" w:lineRule="atLeast"/>
              <w:jc w:val="center"/>
              <w:rPr>
                <w:color w:val="auto"/>
                <w:szCs w:val="21"/>
                <w:highlight w:val="none"/>
              </w:rPr>
            </w:pPr>
            <w:r>
              <w:rPr>
                <w:color w:val="auto"/>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C3F7B38">
            <w:pPr>
              <w:widowControl/>
              <w:spacing w:before="100" w:beforeAutospacing="1" w:after="100" w:afterAutospacing="1" w:line="376" w:lineRule="atLeast"/>
              <w:jc w:val="center"/>
              <w:rPr>
                <w:color w:val="auto"/>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656B23BC">
            <w:pPr>
              <w:widowControl/>
              <w:spacing w:before="100" w:beforeAutospacing="1" w:after="100" w:afterAutospacing="1" w:line="376" w:lineRule="atLeast"/>
              <w:jc w:val="center"/>
              <w:rPr>
                <w:color w:val="auto"/>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BAE4FF4">
            <w:pPr>
              <w:widowControl/>
              <w:spacing w:before="100" w:beforeAutospacing="1" w:after="100" w:afterAutospacing="1" w:line="376" w:lineRule="atLeast"/>
              <w:jc w:val="center"/>
              <w:rPr>
                <w:color w:val="auto"/>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1F278109">
            <w:pPr>
              <w:widowControl/>
              <w:spacing w:before="100" w:beforeAutospacing="1" w:after="100" w:afterAutospacing="1" w:line="376" w:lineRule="atLeast"/>
              <w:jc w:val="center"/>
              <w:rPr>
                <w:color w:val="auto"/>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89AD49F">
            <w:pPr>
              <w:widowControl/>
              <w:spacing w:before="100" w:beforeAutospacing="1" w:after="100" w:afterAutospacing="1" w:line="376" w:lineRule="atLeast"/>
              <w:jc w:val="center"/>
              <w:rPr>
                <w:color w:val="auto"/>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948E3F4">
            <w:pPr>
              <w:widowControl/>
              <w:spacing w:before="100" w:beforeAutospacing="1" w:after="100" w:afterAutospacing="1" w:line="376" w:lineRule="atLeast"/>
              <w:jc w:val="center"/>
              <w:rPr>
                <w:color w:val="auto"/>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210B2CB0">
            <w:pPr>
              <w:widowControl/>
              <w:spacing w:before="100" w:beforeAutospacing="1" w:after="100" w:afterAutospacing="1" w:line="376" w:lineRule="atLeast"/>
              <w:jc w:val="center"/>
              <w:rPr>
                <w:color w:val="auto"/>
                <w:szCs w:val="21"/>
                <w:highlight w:val="none"/>
              </w:rPr>
            </w:pPr>
          </w:p>
        </w:tc>
      </w:tr>
    </w:tbl>
    <w:p w14:paraId="402C0851">
      <w:pPr>
        <w:spacing w:before="50" w:after="120"/>
        <w:jc w:val="left"/>
        <w:rPr>
          <w:color w:val="auto"/>
          <w:szCs w:val="21"/>
          <w:highlight w:val="none"/>
        </w:rPr>
      </w:pPr>
      <w:r>
        <w:rPr>
          <w:rFonts w:hint="eastAsia"/>
          <w:color w:val="auto"/>
          <w:szCs w:val="21"/>
          <w:highlight w:val="none"/>
        </w:rPr>
        <w:t>注：类别填写节能或环境标志，品目填写编号及产品名称如A</w:t>
      </w:r>
      <w:r>
        <w:rPr>
          <w:color w:val="auto"/>
          <w:szCs w:val="21"/>
          <w:highlight w:val="none"/>
        </w:rPr>
        <w:t>02010104</w:t>
      </w:r>
      <w:r>
        <w:rPr>
          <w:rFonts w:hint="eastAsia"/>
          <w:color w:val="auto"/>
          <w:szCs w:val="21"/>
          <w:highlight w:val="none"/>
        </w:rPr>
        <w:t>台式计算机。</w:t>
      </w:r>
    </w:p>
    <w:p w14:paraId="313BF269">
      <w:pPr>
        <w:rPr>
          <w:color w:val="auto"/>
          <w:szCs w:val="21"/>
          <w:highlight w:val="none"/>
        </w:rPr>
      </w:pPr>
    </w:p>
    <w:p w14:paraId="1B8B3083">
      <w:pPr>
        <w:rPr>
          <w:color w:val="auto"/>
          <w:szCs w:val="21"/>
          <w:highlight w:val="none"/>
        </w:rPr>
      </w:pPr>
      <w:r>
        <w:rPr>
          <w:rFonts w:hint="eastAsia"/>
          <w:bCs/>
          <w:color w:val="auto"/>
          <w:szCs w:val="21"/>
          <w:highlight w:val="none"/>
        </w:rPr>
        <w:t>7.2 中小企业声明函</w:t>
      </w:r>
      <w:r>
        <w:rPr>
          <w:color w:val="auto"/>
          <w:szCs w:val="21"/>
          <w:highlight w:val="none"/>
        </w:rPr>
        <w:t>。</w:t>
      </w:r>
    </w:p>
    <w:p w14:paraId="35DFD088">
      <w:pPr>
        <w:spacing w:line="360" w:lineRule="auto"/>
        <w:ind w:firstLine="3584"/>
        <w:rPr>
          <w:b/>
          <w:color w:val="auto"/>
          <w:szCs w:val="21"/>
          <w:highlight w:val="none"/>
        </w:rPr>
      </w:pPr>
    </w:p>
    <w:p w14:paraId="67778430">
      <w:pPr>
        <w:spacing w:line="360" w:lineRule="auto"/>
        <w:ind w:firstLine="3584"/>
        <w:rPr>
          <w:b/>
          <w:color w:val="auto"/>
          <w:szCs w:val="21"/>
          <w:highlight w:val="none"/>
        </w:rPr>
      </w:pPr>
      <w:r>
        <w:rPr>
          <w:rFonts w:hint="eastAsia"/>
          <w:b/>
          <w:color w:val="auto"/>
          <w:szCs w:val="21"/>
          <w:highlight w:val="none"/>
        </w:rPr>
        <w:t>中小企业声明函（货物）</w:t>
      </w:r>
    </w:p>
    <w:p w14:paraId="70CBCB32">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采购活动，提供的货物全部由符合政策要求的中小企业制造。相关企业（含联合体中的中小企业、签订分包意向协议的中小企业） 的具体情况如下：</w:t>
      </w:r>
    </w:p>
    <w:p w14:paraId="3FEF2170">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（招标文件中明确的所属行业）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58E2FD52">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（招标文件中明确的所属行业）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6F2B1634">
      <w:pPr>
        <w:spacing w:line="360" w:lineRule="auto"/>
        <w:ind w:firstLine="420"/>
        <w:rPr>
          <w:bCs/>
          <w:color w:val="auto"/>
          <w:szCs w:val="21"/>
          <w:highlight w:val="none"/>
        </w:rPr>
      </w:pPr>
      <w:r>
        <w:rPr>
          <w:rFonts w:hint="eastAsia"/>
          <w:bCs/>
          <w:color w:val="auto"/>
          <w:szCs w:val="21"/>
          <w:highlight w:val="none"/>
        </w:rPr>
        <w:t>……</w:t>
      </w:r>
    </w:p>
    <w:p w14:paraId="48341B80">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6E1E2B53">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6D89399F">
      <w:pPr>
        <w:spacing w:line="360" w:lineRule="auto"/>
        <w:ind w:firstLine="3150"/>
        <w:rPr>
          <w:bCs/>
          <w:color w:val="auto"/>
          <w:szCs w:val="21"/>
          <w:highlight w:val="none"/>
        </w:rPr>
      </w:pPr>
      <w:r>
        <w:rPr>
          <w:rFonts w:hint="eastAsia"/>
          <w:bCs/>
          <w:color w:val="auto"/>
          <w:szCs w:val="21"/>
          <w:highlight w:val="none"/>
        </w:rPr>
        <w:t>企业名称</w:t>
      </w:r>
      <w:r>
        <w:rPr>
          <w:rFonts w:hint="eastAsia"/>
          <w:color w:val="auto"/>
          <w:szCs w:val="21"/>
          <w:highlight w:val="none"/>
        </w:rPr>
        <w:t xml:space="preserve"> (电子签章</w:t>
      </w:r>
      <w:r>
        <w:rPr>
          <w:color w:val="auto"/>
          <w:szCs w:val="21"/>
          <w:highlight w:val="none"/>
        </w:rPr>
        <w:t>)</w:t>
      </w:r>
      <w:r>
        <w:rPr>
          <w:rFonts w:hint="eastAsia"/>
          <w:bCs/>
          <w:color w:val="auto"/>
          <w:szCs w:val="21"/>
          <w:highlight w:val="none"/>
        </w:rPr>
        <w:t xml:space="preserve">： </w:t>
      </w:r>
      <w:r>
        <w:rPr>
          <w:bCs/>
          <w:color w:val="auto"/>
          <w:szCs w:val="21"/>
          <w:highlight w:val="none"/>
        </w:rPr>
        <w:t xml:space="preserve">   </w:t>
      </w:r>
      <w:r>
        <w:rPr>
          <w:rFonts w:hint="eastAsia"/>
          <w:bCs/>
          <w:color w:val="auto"/>
          <w:szCs w:val="21"/>
          <w:highlight w:val="none"/>
        </w:rPr>
        <w:t>日期：</w:t>
      </w:r>
    </w:p>
    <w:p w14:paraId="2696D450">
      <w:pPr>
        <w:spacing w:line="360" w:lineRule="auto"/>
        <w:jc w:val="left"/>
        <w:rPr>
          <w:bCs/>
          <w:color w:val="auto"/>
          <w:szCs w:val="21"/>
          <w:highlight w:val="none"/>
        </w:rPr>
      </w:pPr>
      <w:r>
        <w:rPr>
          <w:rFonts w:hint="eastAsia"/>
          <w:bCs/>
          <w:color w:val="auto"/>
          <w:szCs w:val="21"/>
          <w:highlight w:val="none"/>
        </w:rPr>
        <w:t>注：</w:t>
      </w:r>
    </w:p>
    <w:p w14:paraId="3EB91033">
      <w:pPr>
        <w:spacing w:line="360" w:lineRule="auto"/>
        <w:jc w:val="left"/>
        <w:rPr>
          <w:bCs/>
          <w:color w:val="auto"/>
          <w:szCs w:val="21"/>
          <w:highlight w:val="none"/>
        </w:rPr>
      </w:pPr>
      <w:r>
        <w:rPr>
          <w:rFonts w:hint="eastAsia"/>
          <w:bCs/>
          <w:color w:val="auto"/>
          <w:szCs w:val="21"/>
          <w:highlight w:val="none"/>
        </w:rPr>
        <w:t>（1）标的名称按照第二章采购需求一览表中的货物名称填写，</w:t>
      </w:r>
      <w:r>
        <w:rPr>
          <w:color w:val="auto"/>
          <w:szCs w:val="21"/>
          <w:highlight w:val="none"/>
        </w:rPr>
        <w:t>所属行业标明“/”的</w:t>
      </w:r>
      <w:r>
        <w:rPr>
          <w:rFonts w:hint="eastAsia"/>
          <w:bCs/>
          <w:color w:val="auto"/>
          <w:szCs w:val="21"/>
          <w:highlight w:val="none"/>
        </w:rPr>
        <w:t>，无需在上表填写。</w:t>
      </w:r>
    </w:p>
    <w:p w14:paraId="0F3F2EA9">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52B7C7AE">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0BFEDAD5">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3A0CFDE7">
      <w:pPr>
        <w:spacing w:line="360" w:lineRule="auto"/>
        <w:jc w:val="left"/>
        <w:rPr>
          <w:bCs/>
          <w:color w:val="auto"/>
          <w:szCs w:val="21"/>
          <w:highlight w:val="none"/>
        </w:rPr>
      </w:pPr>
      <w:r>
        <w:rPr>
          <w:rFonts w:hint="eastAsia"/>
          <w:bCs/>
          <w:color w:val="auto"/>
          <w:szCs w:val="21"/>
          <w:highlight w:val="none"/>
        </w:rPr>
        <w:t>（5）根据国家统计局《劳动工资统计报表制度》，从业人员数是指本单位工作，并取得工资或其他形式劳动报酬的人员数，是在岗职工、劳务派遣人员及其他从业人员之和。</w:t>
      </w:r>
    </w:p>
    <w:p w14:paraId="4148D00C">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36388298">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27EC8AC6">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039FBB60">
      <w:pPr>
        <w:spacing w:before="50" w:after="120"/>
        <w:jc w:val="left"/>
        <w:rPr>
          <w:color w:val="auto"/>
          <w:szCs w:val="21"/>
          <w:highlight w:val="none"/>
        </w:rPr>
      </w:pPr>
      <w:r>
        <w:rPr>
          <w:rFonts w:hint="eastAsia"/>
          <w:color w:val="auto"/>
          <w:szCs w:val="21"/>
          <w:highlight w:val="none"/>
        </w:rPr>
        <w:t>7.3</w:t>
      </w:r>
      <w:r>
        <w:rPr>
          <w:color w:val="auto"/>
          <w:szCs w:val="21"/>
          <w:highlight w:val="none"/>
        </w:rPr>
        <w:t>监狱企业须提供最新一期《XX省监狱企业产品目录》或其他监狱企业证明材料。（非监狱企业无需提供）</w:t>
      </w:r>
    </w:p>
    <w:p w14:paraId="4BA57C5E">
      <w:pPr>
        <w:spacing w:before="50" w:after="120"/>
        <w:jc w:val="left"/>
        <w:rPr>
          <w:color w:val="auto"/>
          <w:szCs w:val="21"/>
          <w:highlight w:val="none"/>
        </w:rPr>
      </w:pPr>
    </w:p>
    <w:p w14:paraId="2AAA6D8A">
      <w:pPr>
        <w:widowControl/>
        <w:jc w:val="left"/>
        <w:rPr>
          <w:color w:val="auto"/>
          <w:szCs w:val="21"/>
          <w:highlight w:val="none"/>
        </w:rPr>
      </w:pPr>
      <w:r>
        <w:rPr>
          <w:rFonts w:hint="eastAsia"/>
          <w:color w:val="auto"/>
          <w:szCs w:val="21"/>
          <w:highlight w:val="none"/>
        </w:rPr>
        <w:t>7.4</w:t>
      </w:r>
      <w:r>
        <w:rPr>
          <w:color w:val="auto"/>
          <w:highlight w:val="none"/>
        </w:rPr>
        <w:t>残疾人福利性单位须提供《残疾人福利性单位声明函》，格式如下。</w:t>
      </w:r>
      <w:r>
        <w:rPr>
          <w:color w:val="auto"/>
          <w:szCs w:val="21"/>
          <w:highlight w:val="none"/>
        </w:rPr>
        <w:t>（非残疾人福利性单位无需提供）</w:t>
      </w:r>
    </w:p>
    <w:p w14:paraId="7C67431E">
      <w:pPr>
        <w:spacing w:line="360" w:lineRule="auto"/>
        <w:jc w:val="center"/>
        <w:rPr>
          <w:b/>
          <w:color w:val="auto"/>
          <w:szCs w:val="21"/>
          <w:highlight w:val="none"/>
        </w:rPr>
      </w:pPr>
      <w:r>
        <w:rPr>
          <w:b/>
          <w:color w:val="auto"/>
          <w:szCs w:val="21"/>
          <w:highlight w:val="none"/>
        </w:rPr>
        <w:t>残疾人福利性单位声明函</w:t>
      </w:r>
    </w:p>
    <w:p w14:paraId="58A30704">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569A12F5">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48FA2F1D">
      <w:pPr>
        <w:spacing w:line="360" w:lineRule="auto"/>
        <w:ind w:firstLine="420"/>
        <w:jc w:val="right"/>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单位名称</w:t>
      </w:r>
      <w:r>
        <w:rPr>
          <w:rFonts w:hint="eastAsia"/>
          <w:color w:val="auto"/>
          <w:szCs w:val="21"/>
          <w:highlight w:val="none"/>
        </w:rPr>
        <w:t>(电子签章</w:t>
      </w:r>
      <w:r>
        <w:rPr>
          <w:color w:val="auto"/>
          <w:szCs w:val="21"/>
          <w:highlight w:val="none"/>
        </w:rPr>
        <w:t>)</w:t>
      </w:r>
      <w:r>
        <w:rPr>
          <w:color w:val="auto"/>
          <w:spacing w:val="6"/>
          <w:szCs w:val="21"/>
          <w:highlight w:val="none"/>
        </w:rPr>
        <w:t xml:space="preserve">：          </w:t>
      </w:r>
    </w:p>
    <w:p w14:paraId="62783F1F">
      <w:pPr>
        <w:spacing w:before="50" w:after="120"/>
        <w:jc w:val="left"/>
        <w:rPr>
          <w:color w:val="auto"/>
          <w:spacing w:val="6"/>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75E21DA5">
      <w:pPr>
        <w:spacing w:before="0" w:after="0"/>
        <w:jc w:val="left"/>
        <w:rPr>
          <w:color w:val="auto"/>
          <w:spacing w:val="6"/>
          <w:szCs w:val="21"/>
          <w:highlight w:val="none"/>
        </w:rPr>
      </w:pPr>
      <w:r>
        <w:rPr>
          <w:color w:val="auto"/>
          <w:spacing w:val="6"/>
          <w:szCs w:val="21"/>
          <w:highlight w:val="none"/>
        </w:rPr>
        <w:br w:type="page" w:clear="all"/>
      </w:r>
    </w:p>
    <w:p w14:paraId="7974ABCE">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0"/>
        <w:jc w:val="left"/>
        <w:rPr>
          <w:rFonts w:ascii="Calibri" w:hAnsi="Calibri" w:eastAsia="宋体" w:cs="Times New Roman"/>
          <w:color w:val="auto"/>
          <w:sz w:val="28"/>
          <w:szCs w:val="28"/>
          <w:highlight w:val="none"/>
          <w:lang w:val="en-US" w:eastAsia="zh-CN" w:bidi="ar"/>
        </w:rPr>
      </w:pPr>
      <w:r>
        <w:rPr>
          <w:rFonts w:hint="eastAsia"/>
          <w:color w:val="auto"/>
          <w:szCs w:val="21"/>
          <w:highlight w:val="none"/>
          <w:lang w:val="en-US" w:eastAsia="zh-CN"/>
        </w:rPr>
        <w:t>7.5如供应商提供的产品属于本国产品</w:t>
      </w:r>
      <w:r>
        <w:rPr>
          <w:rFonts w:hint="eastAsia"/>
          <w:color w:val="auto"/>
          <w:szCs w:val="21"/>
          <w:highlight w:val="none"/>
        </w:rPr>
        <w:t>，按以下格式提供</w:t>
      </w:r>
      <w:r>
        <w:rPr>
          <w:rFonts w:hint="eastAsia"/>
          <w:color w:val="auto"/>
          <w:szCs w:val="21"/>
          <w:highlight w:val="none"/>
          <w:lang w:val="en-US" w:eastAsia="zh-CN"/>
        </w:rPr>
        <w:t>关于符合本国产品标准的声明函</w:t>
      </w:r>
      <w:r>
        <w:rPr>
          <w:rFonts w:hint="eastAsia"/>
          <w:color w:val="auto"/>
          <w:szCs w:val="21"/>
          <w:highlight w:val="none"/>
        </w:rPr>
        <w:t>。</w:t>
      </w:r>
    </w:p>
    <w:p w14:paraId="66B5EA07">
      <w:pPr>
        <w:spacing w:line="360" w:lineRule="auto"/>
        <w:ind w:firstLine="3584"/>
        <w:rPr>
          <w:rFonts w:hint="eastAsia"/>
          <w:b/>
          <w:color w:val="auto"/>
          <w:szCs w:val="21"/>
          <w:highlight w:val="none"/>
          <w:lang w:val="en-US" w:eastAsia="zh-CN"/>
        </w:rPr>
      </w:pPr>
    </w:p>
    <w:p w14:paraId="30ED7FF8">
      <w:pPr>
        <w:spacing w:line="360" w:lineRule="auto"/>
        <w:ind w:firstLine="3584"/>
        <w:rPr>
          <w:rFonts w:hint="eastAsia"/>
          <w:b/>
          <w:color w:val="auto"/>
          <w:szCs w:val="21"/>
          <w:highlight w:val="none"/>
          <w:lang w:val="en-US" w:eastAsia="zh-CN"/>
        </w:rPr>
      </w:pPr>
      <w:r>
        <w:rPr>
          <w:rFonts w:hint="eastAsia"/>
          <w:b/>
          <w:color w:val="auto"/>
          <w:szCs w:val="21"/>
          <w:highlight w:val="none"/>
          <w:lang w:val="en-US" w:eastAsia="zh-CN"/>
        </w:rPr>
        <w:t>关于符合本国产品标准的声明函</w:t>
      </w:r>
    </w:p>
    <w:p w14:paraId="71F4831A">
      <w:pPr>
        <w:spacing w:line="360" w:lineRule="auto"/>
        <w:ind w:firstLine="3584"/>
        <w:rPr>
          <w:rFonts w:hint="eastAsia"/>
          <w:b/>
          <w:color w:val="auto"/>
          <w:szCs w:val="21"/>
          <w:highlight w:val="none"/>
          <w:lang w:val="en-US" w:eastAsia="zh-CN"/>
        </w:rPr>
      </w:pPr>
    </w:p>
    <w:p w14:paraId="51BC8EAC">
      <w:pPr>
        <w:spacing w:line="360" w:lineRule="auto"/>
        <w:ind w:firstLine="420"/>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181E4A96">
      <w:pPr>
        <w:spacing w:line="360" w:lineRule="auto"/>
        <w:ind w:firstLine="420"/>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3DE03560">
      <w:pPr>
        <w:spacing w:line="360" w:lineRule="auto"/>
        <w:ind w:firstLine="420"/>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0E8BDE22">
      <w:pPr>
        <w:spacing w:line="360" w:lineRule="auto"/>
        <w:ind w:firstLine="420"/>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w:t>
      </w:r>
    </w:p>
    <w:p w14:paraId="3AB89A53">
      <w:pPr>
        <w:spacing w:line="360" w:lineRule="auto"/>
        <w:ind w:firstLine="420"/>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本公司（单位）对上述声明内容的真实性负责。如有虚假，愿承担相应法律责任。</w:t>
      </w:r>
    </w:p>
    <w:p w14:paraId="33B9D543">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0"/>
        <w:jc w:val="lef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 </w:t>
      </w:r>
    </w:p>
    <w:p w14:paraId="63948246">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0"/>
        <w:jc w:val="righ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公司（单位）名称（盖章）：　        </w:t>
      </w:r>
    </w:p>
    <w:p w14:paraId="14F2BD97">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0"/>
        <w:jc w:val="right"/>
        <w:rPr>
          <w:rFonts w:ascii="Calibri" w:hAnsi="Calibri" w:eastAsia="宋体" w:cs="Times New Roman"/>
          <w:color w:val="auto"/>
          <w:sz w:val="28"/>
          <w:szCs w:val="28"/>
          <w:highlight w:val="none"/>
          <w:lang w:val="en-US" w:eastAsia="zh-CN" w:bidi="ar"/>
        </w:rPr>
      </w:pPr>
      <w:r>
        <w:rPr>
          <w:rFonts w:hint="eastAsia" w:ascii="Times New Roman" w:hAnsi="Times New Roman" w:eastAsia="宋体" w:cs="Times New Roman"/>
          <w:color w:val="auto"/>
          <w:sz w:val="21"/>
          <w:szCs w:val="21"/>
          <w:highlight w:val="none"/>
          <w:lang w:val="en-US" w:eastAsia="zh-CN" w:bidi="ar-SA"/>
        </w:rPr>
        <w:t>日期：　     年　  月　  日  </w:t>
      </w:r>
      <w:r>
        <w:rPr>
          <w:rFonts w:hint="eastAsia" w:ascii="仿宋" w:hAnsi="仿宋" w:eastAsia="仿宋" w:cs="仿宋"/>
          <w:i w:val="0"/>
          <w:iCs w:val="0"/>
          <w:caps w:val="0"/>
          <w:color w:val="auto"/>
          <w:spacing w:val="0"/>
          <w:sz w:val="28"/>
          <w:szCs w:val="28"/>
          <w:highlight w:val="none"/>
          <w:u w:val="none"/>
          <w:shd w:val="clear" w:color="auto" w:fill="FFFFFF"/>
          <w:vertAlign w:val="baseline"/>
          <w:lang w:val="en-US" w:eastAsia="zh-CN" w:bidi="ar"/>
        </w:rPr>
        <w:t>       </w:t>
      </w:r>
    </w:p>
    <w:p w14:paraId="1DA2AF69">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0"/>
        <w:jc w:val="left"/>
        <w:rPr>
          <w:rFonts w:ascii="Calibri" w:hAnsi="Calibri" w:eastAsia="宋体" w:cs="Times New Roman"/>
          <w:color w:val="auto"/>
          <w:sz w:val="28"/>
          <w:szCs w:val="28"/>
          <w:highlight w:val="none"/>
          <w:lang w:val="en-US" w:eastAsia="zh-CN" w:bidi="ar"/>
        </w:rPr>
      </w:pPr>
      <w:r>
        <w:rPr>
          <w:rFonts w:hint="eastAsia" w:ascii="仿宋" w:hAnsi="仿宋" w:eastAsia="仿宋" w:cs="仿宋"/>
          <w:i w:val="0"/>
          <w:iCs w:val="0"/>
          <w:caps w:val="0"/>
          <w:color w:val="auto"/>
          <w:spacing w:val="0"/>
          <w:sz w:val="28"/>
          <w:szCs w:val="28"/>
          <w:highlight w:val="none"/>
          <w:u w:val="none"/>
          <w:shd w:val="clear" w:color="auto" w:fill="FFFFFF"/>
          <w:vertAlign w:val="baseline"/>
          <w:lang w:val="en-US" w:eastAsia="zh-CN" w:bidi="ar"/>
        </w:rPr>
        <w:t>__________________</w:t>
      </w:r>
    </w:p>
    <w:p w14:paraId="773A4234">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420"/>
        <w:jc w:val="lef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1.产品如有型号，请在“产品名称”栏一并填写。</w:t>
      </w:r>
    </w:p>
    <w:p w14:paraId="677E6208">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420"/>
        <w:jc w:val="lef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2.生产厂名与厂址应与生产厂营业执照载明的相关信息保持一致。</w:t>
      </w:r>
    </w:p>
    <w:p w14:paraId="09DD6ED9">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420"/>
        <w:jc w:val="lef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3.该产品的中国境内生产的组件成本占比相关要求实施前，“规定比例”栏可不填，下同。</w:t>
      </w:r>
    </w:p>
    <w:p w14:paraId="2B4D11D2">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420"/>
        <w:jc w:val="lef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4.该产品的关键组件要求实施前，“关键组件”栏可不填，下同。</w:t>
      </w:r>
    </w:p>
    <w:p w14:paraId="2B70EBFE">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420"/>
        <w:jc w:val="left"/>
        <w:rPr>
          <w:rFonts w:ascii="Calibri" w:hAnsi="Calibri" w:eastAsia="宋体" w:cs="Times New Roman"/>
          <w:color w:val="auto"/>
          <w:sz w:val="21"/>
          <w:szCs w:val="21"/>
          <w:highlight w:val="none"/>
          <w:lang w:val="en-US" w:eastAsia="zh-CN" w:bidi="ar"/>
        </w:rPr>
      </w:pPr>
      <w:r>
        <w:rPr>
          <w:rFonts w:hint="eastAsia" w:ascii="Times New Roman" w:hAnsi="Times New Roman" w:eastAsia="宋体" w:cs="Times New Roman"/>
          <w:color w:val="auto"/>
          <w:sz w:val="21"/>
          <w:szCs w:val="21"/>
          <w:highlight w:val="none"/>
          <w:lang w:val="en-US" w:eastAsia="zh-CN" w:bidi="ar-SA"/>
        </w:rPr>
        <w:t>5.该产品的关键工序要求实施前，“关键工序”栏可不填，下同</w:t>
      </w:r>
      <w:r>
        <w:rPr>
          <w:rFonts w:hint="eastAsia" w:ascii="仿宋" w:hAnsi="仿宋" w:eastAsia="仿宋" w:cs="仿宋"/>
          <w:i w:val="0"/>
          <w:iCs w:val="0"/>
          <w:caps w:val="0"/>
          <w:color w:val="auto"/>
          <w:spacing w:val="0"/>
          <w:sz w:val="21"/>
          <w:szCs w:val="21"/>
          <w:highlight w:val="none"/>
          <w:u w:val="none"/>
          <w:shd w:val="clear" w:color="auto" w:fill="FFFFFF"/>
          <w:vertAlign w:val="baseline"/>
          <w:lang w:val="en-US" w:eastAsia="zh-CN" w:bidi="ar"/>
        </w:rPr>
        <w:t>。</w:t>
      </w:r>
    </w:p>
    <w:p w14:paraId="182EC968">
      <w:pPr>
        <w:spacing w:before="50" w:after="120"/>
        <w:jc w:val="left"/>
        <w:rPr>
          <w:color w:val="auto"/>
          <w:szCs w:val="21"/>
          <w:highlight w:val="none"/>
        </w:rPr>
      </w:pPr>
    </w:p>
    <w:p w14:paraId="06AB90FB">
      <w:pPr>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br w:type="page" w:clear="all"/>
      </w:r>
    </w:p>
    <w:p w14:paraId="077C9866">
      <w:pPr>
        <w:pStyle w:val="20"/>
        <w:rPr>
          <w:rFonts w:hint="default" w:ascii="Times New Roman" w:hAnsi="Times New Roman" w:eastAsia="宋体"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7</w:t>
      </w:r>
      <w:r>
        <w:rPr>
          <w:rFonts w:hint="eastAsia" w:ascii="Times New Roman" w:hAnsi="Times New Roman" w:eastAsia="宋体" w:cs="Times New Roman"/>
          <w:color w:val="auto"/>
          <w:sz w:val="21"/>
          <w:szCs w:val="21"/>
          <w:highlight w:val="none"/>
          <w:lang w:val="en-US" w:eastAsia="zh-CN" w:bidi="ar-SA"/>
        </w:rPr>
        <w:t>.8关于符合本国产品标准</w:t>
      </w:r>
      <w:r>
        <w:rPr>
          <w:rFonts w:hint="eastAsia" w:cs="Times New Roman"/>
          <w:color w:val="auto"/>
          <w:sz w:val="21"/>
          <w:szCs w:val="21"/>
          <w:highlight w:val="none"/>
          <w:lang w:val="en-US" w:eastAsia="zh-CN" w:bidi="ar-SA"/>
        </w:rPr>
        <w:t>的</w:t>
      </w:r>
      <w:r>
        <w:rPr>
          <w:rFonts w:hint="eastAsia" w:ascii="Times New Roman" w:hAnsi="Times New Roman" w:eastAsia="宋体" w:cs="Times New Roman"/>
          <w:color w:val="auto"/>
          <w:sz w:val="21"/>
          <w:szCs w:val="21"/>
          <w:highlight w:val="none"/>
          <w:lang w:val="en-US" w:eastAsia="zh-CN" w:bidi="ar-SA"/>
        </w:rPr>
        <w:t>成本占比承诺函</w:t>
      </w:r>
      <w:r>
        <w:rPr>
          <w:rFonts w:hint="eastAsia" w:cs="Times New Roman"/>
          <w:color w:val="auto"/>
          <w:sz w:val="21"/>
          <w:szCs w:val="21"/>
          <w:highlight w:val="none"/>
          <w:lang w:val="en-US" w:eastAsia="zh-CN" w:bidi="ar-SA"/>
        </w:rPr>
        <w:t>（单一产品采购不填写此函，多产品采购项目或采购包如供应商所有产品均为本国产品且填写《关于符合本国产品标准的声明函》可不填写此函。格式内容仅供参考）</w:t>
      </w:r>
    </w:p>
    <w:p w14:paraId="725B89CA">
      <w:pPr>
        <w:pStyle w:val="20"/>
        <w:rPr>
          <w:rFonts w:hint="eastAsia"/>
          <w:color w:val="auto"/>
          <w:highlight w:val="none"/>
          <w:lang w:val="en-US" w:eastAsia="zh-CN"/>
        </w:rPr>
      </w:pPr>
    </w:p>
    <w:p w14:paraId="523537F5">
      <w:pPr>
        <w:pStyle w:val="20"/>
        <w:jc w:val="center"/>
        <w:rPr>
          <w:rFonts w:hint="default" w:ascii="Times New Roman" w:hAnsi="Times New Roman" w:eastAsia="宋体" w:cs="Times New Roman"/>
          <w:b/>
          <w:color w:val="auto"/>
          <w:sz w:val="21"/>
          <w:szCs w:val="21"/>
          <w:highlight w:val="none"/>
          <w:lang w:val="en-US" w:eastAsia="zh-CN" w:bidi="ar-SA"/>
        </w:rPr>
      </w:pPr>
      <w:r>
        <w:rPr>
          <w:rFonts w:hint="default" w:ascii="Times New Roman" w:hAnsi="Times New Roman" w:eastAsia="宋体" w:cs="Times New Roman"/>
          <w:b/>
          <w:color w:val="auto"/>
          <w:sz w:val="21"/>
          <w:szCs w:val="21"/>
          <w:highlight w:val="none"/>
          <w:lang w:val="en-US" w:eastAsia="zh-CN" w:bidi="ar-SA"/>
        </w:rPr>
        <w:t>关于符合本国产品标准</w:t>
      </w:r>
      <w:r>
        <w:rPr>
          <w:rFonts w:hint="eastAsia" w:cs="Times New Roman"/>
          <w:b/>
          <w:color w:val="auto"/>
          <w:sz w:val="21"/>
          <w:szCs w:val="21"/>
          <w:highlight w:val="none"/>
          <w:lang w:val="en-US" w:eastAsia="zh-CN" w:bidi="ar-SA"/>
        </w:rPr>
        <w:t>的</w:t>
      </w:r>
      <w:r>
        <w:rPr>
          <w:rFonts w:hint="default" w:ascii="Times New Roman" w:hAnsi="Times New Roman" w:eastAsia="宋体" w:cs="Times New Roman"/>
          <w:b/>
          <w:color w:val="auto"/>
          <w:sz w:val="21"/>
          <w:szCs w:val="21"/>
          <w:highlight w:val="none"/>
          <w:lang w:val="en-US" w:eastAsia="zh-CN" w:bidi="ar-SA"/>
        </w:rPr>
        <w:t>成本占比承诺函</w:t>
      </w:r>
    </w:p>
    <w:p w14:paraId="5CDD8AFB">
      <w:pPr>
        <w:pStyle w:val="20"/>
        <w:rPr>
          <w:rFonts w:hint="default"/>
          <w:color w:val="auto"/>
          <w:highlight w:val="none"/>
          <w:lang w:val="en-US" w:eastAsia="zh-CN"/>
        </w:rPr>
      </w:pPr>
    </w:p>
    <w:p w14:paraId="717F0257">
      <w:pPr>
        <w:pStyle w:val="2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致：[采购人/采购代理机构名称]</w:t>
      </w:r>
    </w:p>
    <w:p w14:paraId="5838D23F">
      <w:pPr>
        <w:pStyle w:val="20"/>
        <w:rPr>
          <w:rFonts w:hint="default" w:ascii="Times New Roman" w:hAnsi="Times New Roman" w:eastAsia="宋体" w:cs="Times New Roman"/>
          <w:color w:val="auto"/>
          <w:sz w:val="21"/>
          <w:szCs w:val="21"/>
          <w:highlight w:val="none"/>
          <w:lang w:val="en-US" w:eastAsia="zh-CN" w:bidi="ar-SA"/>
        </w:rPr>
      </w:pPr>
    </w:p>
    <w:p w14:paraId="3B9D9659">
      <w:pPr>
        <w:pStyle w:val="2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本单位就参与[项目名称、编号]项目，郑重承诺如下：</w:t>
      </w:r>
    </w:p>
    <w:p w14:paraId="4AE29EB9">
      <w:pPr>
        <w:pStyle w:val="20"/>
        <w:rPr>
          <w:rFonts w:hint="default" w:ascii="Times New Roman" w:hAnsi="Times New Roman" w:eastAsia="宋体" w:cs="Times New Roman"/>
          <w:color w:val="auto"/>
          <w:sz w:val="21"/>
          <w:szCs w:val="21"/>
          <w:highlight w:val="none"/>
          <w:lang w:val="en-US" w:eastAsia="zh-CN" w:bidi="ar-SA"/>
        </w:rPr>
      </w:pPr>
    </w:p>
    <w:p w14:paraId="7604C42E">
      <w:pPr>
        <w:pStyle w:val="20"/>
        <w:ind w:firstLine="42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本单位为该项目（或采购包）提供的符合本国产品标准的产品成本之和，占所提供全部产品成本之和的比例达到80%以上。本公司（单位）对上述承诺内容的真实性负责。如有虚假，愿承担相应法律责任。</w:t>
      </w:r>
    </w:p>
    <w:p w14:paraId="29E8F985">
      <w:pPr>
        <w:pStyle w:val="20"/>
        <w:rPr>
          <w:rFonts w:hint="default" w:ascii="Times New Roman" w:hAnsi="Times New Roman" w:eastAsia="宋体" w:cs="Times New Roman"/>
          <w:color w:val="auto"/>
          <w:sz w:val="21"/>
          <w:szCs w:val="21"/>
          <w:highlight w:val="none"/>
          <w:lang w:val="en-US" w:eastAsia="zh-CN" w:bidi="ar-SA"/>
        </w:rPr>
      </w:pPr>
    </w:p>
    <w:p w14:paraId="52CD8F70">
      <w:pPr>
        <w:pStyle w:val="2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 xml:space="preserve"> </w:t>
      </w:r>
    </w:p>
    <w:p w14:paraId="7E976077">
      <w:pPr>
        <w:pStyle w:val="20"/>
        <w:rPr>
          <w:rFonts w:hint="default" w:ascii="Times New Roman" w:hAnsi="Times New Roman" w:eastAsia="宋体" w:cs="Times New Roman"/>
          <w:color w:val="auto"/>
          <w:sz w:val="21"/>
          <w:szCs w:val="21"/>
          <w:highlight w:val="none"/>
          <w:lang w:val="en-US" w:eastAsia="zh-CN" w:bidi="ar-SA"/>
        </w:rPr>
      </w:pPr>
    </w:p>
    <w:p w14:paraId="610E993F">
      <w:pPr>
        <w:pStyle w:val="2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 xml:space="preserve"> </w:t>
      </w:r>
    </w:p>
    <w:p w14:paraId="3D8DB7FA">
      <w:pPr>
        <w:pStyle w:val="20"/>
        <w:rPr>
          <w:rFonts w:hint="default" w:ascii="Times New Roman" w:hAnsi="Times New Roman" w:eastAsia="宋体" w:cs="Times New Roman"/>
          <w:color w:val="auto"/>
          <w:sz w:val="21"/>
          <w:szCs w:val="21"/>
          <w:highlight w:val="none"/>
          <w:lang w:val="en-US" w:eastAsia="zh-CN" w:bidi="ar-SA"/>
        </w:rPr>
      </w:pPr>
    </w:p>
    <w:p w14:paraId="523DD865">
      <w:pPr>
        <w:pStyle w:val="20"/>
        <w:jc w:val="right"/>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供应商名称（盖章）：　        </w:t>
      </w:r>
    </w:p>
    <w:p w14:paraId="1E6DFCA1">
      <w:pPr>
        <w:pStyle w:val="20"/>
        <w:jc w:val="right"/>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日期：　     年　  月　  日 </w:t>
      </w:r>
    </w:p>
    <w:p w14:paraId="6AA3D82A">
      <w:pPr>
        <w:pStyle w:val="20"/>
        <w:rPr>
          <w:rFonts w:hint="default"/>
          <w:color w:val="auto"/>
          <w:highlight w:val="none"/>
          <w:lang w:val="en-US" w:eastAsia="zh-CN"/>
        </w:rPr>
      </w:pPr>
    </w:p>
    <w:p w14:paraId="32201F98">
      <w:pPr>
        <w:pStyle w:val="20"/>
        <w:rPr>
          <w:rFonts w:hint="default"/>
          <w:color w:val="auto"/>
          <w:highlight w:val="none"/>
          <w:lang w:val="en-US" w:eastAsia="zh-CN"/>
        </w:rPr>
      </w:pPr>
    </w:p>
    <w:p w14:paraId="1EE00929">
      <w:pPr>
        <w:pStyle w:val="20"/>
        <w:rPr>
          <w:rFonts w:hint="default"/>
          <w:color w:val="auto"/>
          <w:highlight w:val="none"/>
          <w:lang w:val="en-US" w:eastAsia="zh-CN"/>
        </w:rPr>
      </w:pPr>
    </w:p>
    <w:p w14:paraId="220058D0">
      <w:pPr>
        <w:pStyle w:val="20"/>
        <w:rPr>
          <w:rFonts w:hint="default"/>
          <w:color w:val="auto"/>
          <w:highlight w:val="none"/>
          <w:lang w:val="en-US" w:eastAsia="zh-CN"/>
        </w:rPr>
        <w:sectPr>
          <w:pgSz w:w="11906" w:h="16838"/>
          <w:pgMar w:top="1418" w:right="1133" w:bottom="1246" w:left="1418" w:header="851" w:footer="992" w:gutter="0"/>
          <w:cols w:space="720" w:num="1"/>
        </w:sectPr>
      </w:pPr>
    </w:p>
    <w:p w14:paraId="0E961266">
      <w:pPr>
        <w:widowControl/>
        <w:spacing w:before="0" w:after="0"/>
        <w:jc w:val="left"/>
        <w:rPr>
          <w:color w:val="auto"/>
          <w:szCs w:val="21"/>
          <w:highlight w:val="none"/>
        </w:rPr>
      </w:pPr>
      <w:r>
        <w:rPr>
          <w:rFonts w:hint="eastAsia"/>
          <w:color w:val="auto"/>
          <w:szCs w:val="21"/>
          <w:highlight w:val="none"/>
          <w:lang w:val="en-US" w:eastAsia="zh-CN"/>
        </w:rPr>
        <w:t>8</w:t>
      </w:r>
      <w:r>
        <w:rPr>
          <w:color w:val="auto"/>
          <w:szCs w:val="21"/>
          <w:highlight w:val="none"/>
        </w:rPr>
        <w:t>.</w:t>
      </w:r>
      <w:r>
        <w:rPr>
          <w:rFonts w:hint="eastAsia"/>
          <w:color w:val="auto"/>
          <w:highlight w:val="none"/>
        </w:rPr>
        <w:t xml:space="preserve"> </w:t>
      </w:r>
      <w:r>
        <w:rPr>
          <w:rFonts w:hint="eastAsia"/>
          <w:color w:val="auto"/>
          <w:szCs w:val="21"/>
          <w:highlight w:val="none"/>
        </w:rPr>
        <w:t>无串标行为承诺函</w:t>
      </w:r>
    </w:p>
    <w:p w14:paraId="3729F982">
      <w:pPr>
        <w:spacing w:before="50" w:after="120"/>
        <w:jc w:val="center"/>
        <w:rPr>
          <w:color w:val="auto"/>
          <w:szCs w:val="21"/>
          <w:highlight w:val="none"/>
        </w:rPr>
      </w:pPr>
    </w:p>
    <w:p w14:paraId="22CCDFDF">
      <w:pPr>
        <w:spacing w:before="50" w:after="120"/>
        <w:jc w:val="center"/>
        <w:rPr>
          <w:color w:val="auto"/>
          <w:szCs w:val="21"/>
          <w:highlight w:val="none"/>
        </w:rPr>
      </w:pPr>
      <w:r>
        <w:rPr>
          <w:rFonts w:hint="eastAsia"/>
          <w:color w:val="auto"/>
          <w:szCs w:val="21"/>
          <w:highlight w:val="none"/>
        </w:rPr>
        <w:t>投标人参加本项目无围标串标行为的承诺函</w:t>
      </w:r>
    </w:p>
    <w:p w14:paraId="6E7ED710">
      <w:pPr>
        <w:spacing w:before="50" w:after="120"/>
        <w:jc w:val="left"/>
        <w:rPr>
          <w:color w:val="auto"/>
          <w:szCs w:val="21"/>
          <w:highlight w:val="none"/>
        </w:rPr>
      </w:pPr>
    </w:p>
    <w:p w14:paraId="416FC7AB">
      <w:pPr>
        <w:spacing w:before="50" w:after="120"/>
        <w:jc w:val="left"/>
        <w:rPr>
          <w:color w:val="auto"/>
          <w:szCs w:val="21"/>
          <w:highlight w:val="none"/>
        </w:rPr>
      </w:pPr>
      <w:r>
        <w:rPr>
          <w:rFonts w:hint="eastAsia"/>
          <w:color w:val="auto"/>
          <w:szCs w:val="21"/>
          <w:highlight w:val="none"/>
        </w:rPr>
        <w:t>一、我方承诺无下列相互串通投标的情形：</w:t>
      </w:r>
    </w:p>
    <w:p w14:paraId="1FBFE445">
      <w:pPr>
        <w:spacing w:before="50" w:after="120"/>
        <w:jc w:val="left"/>
        <w:rPr>
          <w:color w:val="auto"/>
          <w:szCs w:val="21"/>
          <w:highlight w:val="none"/>
        </w:rPr>
      </w:pPr>
      <w:r>
        <w:rPr>
          <w:rFonts w:hint="eastAsia"/>
          <w:color w:val="auto"/>
          <w:szCs w:val="21"/>
          <w:highlight w:val="none"/>
        </w:rPr>
        <w:t>1.不同投标人的投标文件由同一单位或者个人编制；或者不同投标人报名的IP地址一致的；</w:t>
      </w:r>
    </w:p>
    <w:p w14:paraId="73FD06C4">
      <w:pPr>
        <w:spacing w:before="50" w:after="120"/>
        <w:jc w:val="left"/>
        <w:rPr>
          <w:color w:val="auto"/>
          <w:szCs w:val="21"/>
          <w:highlight w:val="none"/>
        </w:rPr>
      </w:pPr>
      <w:r>
        <w:rPr>
          <w:rFonts w:hint="eastAsia"/>
          <w:color w:val="auto"/>
          <w:szCs w:val="21"/>
          <w:highlight w:val="none"/>
        </w:rPr>
        <w:t>2.不同投标人委托同一单位或者个人办理投标事宜；</w:t>
      </w:r>
    </w:p>
    <w:p w14:paraId="448434CF">
      <w:pPr>
        <w:spacing w:before="50" w:after="120"/>
        <w:jc w:val="left"/>
        <w:rPr>
          <w:color w:val="auto"/>
          <w:szCs w:val="21"/>
          <w:highlight w:val="none"/>
        </w:rPr>
      </w:pPr>
      <w:r>
        <w:rPr>
          <w:rFonts w:hint="eastAsia"/>
          <w:color w:val="auto"/>
          <w:szCs w:val="21"/>
          <w:highlight w:val="none"/>
        </w:rPr>
        <w:t>3.不同的投标人的投标文件载明的项目管理员为同一个人；</w:t>
      </w:r>
    </w:p>
    <w:p w14:paraId="3FDFD837">
      <w:pPr>
        <w:spacing w:before="50" w:after="120"/>
        <w:jc w:val="left"/>
        <w:rPr>
          <w:color w:val="auto"/>
          <w:szCs w:val="21"/>
          <w:highlight w:val="none"/>
        </w:rPr>
      </w:pPr>
      <w:r>
        <w:rPr>
          <w:rFonts w:hint="eastAsia"/>
          <w:color w:val="auto"/>
          <w:szCs w:val="21"/>
          <w:highlight w:val="none"/>
        </w:rPr>
        <w:t>4.不同投标人的投标文件异常一致或者投标报价呈规律性差异；</w:t>
      </w:r>
    </w:p>
    <w:p w14:paraId="10B30C77">
      <w:pPr>
        <w:spacing w:before="50" w:after="120"/>
        <w:jc w:val="left"/>
        <w:rPr>
          <w:color w:val="auto"/>
          <w:szCs w:val="21"/>
          <w:highlight w:val="none"/>
        </w:rPr>
      </w:pPr>
      <w:r>
        <w:rPr>
          <w:rFonts w:hint="eastAsia"/>
          <w:color w:val="auto"/>
          <w:szCs w:val="21"/>
          <w:highlight w:val="none"/>
        </w:rPr>
        <w:t>5.不同投标人的投标文件相互混装；</w:t>
      </w:r>
    </w:p>
    <w:p w14:paraId="4414F39E">
      <w:pPr>
        <w:spacing w:before="50" w:after="120"/>
        <w:jc w:val="left"/>
        <w:rPr>
          <w:color w:val="auto"/>
          <w:szCs w:val="21"/>
          <w:highlight w:val="none"/>
        </w:rPr>
      </w:pPr>
      <w:r>
        <w:rPr>
          <w:rFonts w:hint="eastAsia"/>
          <w:color w:val="auto"/>
          <w:szCs w:val="21"/>
          <w:highlight w:val="none"/>
        </w:rPr>
        <w:t>6.不同投标人的投标保证金从同一单位或者个人账户转出。</w:t>
      </w:r>
    </w:p>
    <w:p w14:paraId="021DE653">
      <w:pPr>
        <w:spacing w:before="50" w:after="120"/>
        <w:jc w:val="left"/>
        <w:rPr>
          <w:color w:val="auto"/>
          <w:szCs w:val="21"/>
          <w:highlight w:val="none"/>
        </w:rPr>
      </w:pPr>
      <w:r>
        <w:rPr>
          <w:rFonts w:hint="eastAsia"/>
          <w:color w:val="auto"/>
          <w:szCs w:val="21"/>
          <w:highlight w:val="none"/>
        </w:rPr>
        <w:t>二、我方承诺无下列恶意串通的情形：</w:t>
      </w:r>
    </w:p>
    <w:p w14:paraId="3ED884A6">
      <w:pPr>
        <w:spacing w:before="50" w:after="120"/>
        <w:jc w:val="left"/>
        <w:rPr>
          <w:color w:val="auto"/>
          <w:szCs w:val="21"/>
          <w:highlight w:val="none"/>
        </w:rPr>
      </w:pPr>
      <w:r>
        <w:rPr>
          <w:rFonts w:hint="eastAsia"/>
          <w:color w:val="auto"/>
          <w:szCs w:val="21"/>
          <w:highlight w:val="none"/>
        </w:rPr>
        <w:t>1.投标人直接或者间接从采购人或者采购代理机构处获得其他投标人的相关信息并修改其投标文件或者投标文件；</w:t>
      </w:r>
    </w:p>
    <w:p w14:paraId="15C2B063">
      <w:pPr>
        <w:spacing w:before="50" w:after="120"/>
        <w:jc w:val="left"/>
        <w:rPr>
          <w:color w:val="auto"/>
          <w:szCs w:val="21"/>
          <w:highlight w:val="none"/>
        </w:rPr>
      </w:pPr>
      <w:r>
        <w:rPr>
          <w:rFonts w:hint="eastAsia"/>
          <w:color w:val="auto"/>
          <w:szCs w:val="21"/>
          <w:highlight w:val="none"/>
        </w:rPr>
        <w:t>2.投标人按照采购人或者采购代理机构的授意撤换、修改投标文件或者投标文件；</w:t>
      </w:r>
    </w:p>
    <w:p w14:paraId="7F74827D">
      <w:pPr>
        <w:spacing w:before="50" w:after="120"/>
        <w:jc w:val="left"/>
        <w:rPr>
          <w:color w:val="auto"/>
          <w:szCs w:val="21"/>
          <w:highlight w:val="none"/>
        </w:rPr>
      </w:pPr>
      <w:r>
        <w:rPr>
          <w:rFonts w:hint="eastAsia"/>
          <w:color w:val="auto"/>
          <w:szCs w:val="21"/>
          <w:highlight w:val="none"/>
        </w:rPr>
        <w:t>3.投标人之间协商报价、技术方案等投标文件或者投标文件的实质性内容；</w:t>
      </w:r>
    </w:p>
    <w:p w14:paraId="256EEDFA">
      <w:pPr>
        <w:spacing w:before="50" w:after="120"/>
        <w:jc w:val="left"/>
        <w:rPr>
          <w:color w:val="auto"/>
          <w:szCs w:val="21"/>
          <w:highlight w:val="none"/>
        </w:rPr>
      </w:pPr>
      <w:r>
        <w:rPr>
          <w:rFonts w:hint="eastAsia"/>
          <w:color w:val="auto"/>
          <w:szCs w:val="21"/>
          <w:highlight w:val="none"/>
        </w:rPr>
        <w:t>4.属于同一集团、协会、商会等组织成员的投标人按照该组织要求协同参加政府采购活动；</w:t>
      </w:r>
    </w:p>
    <w:p w14:paraId="44CBEA3C">
      <w:pPr>
        <w:spacing w:before="50" w:after="120"/>
        <w:jc w:val="left"/>
        <w:rPr>
          <w:color w:val="auto"/>
          <w:szCs w:val="21"/>
          <w:highlight w:val="none"/>
        </w:rPr>
      </w:pPr>
      <w:r>
        <w:rPr>
          <w:rFonts w:hint="eastAsia"/>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33CBFE64">
      <w:pPr>
        <w:spacing w:before="50" w:after="120"/>
        <w:jc w:val="left"/>
        <w:rPr>
          <w:color w:val="auto"/>
          <w:szCs w:val="21"/>
          <w:highlight w:val="none"/>
        </w:rPr>
      </w:pPr>
      <w:r>
        <w:rPr>
          <w:rFonts w:hint="eastAsia"/>
          <w:color w:val="auto"/>
          <w:szCs w:val="21"/>
          <w:highlight w:val="none"/>
        </w:rPr>
        <w:t>6.投标人之间商定部分投标人放弃参加政府采购活动或者放弃中标；</w:t>
      </w:r>
    </w:p>
    <w:p w14:paraId="7EF4B38B">
      <w:pPr>
        <w:spacing w:before="50" w:after="120"/>
        <w:jc w:val="left"/>
        <w:rPr>
          <w:color w:val="auto"/>
          <w:szCs w:val="21"/>
          <w:highlight w:val="none"/>
        </w:rPr>
      </w:pPr>
      <w:r>
        <w:rPr>
          <w:rFonts w:hint="eastAsia"/>
          <w:color w:val="auto"/>
          <w:szCs w:val="21"/>
          <w:highlight w:val="none"/>
        </w:rPr>
        <w:t>7.投标人与采购人或者采购代理机构之间、投标人相互之间，为谋求特定投标人中标或者排斥其他投标人的其他串通行为。</w:t>
      </w:r>
    </w:p>
    <w:p w14:paraId="7D13D5C3">
      <w:pPr>
        <w:spacing w:before="50" w:after="12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6DAE64AC">
      <w:pPr>
        <w:spacing w:before="50" w:after="12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3E0E16A4">
      <w:pPr>
        <w:spacing w:before="50" w:after="120"/>
        <w:jc w:val="center"/>
        <w:rPr>
          <w:color w:val="auto"/>
          <w:szCs w:val="21"/>
          <w:highlight w:val="none"/>
        </w:rPr>
      </w:pPr>
    </w:p>
    <w:p w14:paraId="52DA8B27">
      <w:pPr>
        <w:spacing w:before="50" w:after="120"/>
        <w:jc w:val="center"/>
        <w:rPr>
          <w:color w:val="auto"/>
          <w:szCs w:val="21"/>
          <w:highlight w:val="none"/>
        </w:rPr>
      </w:pPr>
    </w:p>
    <w:p w14:paraId="3FADA916">
      <w:pPr>
        <w:spacing w:before="50" w:after="12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7E9AC6BA">
      <w:pPr>
        <w:spacing w:before="50" w:after="120"/>
        <w:jc w:val="center"/>
        <w:rPr>
          <w:color w:val="auto"/>
          <w:szCs w:val="21"/>
          <w:highlight w:val="none"/>
        </w:rPr>
      </w:pPr>
      <w:r>
        <w:rPr>
          <w:rFonts w:hint="eastAsia"/>
          <w:color w:val="auto"/>
          <w:szCs w:val="21"/>
          <w:highlight w:val="none"/>
        </w:rPr>
        <w:t>日期：  年  月   日</w:t>
      </w:r>
    </w:p>
    <w:p w14:paraId="3F347ABA">
      <w:pPr>
        <w:spacing w:before="50" w:after="120"/>
        <w:jc w:val="left"/>
        <w:rPr>
          <w:color w:val="auto"/>
          <w:szCs w:val="21"/>
          <w:highlight w:val="none"/>
        </w:rPr>
      </w:pPr>
      <w:r>
        <w:rPr>
          <w:color w:val="auto"/>
          <w:szCs w:val="21"/>
          <w:highlight w:val="none"/>
        </w:rPr>
        <w:br w:type="page" w:clear="all"/>
      </w:r>
      <w:r>
        <w:rPr>
          <w:rFonts w:hint="eastAsia"/>
          <w:color w:val="auto"/>
          <w:szCs w:val="21"/>
          <w:highlight w:val="none"/>
          <w:lang w:val="en-US" w:eastAsia="zh-CN"/>
        </w:rPr>
        <w:t>9</w:t>
      </w:r>
      <w:r>
        <w:rPr>
          <w:color w:val="auto"/>
          <w:szCs w:val="21"/>
          <w:highlight w:val="none"/>
        </w:rPr>
        <w:t>.代理服务费承诺书</w:t>
      </w:r>
    </w:p>
    <w:p w14:paraId="228F0218">
      <w:pPr>
        <w:spacing w:line="360" w:lineRule="exact"/>
        <w:rPr>
          <w:color w:val="auto"/>
          <w:szCs w:val="21"/>
          <w:highlight w:val="none"/>
        </w:rPr>
      </w:pPr>
      <w:r>
        <w:rPr>
          <w:color w:val="auto"/>
          <w:szCs w:val="21"/>
          <w:highlight w:val="none"/>
        </w:rPr>
        <w:t>致：广西机电设备招标有限公司</w:t>
      </w:r>
    </w:p>
    <w:p w14:paraId="3789D642">
      <w:pPr>
        <w:spacing w:line="360" w:lineRule="exact"/>
        <w:ind w:firstLine="420"/>
        <w:rPr>
          <w:color w:val="auto"/>
          <w:szCs w:val="21"/>
          <w:highlight w:val="none"/>
        </w:rPr>
      </w:pPr>
      <w:r>
        <w:rPr>
          <w:color w:val="auto"/>
          <w:szCs w:val="21"/>
          <w:highlight w:val="none"/>
        </w:rPr>
        <w:t>我单位参加了贵方组织的招标项目编号为</w:t>
      </w:r>
      <w:r>
        <w:rPr>
          <w:b/>
          <w:color w:val="auto"/>
          <w:szCs w:val="21"/>
          <w:highlight w:val="none"/>
        </w:rPr>
        <w:t>（</w:t>
      </w:r>
      <w:r>
        <w:rPr>
          <w:color w:val="auto"/>
          <w:szCs w:val="21"/>
          <w:highlight w:val="none"/>
          <w:u w:val="single"/>
        </w:rPr>
        <w:t xml:space="preserve">                    )</w:t>
      </w:r>
      <w:r>
        <w:rPr>
          <w:color w:val="auto"/>
          <w:szCs w:val="21"/>
          <w:highlight w:val="none"/>
        </w:rPr>
        <w:t>的投标，并递交了投标保证金</w:t>
      </w:r>
      <w:bookmarkStart w:id="224" w:name="_Hlk19050352"/>
      <w:r>
        <w:rPr>
          <w:color w:val="auto"/>
          <w:szCs w:val="21"/>
          <w:highlight w:val="none"/>
        </w:rPr>
        <w:t>（¥</w:t>
      </w:r>
      <w:r>
        <w:rPr>
          <w:color w:val="auto"/>
          <w:szCs w:val="21"/>
          <w:highlight w:val="none"/>
          <w:u w:val="single"/>
        </w:rPr>
        <w:t xml:space="preserve">       </w:t>
      </w:r>
      <w:r>
        <w:rPr>
          <w:color w:val="auto"/>
          <w:szCs w:val="21"/>
          <w:highlight w:val="none"/>
        </w:rPr>
        <w:t>）</w:t>
      </w:r>
      <w:bookmarkEnd w:id="224"/>
      <w:r>
        <w:rPr>
          <w:color w:val="auto"/>
          <w:szCs w:val="21"/>
          <w:highlight w:val="none"/>
        </w:rPr>
        <w:t>，在此我方说明如下：</w:t>
      </w:r>
    </w:p>
    <w:p w14:paraId="26BCF760">
      <w:pPr>
        <w:spacing w:line="360" w:lineRule="exact"/>
        <w:ind w:firstLine="420"/>
        <w:rPr>
          <w:color w:val="auto"/>
          <w:szCs w:val="21"/>
          <w:highlight w:val="none"/>
        </w:rPr>
      </w:pPr>
      <w:r>
        <w:rPr>
          <w:color w:val="auto"/>
          <w:szCs w:val="21"/>
          <w:highlight w:val="none"/>
        </w:rPr>
        <w:t>1．我方承诺，若我单位中标，保证在领取中标通知书之前，按本项目招标文件的规定标准向贵单位支付代理服务费。如我单位未按规定缴纳代理服务费，贵方可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我单位提交的投标保证金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p w14:paraId="15E91080">
      <w:pPr>
        <w:spacing w:line="360" w:lineRule="exact"/>
        <w:ind w:firstLine="420"/>
        <w:rPr>
          <w:color w:val="auto"/>
          <w:szCs w:val="21"/>
          <w:highlight w:val="none"/>
        </w:rPr>
      </w:pPr>
      <w:bookmarkStart w:id="225" w:name="_Hlk19050518"/>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203E39DB">
      <w:pPr>
        <w:spacing w:line="360" w:lineRule="exact"/>
        <w:ind w:firstLine="420"/>
        <w:rPr>
          <w:color w:val="auto"/>
          <w:szCs w:val="21"/>
          <w:highlight w:val="none"/>
        </w:rPr>
      </w:pPr>
      <w:r>
        <w:rPr>
          <w:color w:val="auto"/>
          <w:szCs w:val="21"/>
          <w:highlight w:val="none"/>
        </w:rPr>
        <w:t>第一种方式：一次性足额缴纳代理服务费。</w:t>
      </w:r>
    </w:p>
    <w:p w14:paraId="75976C0B">
      <w:pPr>
        <w:spacing w:line="360" w:lineRule="exact"/>
        <w:ind w:firstLine="420"/>
        <w:rPr>
          <w:color w:val="auto"/>
          <w:szCs w:val="21"/>
          <w:highlight w:val="none"/>
        </w:rPr>
      </w:pPr>
      <w:r>
        <w:rPr>
          <w:color w:val="auto"/>
          <w:szCs w:val="21"/>
          <w:highlight w:val="none"/>
        </w:rPr>
        <w:t>第二种方式：从投标保证金中抵扣代理服务费，不足部分补交。</w:t>
      </w:r>
      <w:bookmarkEnd w:id="225"/>
    </w:p>
    <w:p w14:paraId="455F7F9E">
      <w:pPr>
        <w:spacing w:line="360" w:lineRule="exact"/>
        <w:ind w:firstLine="420"/>
        <w:rPr>
          <w:color w:val="auto"/>
          <w:szCs w:val="21"/>
          <w:highlight w:val="none"/>
        </w:rPr>
      </w:pPr>
      <w:r>
        <w:rPr>
          <w:color w:val="auto"/>
          <w:szCs w:val="21"/>
          <w:highlight w:val="none"/>
        </w:rPr>
        <w:t>2．如我单位投标保证金无法原路返回，请按下表账户信息无息退还。</w:t>
      </w: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6097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6B8CB71B">
            <w:pPr>
              <w:spacing w:line="360" w:lineRule="exact"/>
              <w:jc w:val="center"/>
              <w:rPr>
                <w:color w:val="auto"/>
                <w:szCs w:val="21"/>
                <w:highlight w:val="none"/>
              </w:rPr>
            </w:pPr>
            <w:r>
              <w:rPr>
                <w:color w:val="auto"/>
                <w:szCs w:val="21"/>
                <w:highlight w:val="none"/>
              </w:rPr>
              <w:t>收款户名</w:t>
            </w:r>
          </w:p>
        </w:tc>
        <w:tc>
          <w:tcPr>
            <w:tcW w:w="5431" w:type="dxa"/>
            <w:noWrap w:val="0"/>
            <w:vAlign w:val="center"/>
          </w:tcPr>
          <w:p w14:paraId="19F242FA">
            <w:pPr>
              <w:spacing w:line="360" w:lineRule="exact"/>
              <w:jc w:val="center"/>
              <w:rPr>
                <w:color w:val="auto"/>
                <w:szCs w:val="21"/>
                <w:highlight w:val="none"/>
              </w:rPr>
            </w:pPr>
          </w:p>
        </w:tc>
      </w:tr>
      <w:tr w14:paraId="4584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4567F251">
            <w:pPr>
              <w:spacing w:line="360" w:lineRule="exact"/>
              <w:jc w:val="center"/>
              <w:rPr>
                <w:color w:val="auto"/>
                <w:szCs w:val="21"/>
                <w:highlight w:val="none"/>
              </w:rPr>
            </w:pPr>
            <w:r>
              <w:rPr>
                <w:color w:val="auto"/>
                <w:szCs w:val="21"/>
                <w:highlight w:val="none"/>
              </w:rPr>
              <w:t>账    号</w:t>
            </w:r>
          </w:p>
        </w:tc>
        <w:tc>
          <w:tcPr>
            <w:tcW w:w="5431" w:type="dxa"/>
            <w:noWrap w:val="0"/>
            <w:vAlign w:val="center"/>
          </w:tcPr>
          <w:p w14:paraId="4BDA7E43">
            <w:pPr>
              <w:spacing w:line="360" w:lineRule="exact"/>
              <w:jc w:val="center"/>
              <w:rPr>
                <w:color w:val="auto"/>
                <w:szCs w:val="21"/>
                <w:highlight w:val="none"/>
              </w:rPr>
            </w:pPr>
          </w:p>
        </w:tc>
      </w:tr>
      <w:tr w14:paraId="5E25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159225B7">
            <w:pPr>
              <w:spacing w:line="360" w:lineRule="exact"/>
              <w:jc w:val="center"/>
              <w:rPr>
                <w:color w:val="auto"/>
                <w:szCs w:val="21"/>
                <w:highlight w:val="none"/>
              </w:rPr>
            </w:pPr>
            <w:r>
              <w:rPr>
                <w:color w:val="auto"/>
                <w:szCs w:val="21"/>
                <w:highlight w:val="none"/>
              </w:rPr>
              <w:t>开户银行</w:t>
            </w:r>
          </w:p>
        </w:tc>
        <w:tc>
          <w:tcPr>
            <w:tcW w:w="5431" w:type="dxa"/>
            <w:noWrap w:val="0"/>
            <w:vAlign w:val="center"/>
          </w:tcPr>
          <w:p w14:paraId="6AFADC91">
            <w:pPr>
              <w:spacing w:line="360" w:lineRule="exact"/>
              <w:jc w:val="center"/>
              <w:rPr>
                <w:color w:val="auto"/>
                <w:szCs w:val="21"/>
                <w:highlight w:val="none"/>
              </w:rPr>
            </w:pPr>
          </w:p>
        </w:tc>
      </w:tr>
      <w:tr w14:paraId="0370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1AC60632">
            <w:pPr>
              <w:spacing w:line="360" w:lineRule="exact"/>
              <w:jc w:val="center"/>
              <w:rPr>
                <w:color w:val="auto"/>
                <w:szCs w:val="21"/>
                <w:highlight w:val="none"/>
              </w:rPr>
            </w:pPr>
            <w:r>
              <w:rPr>
                <w:color w:val="auto"/>
                <w:szCs w:val="21"/>
                <w:highlight w:val="none"/>
              </w:rPr>
              <w:t>银行行号</w:t>
            </w:r>
          </w:p>
        </w:tc>
        <w:tc>
          <w:tcPr>
            <w:tcW w:w="5431" w:type="dxa"/>
            <w:noWrap w:val="0"/>
            <w:vAlign w:val="center"/>
          </w:tcPr>
          <w:p w14:paraId="3C61A60F">
            <w:pPr>
              <w:spacing w:line="360" w:lineRule="exact"/>
              <w:jc w:val="center"/>
              <w:rPr>
                <w:color w:val="auto"/>
                <w:szCs w:val="21"/>
                <w:highlight w:val="none"/>
              </w:rPr>
            </w:pPr>
          </w:p>
        </w:tc>
      </w:tr>
    </w:tbl>
    <w:p w14:paraId="134FF99E">
      <w:pPr>
        <w:spacing w:line="360" w:lineRule="exact"/>
        <w:ind w:firstLine="420"/>
        <w:rPr>
          <w:color w:val="auto"/>
          <w:szCs w:val="21"/>
          <w:highlight w:val="none"/>
        </w:rPr>
      </w:pPr>
      <w:r>
        <w:rPr>
          <w:color w:val="auto"/>
          <w:szCs w:val="21"/>
          <w:highlight w:val="none"/>
        </w:rPr>
        <w:t>3．如果我单位未遵守有关招标文件关于投标保证金的规定，贵方可以没收我单位投标保证金。</w:t>
      </w:r>
    </w:p>
    <w:p w14:paraId="7C1B17DB">
      <w:pPr>
        <w:spacing w:line="360" w:lineRule="exact"/>
        <w:ind w:firstLine="42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1D9F97F7">
      <w:pPr>
        <w:spacing w:line="360" w:lineRule="exact"/>
        <w:ind w:firstLine="420"/>
        <w:rPr>
          <w:color w:val="auto"/>
          <w:szCs w:val="21"/>
          <w:highlight w:val="none"/>
        </w:rPr>
      </w:pPr>
      <w:r>
        <w:rPr>
          <w:color w:val="auto"/>
          <w:szCs w:val="21"/>
          <w:highlight w:val="none"/>
        </w:rPr>
        <w:t>第一种方式：开具收据。</w:t>
      </w:r>
    </w:p>
    <w:p w14:paraId="3C2EF3C0">
      <w:pPr>
        <w:spacing w:line="360" w:lineRule="exact"/>
        <w:ind w:firstLine="420"/>
        <w:rPr>
          <w:color w:val="auto"/>
          <w:szCs w:val="21"/>
          <w:highlight w:val="none"/>
        </w:rPr>
      </w:pPr>
      <w:r>
        <w:rPr>
          <w:color w:val="auto"/>
          <w:szCs w:val="21"/>
          <w:highlight w:val="none"/>
        </w:rPr>
        <w:t>第二种方式：开具增值税普通发票。开票信息如下：1.公司名称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2D91DCAB">
      <w:pPr>
        <w:spacing w:line="360" w:lineRule="exact"/>
        <w:ind w:firstLine="42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53F3152D">
      <w:pPr>
        <w:spacing w:before="120" w:line="360" w:lineRule="auto"/>
        <w:jc w:val="left"/>
        <w:rPr>
          <w:color w:val="auto"/>
          <w:szCs w:val="21"/>
          <w:highlight w:val="none"/>
        </w:rPr>
      </w:pPr>
    </w:p>
    <w:p w14:paraId="3FB46B6B">
      <w:pPr>
        <w:spacing w:before="120" w:line="360" w:lineRule="auto"/>
        <w:jc w:val="left"/>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4263A2B0">
      <w:pPr>
        <w:spacing w:before="12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4BD553EE">
      <w:pPr>
        <w:spacing w:before="12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4867530E">
      <w:pPr>
        <w:spacing w:before="120" w:line="360" w:lineRule="auto"/>
        <w:jc w:val="left"/>
        <w:rPr>
          <w:color w:val="auto"/>
          <w:szCs w:val="21"/>
          <w:highlight w:val="none"/>
        </w:rPr>
      </w:pPr>
      <w:r>
        <w:rPr>
          <w:color w:val="auto"/>
          <w:szCs w:val="21"/>
          <w:highlight w:val="none"/>
        </w:rPr>
        <w:t>说明：</w:t>
      </w:r>
    </w:p>
    <w:p w14:paraId="539BA399">
      <w:pPr>
        <w:spacing w:line="340" w:lineRule="exact"/>
        <w:ind w:firstLine="420"/>
        <w:rPr>
          <w:color w:val="auto"/>
          <w:szCs w:val="21"/>
          <w:highlight w:val="none"/>
        </w:rPr>
      </w:pPr>
      <w:r>
        <w:rPr>
          <w:color w:val="auto"/>
          <w:szCs w:val="21"/>
          <w:highlight w:val="none"/>
        </w:rPr>
        <w:t>（1）为保障资金安全，上述账户不能为私人账户。</w:t>
      </w:r>
    </w:p>
    <w:p w14:paraId="6DF30BE2">
      <w:pPr>
        <w:spacing w:line="340" w:lineRule="exact"/>
        <w:ind w:firstLine="420"/>
        <w:rPr>
          <w:color w:val="auto"/>
          <w:szCs w:val="21"/>
          <w:highlight w:val="none"/>
        </w:rPr>
      </w:pPr>
      <w:r>
        <w:rPr>
          <w:color w:val="auto"/>
          <w:szCs w:val="21"/>
          <w:highlight w:val="none"/>
        </w:rPr>
        <w:t>（2）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74DBEB6E">
      <w:pPr>
        <w:jc w:val="center"/>
        <w:rPr>
          <w:color w:val="auto"/>
          <w:highlight w:val="none"/>
        </w:rPr>
      </w:pPr>
      <w:r>
        <w:rPr>
          <w:color w:val="auto"/>
          <w:highlight w:val="none"/>
        </w:rPr>
        <w:t>（3）如供应商未及时收到退回款项，请与广西机电设备招标有限公司财务部联系。广西机电设备招标有限公司财务部联系方式：联系人：吴茜；电话：0771-2821398；传真：0771-2843545。</w:t>
      </w:r>
    </w:p>
    <w:p w14:paraId="0BA0A788">
      <w:pPr>
        <w:spacing w:before="50" w:after="120"/>
        <w:jc w:val="left"/>
        <w:rPr>
          <w:color w:val="auto"/>
          <w:szCs w:val="21"/>
          <w:highlight w:val="none"/>
        </w:rPr>
        <w:sectPr>
          <w:pgSz w:w="11906" w:h="16838"/>
          <w:pgMar w:top="1418" w:right="1133" w:bottom="1246" w:left="1418" w:header="851" w:footer="992" w:gutter="0"/>
          <w:cols w:space="720" w:num="1"/>
        </w:sectPr>
      </w:pPr>
    </w:p>
    <w:p w14:paraId="60717147">
      <w:pPr>
        <w:spacing w:before="50" w:after="120"/>
        <w:jc w:val="left"/>
        <w:rPr>
          <w:color w:val="auto"/>
          <w:szCs w:val="21"/>
          <w:highlight w:val="none"/>
        </w:rPr>
      </w:pPr>
      <w:bookmarkStart w:id="226" w:name="_Hlk19050322"/>
    </w:p>
    <w:p w14:paraId="30639472">
      <w:pPr>
        <w:spacing w:before="50" w:after="120"/>
        <w:jc w:val="left"/>
        <w:rPr>
          <w:color w:val="auto"/>
          <w:szCs w:val="21"/>
          <w:highlight w:val="none"/>
        </w:rPr>
      </w:pPr>
      <w:r>
        <w:rPr>
          <w:rFonts w:hint="eastAsia"/>
          <w:color w:val="auto"/>
          <w:szCs w:val="21"/>
          <w:highlight w:val="none"/>
          <w:lang w:val="en-US" w:eastAsia="zh-CN"/>
        </w:rPr>
        <w:t>10</w:t>
      </w:r>
      <w:r>
        <w:rPr>
          <w:color w:val="auto"/>
          <w:szCs w:val="21"/>
          <w:highlight w:val="none"/>
        </w:rPr>
        <w:t>．供应商认为需提供的其他材料（根据招标文件编写）</w:t>
      </w:r>
    </w:p>
    <w:p w14:paraId="22915F9D">
      <w:pPr>
        <w:widowControl/>
        <w:jc w:val="left"/>
        <w:rPr>
          <w:color w:val="auto"/>
          <w:szCs w:val="21"/>
          <w:highlight w:val="none"/>
        </w:rPr>
      </w:pPr>
      <w:r>
        <w:rPr>
          <w:color w:val="auto"/>
          <w:szCs w:val="21"/>
          <w:highlight w:val="none"/>
        </w:rPr>
        <w:br w:type="page" w:clear="all"/>
      </w:r>
      <w:bookmarkEnd w:id="226"/>
    </w:p>
    <w:p w14:paraId="48BC8D8E">
      <w:pPr>
        <w:spacing w:line="340" w:lineRule="exact"/>
        <w:ind w:firstLine="420"/>
        <w:rPr>
          <w:color w:val="auto"/>
          <w:highlight w:val="none"/>
        </w:rPr>
      </w:pPr>
    </w:p>
    <w:p w14:paraId="77210A87">
      <w:pPr>
        <w:jc w:val="center"/>
        <w:rPr>
          <w:color w:val="auto"/>
          <w:sz w:val="28"/>
          <w:szCs w:val="28"/>
          <w:highlight w:val="none"/>
        </w:rPr>
      </w:pPr>
      <w:r>
        <w:rPr>
          <w:color w:val="auto"/>
          <w:sz w:val="28"/>
          <w:szCs w:val="28"/>
          <w:highlight w:val="none"/>
        </w:rPr>
        <w:t>第二部分 技术文件</w:t>
      </w:r>
    </w:p>
    <w:p w14:paraId="016354C6">
      <w:pPr>
        <w:jc w:val="center"/>
        <w:rPr>
          <w:color w:val="auto"/>
          <w:highlight w:val="none"/>
        </w:rPr>
      </w:pPr>
      <w:r>
        <w:rPr>
          <w:color w:val="auto"/>
          <w:highlight w:val="none"/>
        </w:rPr>
        <w:t>（本</w:t>
      </w:r>
      <w:r>
        <w:rPr>
          <w:rFonts w:hint="eastAsia"/>
          <w:color w:val="auto"/>
          <w:highlight w:val="none"/>
        </w:rPr>
        <w:t>技术</w:t>
      </w:r>
      <w:r>
        <w:rPr>
          <w:color w:val="auto"/>
          <w:highlight w:val="none"/>
        </w:rPr>
        <w:t>文件供应商可自行编写，也可参照下述提纲编写）</w:t>
      </w:r>
    </w:p>
    <w:p w14:paraId="01189046">
      <w:pPr>
        <w:spacing w:before="50" w:after="120"/>
        <w:jc w:val="left"/>
        <w:rPr>
          <w:color w:val="auto"/>
          <w:szCs w:val="21"/>
          <w:highlight w:val="none"/>
        </w:rPr>
      </w:pPr>
    </w:p>
    <w:p w14:paraId="09AB3BAB">
      <w:pPr>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《采购需求》技术</w:t>
      </w:r>
      <w:r>
        <w:rPr>
          <w:color w:val="auto"/>
          <w:szCs w:val="21"/>
          <w:highlight w:val="none"/>
        </w:rPr>
        <w:t>要求的</w:t>
      </w:r>
      <w:r>
        <w:rPr>
          <w:rFonts w:hint="eastAsia"/>
          <w:color w:val="auto"/>
          <w:szCs w:val="21"/>
          <w:highlight w:val="none"/>
        </w:rPr>
        <w:t>响应表</w:t>
      </w:r>
    </w:p>
    <w:p w14:paraId="4A7C2F9A">
      <w:pPr>
        <w:rPr>
          <w:color w:val="auto"/>
          <w:szCs w:val="21"/>
          <w:highlight w:val="none"/>
        </w:rPr>
      </w:pPr>
    </w:p>
    <w:p w14:paraId="2E0B3E31">
      <w:pPr>
        <w:ind w:firstLine="420"/>
        <w:rPr>
          <w:color w:val="auto"/>
          <w:szCs w:val="21"/>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777EC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DC07A95">
            <w:pPr>
              <w:spacing w:before="12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A5F07A6">
            <w:pPr>
              <w:spacing w:before="120"/>
              <w:jc w:val="center"/>
              <w:rPr>
                <w:color w:val="auto"/>
                <w:szCs w:val="21"/>
                <w:highlight w:val="none"/>
              </w:rPr>
            </w:pPr>
            <w:r>
              <w:rPr>
                <w:color w:val="auto"/>
                <w:szCs w:val="21"/>
                <w:highlight w:val="none"/>
              </w:rPr>
              <w:t>招标文件要求</w:t>
            </w:r>
          </w:p>
          <w:p w14:paraId="038099C9">
            <w:pPr>
              <w:spacing w:before="120"/>
              <w:jc w:val="center"/>
              <w:rPr>
                <w:color w:val="auto"/>
                <w:szCs w:val="21"/>
                <w:highlight w:val="none"/>
              </w:rPr>
            </w:pPr>
            <w:r>
              <w:rPr>
                <w:color w:val="auto"/>
                <w:szCs w:val="21"/>
                <w:highlight w:val="none"/>
              </w:rPr>
              <w:t>（注明章节及条款号）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6EE1C24">
            <w:pPr>
              <w:spacing w:before="120"/>
              <w:jc w:val="center"/>
              <w:rPr>
                <w:color w:val="auto"/>
                <w:szCs w:val="21"/>
                <w:highlight w:val="none"/>
              </w:rPr>
            </w:pPr>
            <w:r>
              <w:rPr>
                <w:color w:val="auto"/>
                <w:szCs w:val="21"/>
                <w:highlight w:val="none"/>
              </w:rPr>
              <w:t>投标文件响应内容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2E4E4D0">
            <w:pPr>
              <w:spacing w:before="120"/>
              <w:jc w:val="center"/>
              <w:rPr>
                <w:color w:val="auto"/>
                <w:szCs w:val="21"/>
                <w:highlight w:val="none"/>
              </w:rPr>
            </w:pPr>
            <w:r>
              <w:rPr>
                <w:color w:val="auto"/>
                <w:highlight w:val="none"/>
              </w:rPr>
              <w:t>偏离</w:t>
            </w:r>
            <w:r>
              <w:rPr>
                <w:color w:val="auto"/>
                <w:szCs w:val="21"/>
                <w:highlight w:val="none"/>
              </w:rPr>
              <w:t>说明</w:t>
            </w:r>
          </w:p>
        </w:tc>
      </w:tr>
      <w:tr w14:paraId="24668F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12D05D6">
            <w:pPr>
              <w:spacing w:before="12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6A81EF9">
            <w:pPr>
              <w:spacing w:before="12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7375CA0">
            <w:pPr>
              <w:spacing w:before="12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1C8BF8A">
            <w:pPr>
              <w:spacing w:before="120"/>
              <w:jc w:val="center"/>
              <w:rPr>
                <w:color w:val="auto"/>
                <w:szCs w:val="21"/>
                <w:highlight w:val="none"/>
              </w:rPr>
            </w:pPr>
          </w:p>
        </w:tc>
      </w:tr>
      <w:tr w14:paraId="768FF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4DC2DE2">
            <w:pPr>
              <w:spacing w:before="12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11EDD5D">
            <w:pPr>
              <w:spacing w:before="12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17B2268">
            <w:pPr>
              <w:spacing w:before="12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1CAA570">
            <w:pPr>
              <w:spacing w:before="120"/>
              <w:jc w:val="center"/>
              <w:rPr>
                <w:color w:val="auto"/>
                <w:szCs w:val="21"/>
                <w:highlight w:val="none"/>
              </w:rPr>
            </w:pPr>
          </w:p>
        </w:tc>
      </w:tr>
      <w:tr w14:paraId="6946D0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9F0C7B9">
            <w:pPr>
              <w:spacing w:before="12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0AF7F4D">
            <w:pPr>
              <w:spacing w:before="12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2518E1A">
            <w:pPr>
              <w:spacing w:before="12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2655227">
            <w:pPr>
              <w:spacing w:before="120"/>
              <w:jc w:val="center"/>
              <w:rPr>
                <w:color w:val="auto"/>
                <w:szCs w:val="21"/>
                <w:highlight w:val="none"/>
              </w:rPr>
            </w:pPr>
          </w:p>
        </w:tc>
      </w:tr>
      <w:tr w14:paraId="6A99C8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0C717FDA">
            <w:pPr>
              <w:spacing w:before="12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07FADCB">
            <w:pPr>
              <w:spacing w:before="120"/>
              <w:jc w:val="center"/>
              <w:rPr>
                <w:color w:val="auto"/>
                <w:szCs w:val="21"/>
                <w:highlight w:val="none"/>
              </w:rPr>
            </w:pPr>
            <w:r>
              <w:rPr>
                <w:color w:val="auto"/>
                <w:szCs w:val="21"/>
                <w:highlight w:val="none"/>
              </w:rPr>
              <w:t>……</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7FAEE58">
            <w:pPr>
              <w:spacing w:before="120"/>
              <w:jc w:val="center"/>
              <w:rPr>
                <w:color w:val="auto"/>
                <w:szCs w:val="21"/>
                <w:highlight w:val="none"/>
              </w:rPr>
            </w:pPr>
            <w:r>
              <w:rPr>
                <w:color w:val="auto"/>
                <w:szCs w:val="21"/>
                <w:highlight w:val="none"/>
              </w:rPr>
              <w:t>……</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37F02E1">
            <w:pPr>
              <w:spacing w:before="120"/>
              <w:jc w:val="center"/>
              <w:rPr>
                <w:color w:val="auto"/>
                <w:szCs w:val="21"/>
                <w:highlight w:val="none"/>
              </w:rPr>
            </w:pPr>
            <w:r>
              <w:rPr>
                <w:color w:val="auto"/>
                <w:szCs w:val="21"/>
                <w:highlight w:val="none"/>
              </w:rPr>
              <w:t>……</w:t>
            </w:r>
          </w:p>
        </w:tc>
      </w:tr>
    </w:tbl>
    <w:p w14:paraId="25214A29">
      <w:pPr>
        <w:rPr>
          <w:color w:val="auto"/>
          <w:szCs w:val="21"/>
          <w:highlight w:val="none"/>
        </w:rPr>
      </w:pPr>
    </w:p>
    <w:p w14:paraId="3B42BC47">
      <w:pPr>
        <w:keepNext w:val="0"/>
        <w:keepLines w:val="0"/>
        <w:widowControl/>
        <w:suppressLineNumbers w:val="0"/>
        <w:jc w:val="left"/>
        <w:rPr>
          <w:rFonts w:ascii="Times New Roman" w:hAnsi="Times New Roman" w:cs="Times New Roman"/>
          <w:color w:val="auto"/>
          <w:highlight w:val="none"/>
        </w:rPr>
      </w:pPr>
      <w:bookmarkStart w:id="227" w:name="_Hlk88990482"/>
      <w:r>
        <w:rPr>
          <w:color w:val="auto"/>
          <w:highlight w:val="none"/>
        </w:rPr>
        <w:t>注：（1）</w:t>
      </w:r>
      <w:r>
        <w:rPr>
          <w:rFonts w:ascii="Times New Roman" w:hAnsi="Times New Roman" w:cs="Times New Roman"/>
          <w:color w:val="auto"/>
          <w:highlight w:val="none"/>
        </w:rPr>
        <w:t>本表应对招标文件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r>
        <w:rPr>
          <w:rFonts w:hint="default" w:ascii="HYShuSongErKW" w:hAnsi="HYShuSongErKW" w:eastAsia="HYShuSongErKW" w:cs="HYShuSongErKW"/>
          <w:b/>
          <w:bCs/>
          <w:color w:val="auto"/>
          <w:sz w:val="20"/>
          <w:szCs w:val="20"/>
          <w:highlight w:val="none"/>
          <w:lang w:val="en-US" w:eastAsia="zh-CN" w:bidi="ar"/>
        </w:rPr>
        <w:t>如果采购需求为≤或≥某个数值标准时，响应内容不得直接复制采购需求，响应内容应当写明投标产品的具体参数或承诺的具体数值。如该采购需求属于不能明确具体数值的，响应内容应当备注说明。</w:t>
      </w:r>
    </w:p>
    <w:p w14:paraId="3217A069">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2B9FC111">
      <w:pPr>
        <w:rPr>
          <w:rFonts w:hint="eastAsia"/>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53629EF6">
      <w:pPr>
        <w:keepNext w:val="0"/>
        <w:keepLines w:val="0"/>
        <w:widowControl/>
        <w:suppressLineNumbers w:val="0"/>
        <w:jc w:val="left"/>
        <w:rPr>
          <w:b/>
          <w:bCs/>
          <w:color w:val="auto"/>
          <w:highlight w:val="none"/>
        </w:rPr>
      </w:pPr>
      <w:r>
        <w:rPr>
          <w:rFonts w:ascii="HYShuSongErKW" w:hAnsi="HYShuSongErKW" w:eastAsia="HYShuSongErKW" w:cs="HYShuSongErKW"/>
          <w:b/>
          <w:bCs/>
          <w:color w:val="auto"/>
          <w:sz w:val="20"/>
          <w:szCs w:val="20"/>
          <w:highlight w:val="none"/>
          <w:lang w:val="en-US" w:eastAsia="zh-CN" w:bidi="ar"/>
        </w:rPr>
        <w:t>（</w:t>
      </w:r>
      <w:r>
        <w:rPr>
          <w:rFonts w:hint="default" w:ascii="Times New Roman" w:hAnsi="Times New Roman" w:eastAsia="宋体" w:cs="Times New Roman"/>
          <w:b/>
          <w:bCs/>
          <w:color w:val="auto"/>
          <w:sz w:val="20"/>
          <w:szCs w:val="20"/>
          <w:highlight w:val="none"/>
          <w:lang w:val="en-US" w:eastAsia="zh-CN" w:bidi="ar"/>
        </w:rPr>
        <w:t>4</w:t>
      </w:r>
      <w:r>
        <w:rPr>
          <w:rFonts w:hint="default" w:ascii="HYShuSongErKW" w:hAnsi="HYShuSongErKW" w:eastAsia="HYShuSongErKW" w:cs="HYShuSongErKW"/>
          <w:b/>
          <w:bCs/>
          <w:color w:val="auto"/>
          <w:sz w:val="20"/>
          <w:szCs w:val="20"/>
          <w:highlight w:val="none"/>
          <w:lang w:val="en-US" w:eastAsia="zh-CN" w:bidi="ar"/>
        </w:rPr>
        <w:t>）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568AA912">
      <w:pPr>
        <w:rPr>
          <w:color w:val="auto"/>
          <w:highlight w:val="none"/>
        </w:rPr>
      </w:pPr>
      <w:r>
        <w:rPr>
          <w:rFonts w:hint="eastAsia"/>
          <w:color w:val="auto"/>
          <w:highlight w:val="none"/>
          <w:lang w:val="en-US" w:eastAsia="zh-CN"/>
        </w:rPr>
        <w:t>（5</w:t>
      </w:r>
      <w:r>
        <w:rPr>
          <w:color w:val="auto"/>
          <w:highlight w:val="none"/>
        </w:rPr>
        <w:t>）本表可扩展。</w:t>
      </w:r>
      <w:bookmarkEnd w:id="227"/>
    </w:p>
    <w:p w14:paraId="2CC9545B">
      <w:pPr>
        <w:rPr>
          <w:color w:val="auto"/>
          <w:szCs w:val="21"/>
          <w:highlight w:val="none"/>
        </w:rPr>
      </w:pPr>
    </w:p>
    <w:p w14:paraId="7F24A908">
      <w:pPr>
        <w:rPr>
          <w:color w:val="auto"/>
          <w:spacing w:val="20"/>
          <w:szCs w:val="21"/>
          <w:highlight w:val="none"/>
          <w:u w:val="single"/>
        </w:rPr>
      </w:pPr>
      <w:bookmarkStart w:id="228" w:name="_Hlk88990507"/>
    </w:p>
    <w:p w14:paraId="2D4C60C7">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bookmarkEnd w:id="228"/>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019DB223">
      <w:pPr>
        <w:rPr>
          <w:color w:val="auto"/>
          <w:szCs w:val="21"/>
          <w:highlight w:val="none"/>
        </w:rPr>
      </w:pPr>
    </w:p>
    <w:p w14:paraId="4B2DE933">
      <w:pPr>
        <w:keepNext w:val="0"/>
        <w:keepLines w:val="0"/>
        <w:widowControl/>
        <w:suppressLineNumbers w:val="0"/>
        <w:jc w:val="left"/>
        <w:rPr>
          <w:color w:val="auto"/>
          <w:szCs w:val="21"/>
          <w:highlight w:val="none"/>
        </w:rPr>
      </w:pPr>
      <w:r>
        <w:rPr>
          <w:color w:val="auto"/>
          <w:szCs w:val="21"/>
          <w:highlight w:val="none"/>
        </w:rPr>
        <w:t>2．</w:t>
      </w:r>
      <w:r>
        <w:rPr>
          <w:rFonts w:hint="eastAsia"/>
          <w:color w:val="auto"/>
          <w:szCs w:val="21"/>
          <w:highlight w:val="none"/>
        </w:rPr>
        <w:t>货物或产品</w:t>
      </w:r>
      <w:r>
        <w:rPr>
          <w:color w:val="auto"/>
          <w:szCs w:val="21"/>
          <w:highlight w:val="none"/>
        </w:rPr>
        <w:t>配置清单格式</w:t>
      </w:r>
      <w:r>
        <w:rPr>
          <w:rFonts w:ascii="HYShuSongErKW" w:hAnsi="HYShuSongErKW" w:eastAsia="HYShuSongErKW" w:cs="HYShuSongErKW"/>
          <w:color w:val="auto"/>
          <w:sz w:val="20"/>
          <w:szCs w:val="20"/>
          <w:highlight w:val="none"/>
          <w:lang w:val="en-US" w:eastAsia="zh-CN" w:bidi="ar"/>
        </w:rPr>
        <w:t>（供应商可按厂家格式提供）</w:t>
      </w:r>
      <w:r>
        <w:rPr>
          <w:color w:val="auto"/>
          <w:szCs w:val="21"/>
          <w:highlight w:val="none"/>
        </w:rPr>
        <w:t>：</w:t>
      </w:r>
    </w:p>
    <w:tbl>
      <w:tblPr>
        <w:tblStyle w:val="5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1681"/>
        <w:gridCol w:w="1174"/>
        <w:gridCol w:w="1163"/>
        <w:gridCol w:w="1596"/>
        <w:gridCol w:w="1695"/>
        <w:gridCol w:w="1080"/>
      </w:tblGrid>
      <w:tr w14:paraId="6842B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73DEFE66">
            <w:pPr>
              <w:spacing w:before="50" w:after="50" w:line="440" w:lineRule="exact"/>
              <w:jc w:val="center"/>
              <w:rPr>
                <w:color w:val="auto"/>
                <w:szCs w:val="21"/>
                <w:highlight w:val="none"/>
              </w:rPr>
            </w:pPr>
            <w:r>
              <w:rPr>
                <w:color w:val="auto"/>
                <w:szCs w:val="21"/>
                <w:highlight w:val="none"/>
              </w:rPr>
              <w:t>序号</w:t>
            </w:r>
          </w:p>
        </w:tc>
        <w:tc>
          <w:tcPr>
            <w:tcW w:w="1681" w:type="dxa"/>
            <w:tcBorders>
              <w:top w:val="single" w:color="auto" w:sz="4" w:space="0"/>
              <w:left w:val="single" w:color="auto" w:sz="4" w:space="0"/>
              <w:bottom w:val="single" w:color="auto" w:sz="4" w:space="0"/>
              <w:right w:val="single" w:color="auto" w:sz="4" w:space="0"/>
            </w:tcBorders>
            <w:noWrap w:val="0"/>
            <w:vAlign w:val="center"/>
          </w:tcPr>
          <w:p w14:paraId="24EDCF5F">
            <w:pPr>
              <w:spacing w:before="50" w:after="50" w:line="440" w:lineRule="exact"/>
              <w:jc w:val="center"/>
              <w:rPr>
                <w:color w:val="auto"/>
                <w:szCs w:val="21"/>
                <w:highlight w:val="none"/>
              </w:rPr>
            </w:pPr>
            <w:r>
              <w:rPr>
                <w:rFonts w:hint="eastAsia"/>
                <w:color w:val="auto"/>
                <w:szCs w:val="21"/>
                <w:highlight w:val="none"/>
              </w:rPr>
              <w:t>货物或产品</w:t>
            </w:r>
          </w:p>
          <w:p w14:paraId="1E37DA20">
            <w:pPr>
              <w:spacing w:before="50" w:after="50" w:line="440" w:lineRule="exact"/>
              <w:jc w:val="center"/>
              <w:rPr>
                <w:color w:val="auto"/>
                <w:szCs w:val="21"/>
                <w:highlight w:val="none"/>
              </w:rPr>
            </w:pPr>
            <w:r>
              <w:rPr>
                <w:color w:val="auto"/>
                <w:szCs w:val="21"/>
                <w:highlight w:val="none"/>
              </w:rPr>
              <w:t>名称</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020FC43C">
            <w:pPr>
              <w:spacing w:before="50" w:after="50" w:line="440" w:lineRule="exact"/>
              <w:jc w:val="center"/>
              <w:rPr>
                <w:color w:val="auto"/>
                <w:szCs w:val="21"/>
                <w:highlight w:val="none"/>
              </w:rPr>
            </w:pPr>
            <w:r>
              <w:rPr>
                <w:color w:val="auto"/>
                <w:szCs w:val="21"/>
                <w:highlight w:val="none"/>
              </w:rPr>
              <w:t>品牌或制造商</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1FD96BB8">
            <w:pPr>
              <w:spacing w:before="50" w:after="50" w:line="440" w:lineRule="exact"/>
              <w:jc w:val="center"/>
              <w:rPr>
                <w:color w:val="auto"/>
                <w:szCs w:val="21"/>
                <w:highlight w:val="none"/>
              </w:rPr>
            </w:pPr>
            <w:r>
              <w:rPr>
                <w:color w:val="auto"/>
                <w:szCs w:val="21"/>
                <w:highlight w:val="none"/>
              </w:rPr>
              <w:t>规格型号</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198623DE">
            <w:pPr>
              <w:spacing w:before="50" w:after="50" w:line="440" w:lineRule="exact"/>
              <w:jc w:val="center"/>
              <w:rPr>
                <w:color w:val="auto"/>
                <w:szCs w:val="21"/>
                <w:highlight w:val="none"/>
              </w:rPr>
            </w:pPr>
            <w:r>
              <w:rPr>
                <w:color w:val="auto"/>
                <w:szCs w:val="21"/>
                <w:highlight w:val="none"/>
              </w:rPr>
              <w:t>单位及数量</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25D92194">
            <w:pPr>
              <w:spacing w:before="50" w:after="50" w:line="440" w:lineRule="exact"/>
              <w:jc w:val="center"/>
              <w:rPr>
                <w:color w:val="auto"/>
                <w:szCs w:val="21"/>
                <w:highlight w:val="none"/>
              </w:rPr>
            </w:pPr>
            <w:r>
              <w:rPr>
                <w:color w:val="auto"/>
                <w:szCs w:val="21"/>
                <w:highlight w:val="none"/>
              </w:rPr>
              <w:t>性能及指标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869D71C">
            <w:pPr>
              <w:spacing w:before="50" w:after="50" w:line="440" w:lineRule="exact"/>
              <w:jc w:val="center"/>
              <w:rPr>
                <w:color w:val="auto"/>
                <w:szCs w:val="21"/>
                <w:highlight w:val="none"/>
              </w:rPr>
            </w:pPr>
            <w:r>
              <w:rPr>
                <w:color w:val="auto"/>
                <w:szCs w:val="21"/>
                <w:highlight w:val="none"/>
              </w:rPr>
              <w:t>产地</w:t>
            </w:r>
          </w:p>
        </w:tc>
      </w:tr>
      <w:tr w14:paraId="460D14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02ED9072">
            <w:pPr>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28451FBA">
            <w:pPr>
              <w:spacing w:before="50" w:after="50" w:line="440" w:lineRule="exact"/>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4A17254C">
            <w:pPr>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5FEA350">
            <w:pPr>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5815E623">
            <w:pPr>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205C07DE">
            <w:pPr>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C0A3190">
            <w:pPr>
              <w:spacing w:before="50" w:after="50" w:line="440" w:lineRule="exact"/>
              <w:jc w:val="center"/>
              <w:rPr>
                <w:color w:val="auto"/>
                <w:szCs w:val="21"/>
                <w:highlight w:val="none"/>
              </w:rPr>
            </w:pPr>
          </w:p>
        </w:tc>
      </w:tr>
      <w:tr w14:paraId="060385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6E9B46C8">
            <w:pPr>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4B2BDB0D">
            <w:pPr>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11DD3C09">
            <w:pPr>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13CE4EF8">
            <w:pPr>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7FBBEAD6">
            <w:pPr>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32AC8715">
            <w:pPr>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4B9F1CB">
            <w:pPr>
              <w:spacing w:before="50" w:after="50" w:line="440" w:lineRule="exact"/>
              <w:jc w:val="center"/>
              <w:rPr>
                <w:color w:val="auto"/>
                <w:szCs w:val="21"/>
                <w:highlight w:val="none"/>
              </w:rPr>
            </w:pPr>
          </w:p>
        </w:tc>
      </w:tr>
      <w:tr w14:paraId="5D0DA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06829CBC">
            <w:pPr>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767BB903">
            <w:pPr>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3BD3EA33">
            <w:pPr>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60BFFC92">
            <w:pPr>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5186EF21">
            <w:pPr>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0D34B2A4">
            <w:pPr>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1276A05">
            <w:pPr>
              <w:spacing w:before="50" w:after="50" w:line="440" w:lineRule="exact"/>
              <w:jc w:val="center"/>
              <w:rPr>
                <w:color w:val="auto"/>
                <w:szCs w:val="21"/>
                <w:highlight w:val="none"/>
              </w:rPr>
            </w:pPr>
          </w:p>
        </w:tc>
      </w:tr>
    </w:tbl>
    <w:p w14:paraId="68B81E9D">
      <w:pPr>
        <w:spacing w:before="50" w:after="50" w:line="440" w:lineRule="exact"/>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2FF206DF">
      <w:pPr>
        <w:rPr>
          <w:color w:val="auto"/>
          <w:szCs w:val="21"/>
          <w:highlight w:val="none"/>
        </w:rPr>
      </w:pPr>
    </w:p>
    <w:p w14:paraId="2CD9386E">
      <w:pPr>
        <w:rPr>
          <w:color w:val="auto"/>
          <w:szCs w:val="21"/>
          <w:highlight w:val="none"/>
        </w:rPr>
      </w:pPr>
      <w:bookmarkStart w:id="229" w:name="_Hlk19115689"/>
      <w:r>
        <w:rPr>
          <w:color w:val="auto"/>
          <w:szCs w:val="21"/>
          <w:highlight w:val="none"/>
        </w:rPr>
        <w:t>3．</w:t>
      </w:r>
      <w:r>
        <w:rPr>
          <w:rFonts w:hint="eastAsia"/>
          <w:color w:val="auto"/>
          <w:szCs w:val="21"/>
          <w:highlight w:val="none"/>
        </w:rPr>
        <w:t>投标货物或产品的质量保证说明</w:t>
      </w:r>
    </w:p>
    <w:p w14:paraId="74113ED6">
      <w:pPr>
        <w:rPr>
          <w:color w:val="auto"/>
          <w:szCs w:val="21"/>
          <w:highlight w:val="none"/>
        </w:rPr>
      </w:pPr>
    </w:p>
    <w:bookmarkEnd w:id="229"/>
    <w:p w14:paraId="7679E5EB">
      <w:pPr>
        <w:rPr>
          <w:color w:val="auto"/>
          <w:szCs w:val="21"/>
          <w:highlight w:val="none"/>
        </w:rPr>
      </w:pPr>
    </w:p>
    <w:p w14:paraId="5C7AE600">
      <w:pPr>
        <w:rPr>
          <w:color w:val="auto"/>
          <w:szCs w:val="21"/>
          <w:highlight w:val="none"/>
        </w:rPr>
      </w:pPr>
    </w:p>
    <w:p w14:paraId="18A968EE">
      <w:pPr>
        <w:jc w:val="left"/>
        <w:rPr>
          <w:color w:val="auto"/>
          <w:szCs w:val="21"/>
          <w:highlight w:val="none"/>
        </w:rPr>
      </w:pPr>
      <w:r>
        <w:rPr>
          <w:rFonts w:hint="eastAsia"/>
          <w:color w:val="auto"/>
          <w:szCs w:val="21"/>
          <w:highlight w:val="none"/>
        </w:rPr>
        <w:t>4</w:t>
      </w:r>
      <w:r>
        <w:rPr>
          <w:color w:val="auto"/>
          <w:szCs w:val="21"/>
          <w:highlight w:val="none"/>
        </w:rPr>
        <w:t>．质量保证期过后的优惠条件：供应商承诺给予采购人的各种优惠条件，包括</w:t>
      </w:r>
      <w:r>
        <w:rPr>
          <w:rFonts w:hint="eastAsia"/>
          <w:color w:val="auto"/>
          <w:szCs w:val="21"/>
          <w:highlight w:val="none"/>
        </w:rPr>
        <w:t>货物或产品的</w:t>
      </w:r>
      <w:r>
        <w:rPr>
          <w:color w:val="auto"/>
          <w:szCs w:val="21"/>
          <w:highlight w:val="none"/>
        </w:rPr>
        <w:t>售后服务、备品备件、专用耗材等方面的优惠条件。</w:t>
      </w:r>
    </w:p>
    <w:p w14:paraId="280178FE">
      <w:pPr>
        <w:jc w:val="center"/>
        <w:rPr>
          <w:b/>
          <w:bCs/>
          <w:color w:val="auto"/>
          <w:szCs w:val="21"/>
          <w:highlight w:val="none"/>
        </w:rPr>
      </w:pPr>
      <w:r>
        <w:rPr>
          <w:b/>
          <w:bCs/>
          <w:color w:val="auto"/>
          <w:szCs w:val="21"/>
          <w:highlight w:val="none"/>
        </w:rPr>
        <w:t>常用的、容易损坏的备品备件及易损件的优惠价格清单</w:t>
      </w:r>
    </w:p>
    <w:tbl>
      <w:tblPr>
        <w:tblStyle w:val="56"/>
        <w:tblW w:w="897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50"/>
        <w:gridCol w:w="3124"/>
        <w:gridCol w:w="2276"/>
        <w:gridCol w:w="1639"/>
        <w:gridCol w:w="1083"/>
      </w:tblGrid>
      <w:tr w14:paraId="48C17E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85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33B366A">
            <w:pPr>
              <w:rPr>
                <w:color w:val="auto"/>
                <w:szCs w:val="21"/>
                <w:highlight w:val="none"/>
              </w:rPr>
            </w:pPr>
            <w:r>
              <w:rPr>
                <w:color w:val="auto"/>
                <w:szCs w:val="21"/>
                <w:highlight w:val="none"/>
              </w:rPr>
              <w:t>序号</w:t>
            </w:r>
          </w:p>
        </w:tc>
        <w:tc>
          <w:tcPr>
            <w:tcW w:w="3124" w:type="dxa"/>
            <w:tcBorders>
              <w:top w:val="single" w:color="auto" w:sz="4" w:space="0"/>
              <w:left w:val="single" w:color="auto" w:sz="4" w:space="0"/>
              <w:bottom w:val="single" w:color="auto" w:sz="2" w:space="0"/>
              <w:right w:val="single" w:color="auto" w:sz="4" w:space="0"/>
            </w:tcBorders>
            <w:noWrap w:val="0"/>
            <w:vAlign w:val="center"/>
          </w:tcPr>
          <w:p w14:paraId="3E6903C0">
            <w:pPr>
              <w:spacing w:before="50" w:after="50" w:line="440" w:lineRule="exact"/>
              <w:jc w:val="center"/>
              <w:rPr>
                <w:color w:val="auto"/>
                <w:szCs w:val="21"/>
                <w:highlight w:val="none"/>
              </w:rPr>
            </w:pPr>
            <w:r>
              <w:rPr>
                <w:color w:val="auto"/>
                <w:szCs w:val="21"/>
                <w:highlight w:val="none"/>
              </w:rPr>
              <w:t>备品备件、专用耗材名称</w:t>
            </w:r>
          </w:p>
        </w:tc>
        <w:tc>
          <w:tcPr>
            <w:tcW w:w="2276" w:type="dxa"/>
            <w:tcBorders>
              <w:top w:val="single" w:color="auto" w:sz="4" w:space="0"/>
              <w:left w:val="single" w:color="auto" w:sz="4" w:space="0"/>
              <w:bottom w:val="single" w:color="auto" w:sz="2" w:space="0"/>
              <w:right w:val="single" w:color="auto" w:sz="4" w:space="0"/>
            </w:tcBorders>
            <w:noWrap w:val="0"/>
            <w:vAlign w:val="center"/>
          </w:tcPr>
          <w:p w14:paraId="13AB59C7">
            <w:pPr>
              <w:jc w:val="center"/>
              <w:rPr>
                <w:color w:val="auto"/>
                <w:szCs w:val="21"/>
                <w:highlight w:val="none"/>
              </w:rPr>
            </w:pPr>
            <w:r>
              <w:rPr>
                <w:color w:val="auto"/>
                <w:szCs w:val="21"/>
                <w:highlight w:val="none"/>
              </w:rPr>
              <w:t>适用于</w:t>
            </w:r>
            <w:r>
              <w:rPr>
                <w:rFonts w:hint="eastAsia"/>
                <w:color w:val="auto"/>
                <w:szCs w:val="21"/>
                <w:highlight w:val="none"/>
              </w:rPr>
              <w:t>何种投标货物（产品）名称及规格型号</w:t>
            </w:r>
          </w:p>
        </w:tc>
        <w:tc>
          <w:tcPr>
            <w:tcW w:w="1639" w:type="dxa"/>
            <w:tcBorders>
              <w:top w:val="single" w:color="auto" w:sz="4" w:space="0"/>
              <w:left w:val="single" w:color="auto" w:sz="4" w:space="0"/>
              <w:bottom w:val="single" w:color="auto" w:sz="2" w:space="0"/>
              <w:right w:val="single" w:color="auto" w:sz="4" w:space="0"/>
            </w:tcBorders>
            <w:noWrap w:val="0"/>
            <w:vAlign w:val="center"/>
          </w:tcPr>
          <w:p w14:paraId="42554B6D">
            <w:pPr>
              <w:jc w:val="center"/>
              <w:rPr>
                <w:color w:val="auto"/>
                <w:szCs w:val="21"/>
                <w:highlight w:val="none"/>
              </w:rPr>
            </w:pPr>
            <w:r>
              <w:rPr>
                <w:color w:val="auto"/>
                <w:szCs w:val="21"/>
                <w:highlight w:val="none"/>
              </w:rPr>
              <w:t>优惠内容</w:t>
            </w:r>
          </w:p>
        </w:tc>
        <w:tc>
          <w:tcPr>
            <w:tcW w:w="1083"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13B4ECCC">
            <w:pPr>
              <w:jc w:val="center"/>
              <w:rPr>
                <w:color w:val="auto"/>
                <w:szCs w:val="21"/>
                <w:highlight w:val="none"/>
              </w:rPr>
            </w:pPr>
            <w:r>
              <w:rPr>
                <w:color w:val="auto"/>
                <w:szCs w:val="21"/>
                <w:highlight w:val="none"/>
              </w:rPr>
              <w:t>优惠单价</w:t>
            </w:r>
          </w:p>
        </w:tc>
      </w:tr>
      <w:tr w14:paraId="5904A3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371AE38F">
            <w:pPr>
              <w:jc w:val="center"/>
              <w:rPr>
                <w:color w:val="auto"/>
                <w:szCs w:val="21"/>
                <w:highlight w:val="none"/>
              </w:rPr>
            </w:pPr>
            <w:r>
              <w:rPr>
                <w:color w:val="auto"/>
                <w:szCs w:val="21"/>
                <w:highlight w:val="none"/>
              </w:rPr>
              <w:t>1</w:t>
            </w:r>
          </w:p>
        </w:tc>
        <w:tc>
          <w:tcPr>
            <w:tcW w:w="3124" w:type="dxa"/>
            <w:tcBorders>
              <w:top w:val="single" w:color="auto" w:sz="2" w:space="0"/>
              <w:left w:val="single" w:color="auto" w:sz="2" w:space="0"/>
              <w:bottom w:val="single" w:color="auto" w:sz="6" w:space="0"/>
              <w:right w:val="single" w:color="auto" w:sz="4" w:space="0"/>
            </w:tcBorders>
            <w:noWrap w:val="0"/>
            <w:vAlign w:val="center"/>
          </w:tcPr>
          <w:p w14:paraId="5B3CD5B5">
            <w:pPr>
              <w:rPr>
                <w:color w:val="auto"/>
                <w:szCs w:val="21"/>
                <w:highlight w:val="none"/>
              </w:rPr>
            </w:pPr>
          </w:p>
        </w:tc>
        <w:tc>
          <w:tcPr>
            <w:tcW w:w="2276" w:type="dxa"/>
            <w:tcBorders>
              <w:top w:val="single" w:color="auto" w:sz="2" w:space="0"/>
              <w:left w:val="single" w:color="auto" w:sz="4" w:space="0"/>
              <w:bottom w:val="single" w:color="auto" w:sz="6" w:space="0"/>
              <w:right w:val="single" w:color="auto" w:sz="6" w:space="0"/>
            </w:tcBorders>
            <w:noWrap w:val="0"/>
            <w:vAlign w:val="center"/>
          </w:tcPr>
          <w:p w14:paraId="1A3D26AE">
            <w:pPr>
              <w:rPr>
                <w:color w:val="auto"/>
                <w:szCs w:val="21"/>
                <w:highlight w:val="none"/>
              </w:rPr>
            </w:pPr>
          </w:p>
        </w:tc>
        <w:tc>
          <w:tcPr>
            <w:tcW w:w="1639" w:type="dxa"/>
            <w:tcBorders>
              <w:top w:val="single" w:color="auto" w:sz="2" w:space="0"/>
              <w:left w:val="single" w:color="auto" w:sz="6" w:space="0"/>
              <w:bottom w:val="single" w:color="auto" w:sz="6" w:space="0"/>
              <w:right w:val="single" w:color="auto" w:sz="6" w:space="0"/>
            </w:tcBorders>
            <w:noWrap w:val="0"/>
          </w:tcPr>
          <w:p w14:paraId="7FC1A48E">
            <w:pPr>
              <w:rPr>
                <w:color w:val="auto"/>
                <w:szCs w:val="21"/>
                <w:highlight w:val="none"/>
              </w:rPr>
            </w:pPr>
          </w:p>
        </w:tc>
        <w:tc>
          <w:tcPr>
            <w:tcW w:w="1083"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010EE096">
            <w:pPr>
              <w:rPr>
                <w:color w:val="auto"/>
                <w:szCs w:val="21"/>
                <w:highlight w:val="none"/>
              </w:rPr>
            </w:pPr>
          </w:p>
        </w:tc>
      </w:tr>
      <w:tr w14:paraId="3CD456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535AECFB">
            <w:pPr>
              <w:jc w:val="center"/>
              <w:rPr>
                <w:color w:val="auto"/>
                <w:szCs w:val="21"/>
                <w:highlight w:val="none"/>
              </w:rPr>
            </w:pPr>
            <w:r>
              <w:rPr>
                <w:color w:val="auto"/>
                <w:szCs w:val="21"/>
                <w:highlight w:val="none"/>
              </w:rPr>
              <w:t>2</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4E37C0A4">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1E085FF0">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noWrap w:val="0"/>
          </w:tcPr>
          <w:p w14:paraId="0330FD42">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7B972A5A">
            <w:pPr>
              <w:rPr>
                <w:color w:val="auto"/>
                <w:szCs w:val="21"/>
                <w:highlight w:val="none"/>
              </w:rPr>
            </w:pPr>
          </w:p>
        </w:tc>
      </w:tr>
      <w:tr w14:paraId="2171A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792E928B">
            <w:pPr>
              <w:jc w:val="center"/>
              <w:rPr>
                <w:color w:val="auto"/>
                <w:szCs w:val="21"/>
                <w:highlight w:val="none"/>
              </w:rPr>
            </w:pPr>
            <w:r>
              <w:rPr>
                <w:color w:val="auto"/>
                <w:szCs w:val="21"/>
                <w:highlight w:val="none"/>
              </w:rPr>
              <w:t>3</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0D992143">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21CB4148">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noWrap w:val="0"/>
          </w:tcPr>
          <w:p w14:paraId="641A81AE">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45F6CDDA">
            <w:pPr>
              <w:rPr>
                <w:color w:val="auto"/>
                <w:szCs w:val="21"/>
                <w:highlight w:val="none"/>
              </w:rPr>
            </w:pPr>
          </w:p>
        </w:tc>
      </w:tr>
    </w:tbl>
    <w:p w14:paraId="502E953B">
      <w:pPr>
        <w:rPr>
          <w:color w:val="auto"/>
          <w:szCs w:val="21"/>
          <w:highlight w:val="none"/>
        </w:rPr>
      </w:pPr>
    </w:p>
    <w:p w14:paraId="6B06EF2B">
      <w:pPr>
        <w:spacing w:before="50" w:after="120"/>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03829D0D">
      <w:pPr>
        <w:spacing w:before="50" w:after="120"/>
        <w:jc w:val="left"/>
        <w:rPr>
          <w:color w:val="auto"/>
          <w:spacing w:val="20"/>
          <w:szCs w:val="21"/>
          <w:highlight w:val="none"/>
          <w:u w:val="single"/>
        </w:rPr>
      </w:pPr>
    </w:p>
    <w:p w14:paraId="593B49B6">
      <w:pPr>
        <w:spacing w:before="50" w:after="120"/>
        <w:jc w:val="left"/>
        <w:rPr>
          <w:color w:val="auto"/>
          <w:spacing w:val="20"/>
          <w:szCs w:val="21"/>
          <w:highlight w:val="none"/>
        </w:rPr>
      </w:pPr>
    </w:p>
    <w:p w14:paraId="2BF08CAA">
      <w:pPr>
        <w:spacing w:before="50" w:after="120"/>
        <w:jc w:val="left"/>
        <w:rPr>
          <w:color w:val="auto"/>
          <w:szCs w:val="21"/>
          <w:highlight w:val="none"/>
        </w:rPr>
      </w:pPr>
      <w:r>
        <w:rPr>
          <w:rFonts w:hint="eastAsia"/>
          <w:color w:val="auto"/>
          <w:spacing w:val="20"/>
          <w:szCs w:val="21"/>
          <w:highlight w:val="none"/>
        </w:rPr>
        <w:t>5.</w:t>
      </w:r>
      <w:r>
        <w:rPr>
          <w:color w:val="auto"/>
          <w:szCs w:val="21"/>
          <w:highlight w:val="none"/>
        </w:rPr>
        <w:t>产品出厂标准、质量检测报告。</w:t>
      </w:r>
      <w:r>
        <w:rPr>
          <w:rFonts w:hint="eastAsia"/>
          <w:color w:val="auto"/>
          <w:szCs w:val="21"/>
          <w:highlight w:val="none"/>
        </w:rPr>
        <w:t>（如有，请提供）</w:t>
      </w:r>
    </w:p>
    <w:p w14:paraId="566D3C15">
      <w:pPr>
        <w:rPr>
          <w:color w:val="auto"/>
          <w:szCs w:val="21"/>
          <w:highlight w:val="none"/>
        </w:rPr>
      </w:pPr>
    </w:p>
    <w:p w14:paraId="400B232E">
      <w:pPr>
        <w:rPr>
          <w:color w:val="auto"/>
          <w:szCs w:val="21"/>
          <w:highlight w:val="none"/>
        </w:rPr>
      </w:pPr>
    </w:p>
    <w:p w14:paraId="7C8D80DE">
      <w:pPr>
        <w:spacing w:before="50" w:after="120" w:line="440" w:lineRule="exact"/>
        <w:jc w:val="left"/>
        <w:rPr>
          <w:color w:val="auto"/>
          <w:szCs w:val="21"/>
          <w:highlight w:val="none"/>
        </w:rPr>
      </w:pPr>
      <w:r>
        <w:rPr>
          <w:rFonts w:hint="eastAsia"/>
          <w:color w:val="auto"/>
          <w:szCs w:val="21"/>
          <w:highlight w:val="none"/>
        </w:rPr>
        <w:t>6</w:t>
      </w:r>
      <w:r>
        <w:rPr>
          <w:color w:val="auto"/>
          <w:szCs w:val="21"/>
          <w:highlight w:val="none"/>
        </w:rPr>
        <w:t>．原厂出厂配置表及原厂中文使用说明书。</w:t>
      </w:r>
      <w:r>
        <w:rPr>
          <w:rFonts w:hint="eastAsia"/>
          <w:color w:val="auto"/>
          <w:szCs w:val="21"/>
          <w:highlight w:val="none"/>
        </w:rPr>
        <w:t>（如有，请提供）</w:t>
      </w:r>
    </w:p>
    <w:p w14:paraId="449B7B1A">
      <w:pPr>
        <w:rPr>
          <w:color w:val="auto"/>
          <w:szCs w:val="21"/>
          <w:highlight w:val="none"/>
        </w:rPr>
      </w:pPr>
    </w:p>
    <w:p w14:paraId="21BA60D5">
      <w:pPr>
        <w:rPr>
          <w:color w:val="auto"/>
          <w:szCs w:val="21"/>
          <w:highlight w:val="none"/>
        </w:rPr>
      </w:pPr>
    </w:p>
    <w:p w14:paraId="7F0DE97D">
      <w:pPr>
        <w:rPr>
          <w:color w:val="auto"/>
          <w:szCs w:val="21"/>
          <w:highlight w:val="none"/>
        </w:rPr>
      </w:pPr>
    </w:p>
    <w:p w14:paraId="512DC36E">
      <w:pPr>
        <w:rPr>
          <w:color w:val="auto"/>
          <w:szCs w:val="21"/>
          <w:highlight w:val="none"/>
        </w:rPr>
      </w:pPr>
      <w:r>
        <w:rPr>
          <w:rFonts w:hint="eastAsia"/>
          <w:color w:val="auto"/>
          <w:szCs w:val="21"/>
          <w:highlight w:val="none"/>
        </w:rPr>
        <w:t>7</w:t>
      </w:r>
      <w:r>
        <w:rPr>
          <w:color w:val="auto"/>
          <w:szCs w:val="21"/>
          <w:highlight w:val="none"/>
        </w:rPr>
        <w:t>．项目实施人员一览表。</w:t>
      </w:r>
    </w:p>
    <w:p w14:paraId="7D6E61A2">
      <w:pPr>
        <w:rPr>
          <w:color w:val="auto"/>
          <w:szCs w:val="21"/>
          <w:highlight w:val="none"/>
        </w:rPr>
      </w:pPr>
    </w:p>
    <w:p w14:paraId="55A15651">
      <w:pPr>
        <w:spacing w:before="120" w:after="50" w:line="400" w:lineRule="exact"/>
        <w:jc w:val="center"/>
        <w:rPr>
          <w:b/>
          <w:color w:val="auto"/>
          <w:szCs w:val="21"/>
          <w:highlight w:val="none"/>
        </w:rPr>
      </w:pPr>
      <w:r>
        <w:rPr>
          <w:b/>
          <w:color w:val="auto"/>
          <w:szCs w:val="21"/>
          <w:highlight w:val="none"/>
        </w:rPr>
        <w:t>项目实施人员（主要从业人员及其技术资格）一览表</w:t>
      </w:r>
    </w:p>
    <w:p w14:paraId="63B33E64">
      <w:pPr>
        <w:spacing w:before="120" w:after="50" w:line="400" w:lineRule="exact"/>
        <w:rPr>
          <w:color w:val="auto"/>
          <w:szCs w:val="21"/>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32F9B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center"/>
          </w:tcPr>
          <w:p w14:paraId="1FC4C986">
            <w:pPr>
              <w:spacing w:before="120" w:after="50"/>
              <w:jc w:val="center"/>
              <w:rPr>
                <w:color w:val="auto"/>
                <w:szCs w:val="21"/>
                <w:highlight w:val="none"/>
              </w:rPr>
            </w:pPr>
            <w:r>
              <w:rPr>
                <w:color w:val="auto"/>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4C51A01">
            <w:pPr>
              <w:spacing w:before="120" w:after="50"/>
              <w:jc w:val="center"/>
              <w:rPr>
                <w:color w:val="auto"/>
                <w:szCs w:val="21"/>
                <w:highlight w:val="none"/>
              </w:rPr>
            </w:pPr>
            <w:r>
              <w:rPr>
                <w:color w:val="auto"/>
                <w:szCs w:val="21"/>
                <w:highlight w:val="none"/>
              </w:rPr>
              <w:t>职务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FA0CACA">
            <w:pPr>
              <w:spacing w:before="120" w:after="50"/>
              <w:jc w:val="center"/>
              <w:rPr>
                <w:color w:val="auto"/>
                <w:szCs w:val="21"/>
                <w:highlight w:val="none"/>
              </w:rPr>
            </w:pPr>
            <w:r>
              <w:rPr>
                <w:color w:val="auto"/>
                <w:szCs w:val="21"/>
                <w:highlight w:val="none"/>
              </w:rPr>
              <w:t>专业技术资格</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C9F4375">
            <w:pPr>
              <w:spacing w:before="120" w:after="50"/>
              <w:jc w:val="center"/>
              <w:rPr>
                <w:color w:val="auto"/>
                <w:szCs w:val="21"/>
                <w:highlight w:val="none"/>
              </w:rPr>
            </w:pPr>
            <w:r>
              <w:rPr>
                <w:color w:val="auto"/>
                <w:szCs w:val="21"/>
                <w:highlight w:val="none"/>
              </w:rPr>
              <w:t>证书编号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FBE2D81">
            <w:pPr>
              <w:spacing w:before="120" w:after="50"/>
              <w:jc w:val="center"/>
              <w:rPr>
                <w:bCs/>
                <w:color w:val="auto"/>
                <w:szCs w:val="21"/>
                <w:highlight w:val="none"/>
              </w:rPr>
            </w:pPr>
            <w:r>
              <w:rPr>
                <w:bCs/>
                <w:color w:val="auto"/>
                <w:szCs w:val="21"/>
                <w:highlight w:val="none"/>
              </w:rPr>
              <w:t>参加本单位工作时间</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1FDB3FF">
            <w:pPr>
              <w:spacing w:before="120" w:after="50"/>
              <w:jc w:val="center"/>
              <w:rPr>
                <w:bCs/>
                <w:color w:val="auto"/>
                <w:szCs w:val="21"/>
                <w:highlight w:val="none"/>
              </w:rPr>
            </w:pPr>
            <w:r>
              <w:rPr>
                <w:bCs/>
                <w:color w:val="auto"/>
                <w:szCs w:val="21"/>
                <w:highlight w:val="none"/>
              </w:rPr>
              <w:t>劳动合同编号</w:t>
            </w:r>
          </w:p>
        </w:tc>
      </w:tr>
      <w:tr w14:paraId="1BF68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tcPr>
          <w:p w14:paraId="1A0A8CFB">
            <w:pPr>
              <w:spacing w:before="12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6A4814E5">
            <w:pPr>
              <w:spacing w:before="12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tcPr>
          <w:p w14:paraId="3021885E">
            <w:pPr>
              <w:spacing w:before="12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tcPr>
          <w:p w14:paraId="64732A30">
            <w:pPr>
              <w:spacing w:before="12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76A9DB14">
            <w:pPr>
              <w:spacing w:before="12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tcPr>
          <w:p w14:paraId="117F424B">
            <w:pPr>
              <w:spacing w:before="120" w:after="50"/>
              <w:rPr>
                <w:color w:val="auto"/>
                <w:szCs w:val="21"/>
                <w:highlight w:val="none"/>
              </w:rPr>
            </w:pPr>
          </w:p>
        </w:tc>
      </w:tr>
      <w:tr w14:paraId="446896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tcPr>
          <w:p w14:paraId="4504E939">
            <w:pPr>
              <w:spacing w:before="12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4FC62D70">
            <w:pPr>
              <w:spacing w:before="12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tcPr>
          <w:p w14:paraId="794C9673">
            <w:pPr>
              <w:spacing w:before="12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tcPr>
          <w:p w14:paraId="226665A6">
            <w:pPr>
              <w:spacing w:before="12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7D58D3D0">
            <w:pPr>
              <w:spacing w:before="12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tcPr>
          <w:p w14:paraId="2851F046">
            <w:pPr>
              <w:spacing w:before="120" w:after="50"/>
              <w:rPr>
                <w:color w:val="auto"/>
                <w:szCs w:val="21"/>
                <w:highlight w:val="none"/>
              </w:rPr>
            </w:pPr>
          </w:p>
        </w:tc>
      </w:tr>
      <w:tr w14:paraId="4E7B4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tcPr>
          <w:p w14:paraId="227BC6E7">
            <w:pPr>
              <w:spacing w:before="12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5DAB2240">
            <w:pPr>
              <w:spacing w:before="12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tcPr>
          <w:p w14:paraId="44D9E16D">
            <w:pPr>
              <w:pStyle w:val="29"/>
              <w:spacing w:before="120" w:after="50"/>
              <w:ind w:left="5670" w:hanging="420"/>
              <w:rPr>
                <w:rFonts w:ascii="Times New Roman" w:hAnsi="Times New Roman"/>
                <w:color w:val="auto"/>
                <w:highlight w:val="none"/>
              </w:rPr>
            </w:pPr>
          </w:p>
        </w:tc>
        <w:tc>
          <w:tcPr>
            <w:tcW w:w="1516" w:type="dxa"/>
            <w:tcBorders>
              <w:top w:val="single" w:color="auto" w:sz="4" w:space="0"/>
              <w:left w:val="single" w:color="auto" w:sz="4" w:space="0"/>
              <w:bottom w:val="single" w:color="auto" w:sz="4" w:space="0"/>
              <w:right w:val="single" w:color="auto" w:sz="4" w:space="0"/>
            </w:tcBorders>
            <w:noWrap w:val="0"/>
          </w:tcPr>
          <w:p w14:paraId="2DB1E578">
            <w:pPr>
              <w:spacing w:before="12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7221231A">
            <w:pPr>
              <w:spacing w:before="12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tcPr>
          <w:p w14:paraId="4BB6B729">
            <w:pPr>
              <w:spacing w:before="120" w:after="50"/>
              <w:rPr>
                <w:color w:val="auto"/>
                <w:szCs w:val="21"/>
                <w:highlight w:val="none"/>
              </w:rPr>
            </w:pPr>
          </w:p>
        </w:tc>
      </w:tr>
    </w:tbl>
    <w:p w14:paraId="14891587">
      <w:pPr>
        <w:spacing w:before="50" w:after="120" w:line="440" w:lineRule="exact"/>
        <w:jc w:val="left"/>
        <w:rPr>
          <w:color w:val="auto"/>
          <w:szCs w:val="21"/>
          <w:highlight w:val="none"/>
        </w:rPr>
      </w:pPr>
      <w:r>
        <w:rPr>
          <w:color w:val="auto"/>
          <w:szCs w:val="21"/>
          <w:highlight w:val="none"/>
        </w:rPr>
        <w:t>注：在填写时，如本表格不适合投标单位的实际情况，可根据本表格式自行填写。</w:t>
      </w:r>
    </w:p>
    <w:p w14:paraId="38DD4916">
      <w:pPr>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447E6967">
      <w:pPr>
        <w:rPr>
          <w:color w:val="auto"/>
          <w:szCs w:val="21"/>
          <w:highlight w:val="none"/>
        </w:rPr>
      </w:pPr>
    </w:p>
    <w:p w14:paraId="63D3DE09">
      <w:pPr>
        <w:rPr>
          <w:color w:val="auto"/>
          <w:szCs w:val="21"/>
          <w:highlight w:val="none"/>
        </w:rPr>
      </w:pPr>
    </w:p>
    <w:p w14:paraId="38D80D50">
      <w:pPr>
        <w:rPr>
          <w:color w:val="auto"/>
          <w:szCs w:val="21"/>
          <w:highlight w:val="none"/>
        </w:rPr>
      </w:pPr>
    </w:p>
    <w:p w14:paraId="0E6E4ACA">
      <w:pPr>
        <w:rPr>
          <w:color w:val="auto"/>
          <w:szCs w:val="21"/>
          <w:highlight w:val="none"/>
        </w:rPr>
      </w:pPr>
    </w:p>
    <w:p w14:paraId="37F18774">
      <w:pPr>
        <w:rPr>
          <w:rFonts w:hint="eastAsia" w:eastAsia="宋体"/>
          <w:color w:val="auto"/>
          <w:szCs w:val="21"/>
          <w:highlight w:val="none"/>
          <w:lang w:eastAsia="zh-CN"/>
        </w:rPr>
      </w:pPr>
      <w:r>
        <w:rPr>
          <w:rFonts w:hint="eastAsia"/>
          <w:color w:val="auto"/>
          <w:szCs w:val="21"/>
          <w:highlight w:val="none"/>
        </w:rPr>
        <w:t>8</w:t>
      </w:r>
      <w:r>
        <w:rPr>
          <w:color w:val="auto"/>
          <w:szCs w:val="21"/>
          <w:highlight w:val="none"/>
        </w:rPr>
        <w:t>．</w:t>
      </w:r>
      <w:r>
        <w:rPr>
          <w:rFonts w:hint="eastAsia" w:ascii="Arial" w:hAnsi="Arial" w:cs="Arial"/>
          <w:color w:val="auto"/>
          <w:szCs w:val="21"/>
          <w:highlight w:val="none"/>
          <w:lang w:val="en-US" w:eastAsia="zh-CN"/>
        </w:rPr>
        <w:t>实施</w:t>
      </w:r>
      <w:r>
        <w:rPr>
          <w:rFonts w:ascii="Arial" w:hAnsi="Arial" w:cs="Arial"/>
          <w:color w:val="auto"/>
          <w:szCs w:val="21"/>
          <w:highlight w:val="none"/>
        </w:rPr>
        <w:t>方案</w:t>
      </w:r>
      <w:r>
        <w:rPr>
          <w:rFonts w:hint="eastAsia" w:ascii="Arial" w:hAnsi="Arial" w:cs="Arial"/>
          <w:color w:val="auto"/>
          <w:szCs w:val="21"/>
          <w:highlight w:val="none"/>
          <w:lang w:eastAsia="zh-CN"/>
        </w:rPr>
        <w:t>。</w:t>
      </w:r>
    </w:p>
    <w:p w14:paraId="38EC9EA5">
      <w:pPr>
        <w:rPr>
          <w:color w:val="auto"/>
          <w:szCs w:val="21"/>
          <w:highlight w:val="none"/>
        </w:rPr>
      </w:pPr>
    </w:p>
    <w:p w14:paraId="3C3DDEE0">
      <w:pPr>
        <w:rPr>
          <w:rFonts w:hint="eastAsia"/>
          <w:color w:val="auto"/>
          <w:szCs w:val="21"/>
          <w:highlight w:val="none"/>
          <w:lang w:val="en-US" w:eastAsia="zh-CN"/>
        </w:rPr>
      </w:pPr>
      <w:r>
        <w:rPr>
          <w:rFonts w:hint="eastAsia"/>
          <w:color w:val="auto"/>
          <w:szCs w:val="21"/>
          <w:highlight w:val="none"/>
          <w:lang w:val="en-US" w:eastAsia="zh-CN"/>
        </w:rPr>
        <w:t xml:space="preserve">  </w:t>
      </w:r>
    </w:p>
    <w:p w14:paraId="64C1F67E">
      <w:pPr>
        <w:rPr>
          <w:rFonts w:hint="default"/>
          <w:color w:val="auto"/>
          <w:szCs w:val="21"/>
          <w:highlight w:val="none"/>
          <w:lang w:val="en-US" w:eastAsia="zh-CN"/>
        </w:rPr>
      </w:pPr>
    </w:p>
    <w:p w14:paraId="29E2FE05">
      <w:pPr>
        <w:rPr>
          <w:color w:val="auto"/>
          <w:szCs w:val="21"/>
          <w:highlight w:val="none"/>
        </w:rPr>
      </w:pPr>
      <w:r>
        <w:rPr>
          <w:rFonts w:hint="eastAsia"/>
          <w:color w:val="auto"/>
          <w:szCs w:val="21"/>
          <w:highlight w:val="none"/>
        </w:rPr>
        <w:t>9</w:t>
      </w:r>
      <w:r>
        <w:rPr>
          <w:color w:val="auto"/>
          <w:szCs w:val="21"/>
          <w:highlight w:val="none"/>
        </w:rPr>
        <w:t>．</w:t>
      </w:r>
      <w:r>
        <w:rPr>
          <w:rFonts w:hint="eastAsia"/>
          <w:color w:val="auto"/>
          <w:szCs w:val="21"/>
          <w:highlight w:val="none"/>
          <w:lang w:val="en-US" w:eastAsia="zh-CN"/>
        </w:rPr>
        <w:t>培训计划</w:t>
      </w:r>
      <w:r>
        <w:rPr>
          <w:color w:val="auto"/>
          <w:szCs w:val="21"/>
          <w:highlight w:val="none"/>
        </w:rPr>
        <w:t>。</w:t>
      </w:r>
    </w:p>
    <w:p w14:paraId="1ECA5C60">
      <w:pPr>
        <w:rPr>
          <w:color w:val="auto"/>
          <w:szCs w:val="21"/>
          <w:highlight w:val="none"/>
        </w:rPr>
      </w:pPr>
    </w:p>
    <w:p w14:paraId="048CC69B">
      <w:pPr>
        <w:rPr>
          <w:color w:val="auto"/>
          <w:szCs w:val="21"/>
          <w:highlight w:val="none"/>
        </w:rPr>
      </w:pPr>
    </w:p>
    <w:p w14:paraId="6BD613C8">
      <w:pPr>
        <w:rPr>
          <w:color w:val="auto"/>
          <w:szCs w:val="21"/>
          <w:highlight w:val="none"/>
        </w:rPr>
      </w:pPr>
    </w:p>
    <w:p w14:paraId="0FAF71CE">
      <w:pPr>
        <w:numPr>
          <w:ilvl w:val="0"/>
          <w:numId w:val="25"/>
        </w:numPr>
        <w:rPr>
          <w:color w:val="auto"/>
          <w:szCs w:val="21"/>
          <w:highlight w:val="none"/>
        </w:rPr>
      </w:pPr>
      <w:r>
        <w:rPr>
          <w:color w:val="auto"/>
          <w:szCs w:val="21"/>
          <w:highlight w:val="none"/>
        </w:rPr>
        <w:t>供应商对本项目的合理化建议和改进措施。</w:t>
      </w:r>
    </w:p>
    <w:p w14:paraId="086C49A6">
      <w:pPr>
        <w:widowControl w:val="0"/>
        <w:numPr>
          <w:ilvl w:val="0"/>
          <w:numId w:val="0"/>
        </w:numPr>
        <w:jc w:val="both"/>
        <w:rPr>
          <w:color w:val="auto"/>
          <w:szCs w:val="21"/>
          <w:highlight w:val="none"/>
        </w:rPr>
      </w:pPr>
    </w:p>
    <w:p w14:paraId="00EF5629">
      <w:pPr>
        <w:widowControl w:val="0"/>
        <w:numPr>
          <w:ilvl w:val="0"/>
          <w:numId w:val="0"/>
        </w:numPr>
        <w:jc w:val="both"/>
        <w:rPr>
          <w:color w:val="auto"/>
          <w:szCs w:val="21"/>
          <w:highlight w:val="none"/>
        </w:rPr>
      </w:pPr>
    </w:p>
    <w:p w14:paraId="579E8B36">
      <w:pPr>
        <w:widowControl w:val="0"/>
        <w:numPr>
          <w:ilvl w:val="0"/>
          <w:numId w:val="0"/>
        </w:numPr>
        <w:jc w:val="both"/>
        <w:rPr>
          <w:color w:val="auto"/>
          <w:szCs w:val="21"/>
          <w:highlight w:val="none"/>
        </w:rPr>
      </w:pPr>
    </w:p>
    <w:p w14:paraId="7A453A07">
      <w:pPr>
        <w:numPr>
          <w:ilvl w:val="0"/>
          <w:numId w:val="25"/>
        </w:numPr>
        <w:rPr>
          <w:color w:val="auto"/>
          <w:szCs w:val="21"/>
          <w:highlight w:val="none"/>
        </w:rPr>
      </w:pPr>
      <w:r>
        <w:rPr>
          <w:color w:val="auto"/>
          <w:szCs w:val="21"/>
          <w:highlight w:val="none"/>
        </w:rPr>
        <w:t>供应商需要说明的其他文件和说明。</w:t>
      </w:r>
    </w:p>
    <w:p w14:paraId="36B369C7">
      <w:pPr>
        <w:jc w:val="center"/>
        <w:rPr>
          <w:b/>
          <w:bCs/>
          <w:color w:val="auto"/>
          <w:szCs w:val="21"/>
          <w:highlight w:val="none"/>
        </w:rPr>
      </w:pPr>
      <w:r>
        <w:rPr>
          <w:b/>
          <w:color w:val="auto"/>
          <w:szCs w:val="21"/>
          <w:highlight w:val="none"/>
        </w:rPr>
        <w:br w:type="page" w:clear="all"/>
      </w:r>
    </w:p>
    <w:p w14:paraId="4EF18001">
      <w:pPr>
        <w:spacing w:before="120" w:after="50" w:line="440" w:lineRule="exact"/>
        <w:jc w:val="left"/>
        <w:outlineLvl w:val="1"/>
        <w:rPr>
          <w:bCs/>
          <w:color w:val="auto"/>
          <w:sz w:val="24"/>
          <w:highlight w:val="none"/>
        </w:rPr>
      </w:pPr>
      <w:r>
        <w:rPr>
          <w:bCs/>
          <w:color w:val="auto"/>
          <w:sz w:val="24"/>
          <w:highlight w:val="none"/>
        </w:rPr>
        <w:t>3．投标文件封面参考格式</w:t>
      </w:r>
      <w:r>
        <w:rPr>
          <w:rFonts w:hint="eastAsia"/>
          <w:bCs/>
          <w:color w:val="auto"/>
          <w:sz w:val="24"/>
          <w:highlight w:val="none"/>
        </w:rPr>
        <w:t>（报价文件）</w:t>
      </w:r>
      <w:r>
        <w:rPr>
          <w:bCs/>
          <w:color w:val="auto"/>
          <w:sz w:val="24"/>
          <w:highlight w:val="none"/>
        </w:rPr>
        <w:t xml:space="preserve">： </w:t>
      </w:r>
    </w:p>
    <w:p w14:paraId="391B8A3E">
      <w:pPr>
        <w:spacing w:before="50" w:after="120" w:line="400" w:lineRule="exact"/>
        <w:jc w:val="left"/>
        <w:rPr>
          <w:bCs/>
          <w:color w:val="auto"/>
          <w:sz w:val="24"/>
          <w:highlight w:val="none"/>
        </w:rPr>
      </w:pPr>
    </w:p>
    <w:p w14:paraId="4345E2A5">
      <w:pPr>
        <w:spacing w:before="120" w:after="50" w:line="360" w:lineRule="exact"/>
        <w:rPr>
          <w:color w:val="auto"/>
          <w:sz w:val="24"/>
          <w:highlight w:val="none"/>
        </w:rPr>
      </w:pPr>
    </w:p>
    <w:p w14:paraId="5F5F5B82">
      <w:pPr>
        <w:spacing w:before="120" w:after="50" w:line="360" w:lineRule="exact"/>
        <w:jc w:val="center"/>
        <w:rPr>
          <w:bCs/>
          <w:color w:val="auto"/>
          <w:sz w:val="24"/>
          <w:highlight w:val="none"/>
        </w:rPr>
      </w:pPr>
    </w:p>
    <w:p w14:paraId="70DD4C0A">
      <w:pPr>
        <w:spacing w:before="12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11159D99">
      <w:pPr>
        <w:spacing w:before="120" w:after="50" w:line="360" w:lineRule="exact"/>
        <w:jc w:val="center"/>
        <w:rPr>
          <w:b/>
          <w:bCs/>
          <w:color w:val="auto"/>
          <w:sz w:val="44"/>
          <w:szCs w:val="44"/>
          <w:highlight w:val="none"/>
        </w:rPr>
      </w:pPr>
    </w:p>
    <w:p w14:paraId="5A29C519">
      <w:pPr>
        <w:spacing w:before="120" w:after="50" w:line="360" w:lineRule="exact"/>
        <w:jc w:val="center"/>
        <w:rPr>
          <w:b/>
          <w:bCs/>
          <w:color w:val="auto"/>
          <w:sz w:val="44"/>
          <w:szCs w:val="44"/>
          <w:highlight w:val="none"/>
        </w:rPr>
      </w:pPr>
    </w:p>
    <w:p w14:paraId="3A3FBA74">
      <w:pPr>
        <w:spacing w:before="120" w:after="50" w:line="360" w:lineRule="exact"/>
        <w:jc w:val="center"/>
        <w:rPr>
          <w:b/>
          <w:bCs/>
          <w:color w:val="auto"/>
          <w:sz w:val="44"/>
          <w:szCs w:val="44"/>
          <w:highlight w:val="none"/>
        </w:rPr>
      </w:pPr>
      <w:r>
        <w:rPr>
          <w:rFonts w:hint="eastAsia"/>
          <w:b/>
          <w:bCs/>
          <w:color w:val="auto"/>
          <w:sz w:val="44"/>
          <w:szCs w:val="44"/>
          <w:highlight w:val="none"/>
        </w:rPr>
        <w:t>报价</w:t>
      </w:r>
      <w:r>
        <w:rPr>
          <w:b/>
          <w:bCs/>
          <w:color w:val="auto"/>
          <w:sz w:val="44"/>
          <w:szCs w:val="44"/>
          <w:highlight w:val="none"/>
        </w:rPr>
        <w:t>文件</w:t>
      </w:r>
    </w:p>
    <w:p w14:paraId="3BA974AE">
      <w:pPr>
        <w:spacing w:before="120" w:after="50" w:line="360" w:lineRule="exact"/>
        <w:rPr>
          <w:bCs/>
          <w:color w:val="auto"/>
          <w:sz w:val="24"/>
          <w:highlight w:val="none"/>
        </w:rPr>
      </w:pPr>
    </w:p>
    <w:p w14:paraId="086D988D">
      <w:pPr>
        <w:spacing w:before="120" w:after="50" w:line="360" w:lineRule="exact"/>
        <w:rPr>
          <w:bCs/>
          <w:color w:val="auto"/>
          <w:sz w:val="24"/>
          <w:highlight w:val="none"/>
        </w:rPr>
      </w:pPr>
    </w:p>
    <w:p w14:paraId="776AAD41">
      <w:pPr>
        <w:spacing w:before="120" w:after="50" w:line="360" w:lineRule="exact"/>
        <w:rPr>
          <w:bCs/>
          <w:color w:val="auto"/>
          <w:sz w:val="24"/>
          <w:highlight w:val="none"/>
        </w:rPr>
      </w:pPr>
    </w:p>
    <w:p w14:paraId="57760107">
      <w:pPr>
        <w:spacing w:before="120" w:after="50" w:line="360" w:lineRule="exact"/>
        <w:ind w:firstLine="720"/>
        <w:rPr>
          <w:bCs/>
          <w:color w:val="auto"/>
          <w:sz w:val="24"/>
          <w:highlight w:val="none"/>
        </w:rPr>
      </w:pPr>
      <w:r>
        <w:rPr>
          <w:bCs/>
          <w:color w:val="auto"/>
          <w:sz w:val="24"/>
          <w:highlight w:val="none"/>
        </w:rPr>
        <w:t xml:space="preserve">项目名称： </w:t>
      </w:r>
    </w:p>
    <w:p w14:paraId="6AA5A14B">
      <w:pPr>
        <w:spacing w:before="120" w:after="50" w:line="360" w:lineRule="exact"/>
        <w:ind w:firstLine="720"/>
        <w:rPr>
          <w:bCs/>
          <w:color w:val="auto"/>
          <w:sz w:val="24"/>
          <w:highlight w:val="none"/>
        </w:rPr>
      </w:pPr>
      <w:r>
        <w:rPr>
          <w:bCs/>
          <w:color w:val="auto"/>
          <w:sz w:val="24"/>
          <w:highlight w:val="none"/>
        </w:rPr>
        <w:t>项目编号：</w:t>
      </w:r>
    </w:p>
    <w:p w14:paraId="015ECE9C">
      <w:pPr>
        <w:spacing w:before="120" w:after="50" w:line="360" w:lineRule="exact"/>
        <w:ind w:firstLine="720"/>
        <w:rPr>
          <w:bCs/>
          <w:color w:val="auto"/>
          <w:sz w:val="24"/>
          <w:highlight w:val="none"/>
        </w:rPr>
      </w:pPr>
      <w:r>
        <w:rPr>
          <w:bCs/>
          <w:color w:val="auto"/>
          <w:sz w:val="24"/>
          <w:highlight w:val="none"/>
        </w:rPr>
        <w:t>分标号：</w:t>
      </w:r>
    </w:p>
    <w:p w14:paraId="48CDEBB9">
      <w:pPr>
        <w:spacing w:before="120" w:after="50" w:line="360" w:lineRule="exact"/>
        <w:ind w:firstLine="720"/>
        <w:rPr>
          <w:bCs/>
          <w:color w:val="auto"/>
          <w:sz w:val="24"/>
          <w:highlight w:val="none"/>
        </w:rPr>
      </w:pPr>
      <w:r>
        <w:rPr>
          <w:bCs/>
          <w:color w:val="auto"/>
          <w:sz w:val="24"/>
          <w:highlight w:val="none"/>
        </w:rPr>
        <w:t>供应商名称：</w:t>
      </w:r>
    </w:p>
    <w:p w14:paraId="0E38D335">
      <w:pPr>
        <w:spacing w:before="120" w:after="50" w:line="360" w:lineRule="exact"/>
        <w:ind w:firstLine="720"/>
        <w:rPr>
          <w:bCs/>
          <w:color w:val="auto"/>
          <w:sz w:val="24"/>
          <w:highlight w:val="none"/>
        </w:rPr>
      </w:pPr>
      <w:r>
        <w:rPr>
          <w:bCs/>
          <w:color w:val="auto"/>
          <w:sz w:val="24"/>
          <w:highlight w:val="none"/>
        </w:rPr>
        <w:t>供应商地址：</w:t>
      </w:r>
    </w:p>
    <w:p w14:paraId="3F1DB4B0">
      <w:pPr>
        <w:spacing w:before="120" w:after="50" w:line="360" w:lineRule="exact"/>
        <w:ind w:firstLine="720"/>
        <w:rPr>
          <w:bCs/>
          <w:color w:val="auto"/>
          <w:sz w:val="24"/>
          <w:highlight w:val="none"/>
        </w:rPr>
      </w:pPr>
    </w:p>
    <w:p w14:paraId="60898B37">
      <w:pPr>
        <w:pStyle w:val="7"/>
        <w:spacing w:before="50" w:after="50" w:line="360" w:lineRule="exact"/>
        <w:ind w:firstLine="960"/>
        <w:rPr>
          <w:bCs/>
          <w:color w:val="auto"/>
          <w:sz w:val="24"/>
          <w:szCs w:val="24"/>
          <w:highlight w:val="none"/>
        </w:rPr>
      </w:pPr>
    </w:p>
    <w:p w14:paraId="5C0F3092">
      <w:pPr>
        <w:spacing w:before="120" w:after="50" w:line="360" w:lineRule="exact"/>
        <w:jc w:val="center"/>
        <w:rPr>
          <w:color w:val="auto"/>
          <w:sz w:val="24"/>
          <w:highlight w:val="none"/>
        </w:rPr>
      </w:pPr>
      <w:r>
        <w:rPr>
          <w:color w:val="auto"/>
          <w:sz w:val="24"/>
          <w:highlight w:val="none"/>
        </w:rPr>
        <w:t xml:space="preserve">                        年  月  日</w:t>
      </w:r>
    </w:p>
    <w:p w14:paraId="08087DEA">
      <w:pPr>
        <w:rPr>
          <w:color w:val="auto"/>
          <w:highlight w:val="none"/>
        </w:rPr>
      </w:pPr>
      <w:r>
        <w:rPr>
          <w:color w:val="auto"/>
          <w:highlight w:val="none"/>
        </w:rPr>
        <w:br w:type="page" w:clear="all"/>
      </w:r>
    </w:p>
    <w:p w14:paraId="00C5BA90">
      <w:pPr>
        <w:widowControl/>
        <w:jc w:val="left"/>
        <w:rPr>
          <w:b/>
          <w:bCs/>
          <w:color w:val="auto"/>
          <w:szCs w:val="21"/>
          <w:highlight w:val="none"/>
        </w:rPr>
      </w:pPr>
    </w:p>
    <w:p w14:paraId="481A30F8">
      <w:pPr>
        <w:jc w:val="center"/>
        <w:rPr>
          <w:b/>
          <w:bCs/>
          <w:color w:val="auto"/>
          <w:szCs w:val="21"/>
          <w:highlight w:val="none"/>
        </w:rPr>
      </w:pPr>
    </w:p>
    <w:p w14:paraId="24F32AEB">
      <w:pPr>
        <w:jc w:val="center"/>
        <w:rPr>
          <w:color w:val="auto"/>
          <w:sz w:val="28"/>
          <w:szCs w:val="28"/>
          <w:highlight w:val="none"/>
        </w:rPr>
      </w:pPr>
      <w:r>
        <w:rPr>
          <w:color w:val="auto"/>
          <w:sz w:val="28"/>
          <w:szCs w:val="28"/>
          <w:highlight w:val="none"/>
        </w:rPr>
        <w:t>第三部分 报价文件</w:t>
      </w:r>
    </w:p>
    <w:p w14:paraId="5509D629">
      <w:pPr>
        <w:jc w:val="center"/>
        <w:rPr>
          <w:b/>
          <w:bCs/>
          <w:color w:val="auto"/>
          <w:szCs w:val="21"/>
          <w:highlight w:val="none"/>
        </w:rPr>
      </w:pPr>
    </w:p>
    <w:p w14:paraId="73DE9BF6">
      <w:pPr>
        <w:rPr>
          <w:color w:val="auto"/>
          <w:highlight w:val="none"/>
        </w:rPr>
      </w:pPr>
      <w:bookmarkStart w:id="230" w:name="_Hlk19115777"/>
      <w:r>
        <w:rPr>
          <w:color w:val="auto"/>
          <w:highlight w:val="none"/>
        </w:rPr>
        <w:t>1．投标函格式：</w:t>
      </w:r>
    </w:p>
    <w:p w14:paraId="06616284">
      <w:pPr>
        <w:jc w:val="center"/>
        <w:rPr>
          <w:b/>
          <w:color w:val="auto"/>
          <w:szCs w:val="21"/>
          <w:highlight w:val="none"/>
        </w:rPr>
      </w:pPr>
    </w:p>
    <w:p w14:paraId="2AD98E21">
      <w:pPr>
        <w:jc w:val="center"/>
        <w:rPr>
          <w:b/>
          <w:color w:val="auto"/>
          <w:szCs w:val="21"/>
          <w:highlight w:val="none"/>
        </w:rPr>
      </w:pPr>
      <w:r>
        <w:rPr>
          <w:b/>
          <w:color w:val="auto"/>
          <w:szCs w:val="21"/>
          <w:highlight w:val="none"/>
        </w:rPr>
        <w:t>投 标 函</w:t>
      </w:r>
    </w:p>
    <w:p w14:paraId="7602C219">
      <w:pPr>
        <w:rPr>
          <w:b/>
          <w:color w:val="auto"/>
          <w:szCs w:val="21"/>
          <w:highlight w:val="none"/>
        </w:rPr>
      </w:pPr>
    </w:p>
    <w:p w14:paraId="35A54BD2">
      <w:pPr>
        <w:spacing w:line="360" w:lineRule="auto"/>
        <w:rPr>
          <w:color w:val="auto"/>
          <w:szCs w:val="21"/>
          <w:highlight w:val="none"/>
        </w:rPr>
      </w:pPr>
      <w:r>
        <w:rPr>
          <w:color w:val="auto"/>
          <w:szCs w:val="21"/>
          <w:highlight w:val="none"/>
        </w:rPr>
        <w:t>致：</w:t>
      </w:r>
      <w:bookmarkStart w:id="231" w:name="_Hlk19051378"/>
      <w:r>
        <w:rPr>
          <w:color w:val="auto"/>
          <w:szCs w:val="21"/>
          <w:highlight w:val="none"/>
        </w:rPr>
        <w:t>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bookmarkEnd w:id="231"/>
      <w:r>
        <w:rPr>
          <w:color w:val="auto"/>
          <w:szCs w:val="21"/>
          <w:highlight w:val="none"/>
        </w:rPr>
        <w:t>：</w:t>
      </w:r>
    </w:p>
    <w:p w14:paraId="12F110AB">
      <w:pPr>
        <w:spacing w:line="360" w:lineRule="auto"/>
        <w:ind w:firstLine="420"/>
        <w:rPr>
          <w:color w:val="auto"/>
          <w:szCs w:val="21"/>
          <w:highlight w:val="none"/>
        </w:rPr>
      </w:pPr>
      <w:r>
        <w:rPr>
          <w:color w:val="auto"/>
          <w:szCs w:val="21"/>
          <w:highlight w:val="none"/>
        </w:rPr>
        <w:t>我方已仔细研究了</w:t>
      </w:r>
      <w:bookmarkStart w:id="232" w:name="_Hlk19051388"/>
      <w:r>
        <w:rPr>
          <w:rFonts w:hint="eastAsia"/>
          <w:i/>
          <w:iCs/>
          <w:color w:val="auto"/>
          <w:szCs w:val="21"/>
          <w:highlight w:val="none"/>
          <w:u w:val="single"/>
        </w:rPr>
        <w:t>（项目名称）</w:t>
      </w:r>
      <w:bookmarkEnd w:id="232"/>
      <w:r>
        <w:rPr>
          <w:color w:val="auto"/>
          <w:szCs w:val="21"/>
          <w:highlight w:val="none"/>
        </w:rPr>
        <w:t>的招标文件的全部内容。签字代表</w:t>
      </w:r>
      <w:bookmarkStart w:id="233" w:name="_Hlk19051393"/>
      <w:r>
        <w:rPr>
          <w:rFonts w:hint="eastAsia"/>
          <w:i/>
          <w:iCs/>
          <w:color w:val="auto"/>
          <w:szCs w:val="21"/>
          <w:highlight w:val="none"/>
          <w:u w:val="single"/>
        </w:rPr>
        <w:t>（授权代表姓名）</w:t>
      </w:r>
      <w:bookmarkEnd w:id="233"/>
      <w:r>
        <w:rPr>
          <w:color w:val="auto"/>
          <w:szCs w:val="21"/>
          <w:highlight w:val="none"/>
        </w:rPr>
        <w:t>经正式授权并代表供应商_</w:t>
      </w:r>
      <w:bookmarkStart w:id="234" w:name="_Hlk19051402"/>
      <w:r>
        <w:rPr>
          <w:i/>
          <w:iCs/>
          <w:color w:val="auto"/>
          <w:szCs w:val="21"/>
          <w:highlight w:val="none"/>
          <w:u w:val="single"/>
        </w:rPr>
        <w:t>（供应商名称）</w:t>
      </w:r>
      <w:bookmarkEnd w:id="234"/>
      <w:r>
        <w:rPr>
          <w:color w:val="auto"/>
          <w:szCs w:val="21"/>
          <w:highlight w:val="none"/>
        </w:rPr>
        <w:t>提交投标文件</w:t>
      </w:r>
      <w:r>
        <w:rPr>
          <w:rFonts w:hint="eastAsia"/>
          <w:color w:val="auto"/>
          <w:szCs w:val="21"/>
          <w:highlight w:val="none"/>
        </w:rPr>
        <w:t>。</w:t>
      </w:r>
    </w:p>
    <w:p w14:paraId="73F41368">
      <w:pPr>
        <w:spacing w:line="360" w:lineRule="auto"/>
        <w:ind w:firstLine="420"/>
        <w:rPr>
          <w:color w:val="auto"/>
          <w:szCs w:val="21"/>
          <w:highlight w:val="none"/>
        </w:rPr>
      </w:pPr>
      <w:r>
        <w:rPr>
          <w:color w:val="auto"/>
          <w:szCs w:val="21"/>
          <w:highlight w:val="none"/>
        </w:rPr>
        <w:t>据此函，签字代表宣布同意如下：</w:t>
      </w:r>
    </w:p>
    <w:p w14:paraId="0624EB96">
      <w:pPr>
        <w:spacing w:line="360" w:lineRule="auto"/>
        <w:rPr>
          <w:color w:val="auto"/>
          <w:szCs w:val="21"/>
          <w:highlight w:val="none"/>
        </w:rPr>
      </w:pPr>
      <w:r>
        <w:rPr>
          <w:color w:val="auto"/>
          <w:szCs w:val="21"/>
          <w:highlight w:val="none"/>
        </w:rPr>
        <w:t>（1）</w:t>
      </w:r>
      <w:r>
        <w:rPr>
          <w:rFonts w:hint="eastAsia"/>
          <w:color w:val="auto"/>
          <w:szCs w:val="21"/>
          <w:highlight w:val="none"/>
        </w:rPr>
        <w:t>我方</w:t>
      </w:r>
      <w:r>
        <w:rPr>
          <w:color w:val="auto"/>
          <w:szCs w:val="21"/>
          <w:highlight w:val="none"/>
        </w:rPr>
        <w:t>已详细审查全部“招标文件”，包括修改文件（如有的话）以及全部参考资料和有关附件，已经了解我方对于招标文件、采购过程、采购结果有依法进行询问、质疑、投诉的权利及相关渠道和要求。</w:t>
      </w:r>
    </w:p>
    <w:p w14:paraId="7E80EB0D">
      <w:pPr>
        <w:spacing w:line="360" w:lineRule="auto"/>
        <w:rPr>
          <w:color w:val="auto"/>
          <w:szCs w:val="21"/>
          <w:highlight w:val="none"/>
        </w:rPr>
      </w:pPr>
      <w:r>
        <w:rPr>
          <w:color w:val="auto"/>
          <w:szCs w:val="21"/>
          <w:highlight w:val="none"/>
        </w:rPr>
        <w:t>（2）</w:t>
      </w:r>
      <w:r>
        <w:rPr>
          <w:rFonts w:hint="eastAsia"/>
          <w:color w:val="auto"/>
          <w:szCs w:val="21"/>
          <w:highlight w:val="none"/>
        </w:rPr>
        <w:t>我方</w:t>
      </w:r>
      <w:r>
        <w:rPr>
          <w:color w:val="auto"/>
          <w:szCs w:val="21"/>
          <w:highlight w:val="none"/>
        </w:rPr>
        <w:t>在投标之前已经与贵方进行了充分的沟通，完全理解并接受招标文件的各项规定和要求，对招标文件的合理性、合法性不再有异议。</w:t>
      </w:r>
    </w:p>
    <w:p w14:paraId="40C474B8">
      <w:pPr>
        <w:spacing w:line="360" w:lineRule="auto"/>
        <w:rPr>
          <w:color w:val="auto"/>
          <w:szCs w:val="21"/>
          <w:highlight w:val="none"/>
        </w:rPr>
      </w:pPr>
      <w:r>
        <w:rPr>
          <w:color w:val="auto"/>
          <w:szCs w:val="21"/>
          <w:highlight w:val="none"/>
        </w:rPr>
        <w:t>（3）</w:t>
      </w:r>
      <w:r>
        <w:rPr>
          <w:rFonts w:hint="eastAsia"/>
          <w:color w:val="auto"/>
          <w:szCs w:val="21"/>
          <w:highlight w:val="none"/>
        </w:rPr>
        <w:t>我方承诺本投标有效期为第三章供应商须知规定的期限</w:t>
      </w:r>
      <w:r>
        <w:rPr>
          <w:color w:val="auto"/>
          <w:szCs w:val="21"/>
          <w:highlight w:val="none"/>
        </w:rPr>
        <w:t>。</w:t>
      </w:r>
    </w:p>
    <w:p w14:paraId="7DC03009">
      <w:pPr>
        <w:spacing w:line="360" w:lineRule="auto"/>
        <w:rPr>
          <w:color w:val="auto"/>
          <w:szCs w:val="21"/>
          <w:highlight w:val="none"/>
        </w:rPr>
      </w:pPr>
      <w:r>
        <w:rPr>
          <w:color w:val="auto"/>
          <w:szCs w:val="21"/>
          <w:highlight w:val="none"/>
        </w:rPr>
        <w:t>（4）如中标，本投标文件至本项目合同履行完毕止均保持有效，</w:t>
      </w:r>
      <w:r>
        <w:rPr>
          <w:rFonts w:hint="eastAsia"/>
          <w:color w:val="auto"/>
          <w:szCs w:val="21"/>
          <w:highlight w:val="none"/>
        </w:rPr>
        <w:t>我方</w:t>
      </w:r>
      <w:r>
        <w:rPr>
          <w:color w:val="auto"/>
          <w:szCs w:val="21"/>
          <w:highlight w:val="none"/>
        </w:rPr>
        <w:t>将按“招标文件”及政府采购法律、法规的规定履行合同责任和义务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3BD1D827">
      <w:pPr>
        <w:spacing w:line="360" w:lineRule="auto"/>
        <w:rPr>
          <w:color w:val="auto"/>
          <w:szCs w:val="21"/>
          <w:highlight w:val="none"/>
        </w:rPr>
      </w:pPr>
      <w:r>
        <w:rPr>
          <w:color w:val="auto"/>
          <w:szCs w:val="21"/>
          <w:highlight w:val="none"/>
        </w:rPr>
        <w:t>（5）</w:t>
      </w:r>
      <w:r>
        <w:rPr>
          <w:rFonts w:hint="eastAsia"/>
          <w:color w:val="auto"/>
          <w:szCs w:val="21"/>
          <w:highlight w:val="none"/>
        </w:rPr>
        <w:t>我方</w:t>
      </w:r>
      <w:r>
        <w:rPr>
          <w:color w:val="auto"/>
          <w:szCs w:val="21"/>
          <w:highlight w:val="none"/>
        </w:rPr>
        <w:t>同意按照贵方要求提供与投标有关的一切数据或资料。</w:t>
      </w:r>
    </w:p>
    <w:p w14:paraId="2575FF8A">
      <w:pPr>
        <w:spacing w:line="360" w:lineRule="auto"/>
        <w:rPr>
          <w:color w:val="auto"/>
          <w:szCs w:val="21"/>
          <w:highlight w:val="none"/>
        </w:rPr>
      </w:pPr>
      <w:r>
        <w:rPr>
          <w:color w:val="auto"/>
          <w:szCs w:val="21"/>
          <w:highlight w:val="none"/>
        </w:rPr>
        <w:t>（6）与本项目有关的一切正式往来信函请寄：</w:t>
      </w:r>
    </w:p>
    <w:p w14:paraId="671EFD53">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3506FE44">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30ABB598">
      <w:pPr>
        <w:spacing w:line="360" w:lineRule="auto"/>
        <w:rPr>
          <w:color w:val="auto"/>
          <w:szCs w:val="21"/>
          <w:highlight w:val="non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bookmarkEnd w:id="230"/>
    </w:p>
    <w:p w14:paraId="297D2561">
      <w:pPr>
        <w:spacing w:line="360" w:lineRule="auto"/>
        <w:rPr>
          <w:color w:val="auto"/>
          <w:szCs w:val="21"/>
          <w:highlight w:val="none"/>
        </w:rPr>
      </w:pPr>
    </w:p>
    <w:p w14:paraId="3F6F4C82">
      <w:pPr>
        <w:spacing w:line="360" w:lineRule="auto"/>
        <w:rPr>
          <w:color w:val="auto"/>
          <w:szCs w:val="21"/>
          <w:highlight w:val="none"/>
        </w:rPr>
      </w:pPr>
    </w:p>
    <w:p w14:paraId="3F61C779">
      <w:pPr>
        <w:spacing w:line="360" w:lineRule="auto"/>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r>
        <w:rPr>
          <w:color w:val="auto"/>
          <w:szCs w:val="21"/>
          <w:highlight w:val="none"/>
        </w:rPr>
        <w:t xml:space="preserve">        </w:t>
      </w:r>
    </w:p>
    <w:p w14:paraId="45312F46">
      <w:pPr>
        <w:spacing w:line="360" w:lineRule="auto"/>
        <w:rPr>
          <w:color w:val="auto"/>
          <w:szCs w:val="21"/>
          <w:highlight w:val="none"/>
        </w:rPr>
      </w:pPr>
    </w:p>
    <w:p w14:paraId="59621628">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69C549AF">
      <w:pPr>
        <w:rPr>
          <w:color w:val="auto"/>
          <w:highlight w:val="none"/>
        </w:rPr>
      </w:pPr>
      <w:r>
        <w:rPr>
          <w:b/>
          <w:color w:val="auto"/>
          <w:szCs w:val="21"/>
          <w:highlight w:val="none"/>
        </w:rPr>
        <w:br w:type="page" w:clear="all"/>
      </w:r>
      <w:r>
        <w:rPr>
          <w:color w:val="auto"/>
          <w:highlight w:val="none"/>
        </w:rPr>
        <w:t>2</w:t>
      </w:r>
      <w:r>
        <w:rPr>
          <w:rFonts w:hint="eastAsia"/>
          <w:color w:val="auto"/>
          <w:highlight w:val="none"/>
          <w:lang w:val="en-US" w:eastAsia="zh-CN"/>
        </w:rPr>
        <w:t>.1</w:t>
      </w:r>
      <w:r>
        <w:rPr>
          <w:color w:val="auto"/>
          <w:highlight w:val="none"/>
        </w:rPr>
        <w:t>投标报价明细表格式：</w:t>
      </w:r>
    </w:p>
    <w:p w14:paraId="1D2F8DCF">
      <w:pPr>
        <w:jc w:val="center"/>
        <w:rPr>
          <w:b/>
          <w:color w:val="auto"/>
          <w:szCs w:val="21"/>
          <w:highlight w:val="none"/>
        </w:rPr>
      </w:pPr>
      <w:r>
        <w:rPr>
          <w:b/>
          <w:color w:val="auto"/>
          <w:szCs w:val="21"/>
          <w:highlight w:val="none"/>
        </w:rPr>
        <w:t>投标报价明细表</w:t>
      </w:r>
    </w:p>
    <w:p w14:paraId="01052A5A">
      <w:pPr>
        <w:ind w:firstLine="2415"/>
        <w:rPr>
          <w:color w:val="auto"/>
          <w:szCs w:val="21"/>
          <w:highlight w:val="none"/>
        </w:rPr>
      </w:pPr>
      <w:r>
        <w:rPr>
          <w:color w:val="auto"/>
          <w:szCs w:val="21"/>
          <w:highlight w:val="none"/>
        </w:rPr>
        <w:t xml:space="preserve">                                    金额单位：人民币（元）</w:t>
      </w:r>
    </w:p>
    <w:tbl>
      <w:tblPr>
        <w:tblStyle w:val="56"/>
        <w:tblW w:w="93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470"/>
        <w:gridCol w:w="1230"/>
        <w:gridCol w:w="984"/>
        <w:gridCol w:w="1332"/>
        <w:gridCol w:w="1360"/>
        <w:gridCol w:w="1213"/>
        <w:gridCol w:w="1192"/>
      </w:tblGrid>
      <w:tr w14:paraId="6C754F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1C7CE1B4">
            <w:pPr>
              <w:jc w:val="center"/>
              <w:rPr>
                <w:color w:val="auto"/>
                <w:spacing w:val="20"/>
                <w:szCs w:val="21"/>
                <w:highlight w:val="none"/>
              </w:rPr>
            </w:pPr>
            <w:r>
              <w:rPr>
                <w:color w:val="auto"/>
                <w:szCs w:val="21"/>
                <w:highlight w:val="none"/>
              </w:rPr>
              <w:t>序号</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21D2D977">
            <w:pPr>
              <w:jc w:val="center"/>
              <w:rPr>
                <w:color w:val="auto"/>
                <w:szCs w:val="21"/>
                <w:highlight w:val="none"/>
              </w:rPr>
            </w:pPr>
            <w:r>
              <w:rPr>
                <w:color w:val="auto"/>
                <w:szCs w:val="21"/>
                <w:highlight w:val="none"/>
              </w:rPr>
              <w:t>产品名称</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5CB2A09">
            <w:pPr>
              <w:jc w:val="center"/>
              <w:rPr>
                <w:color w:val="auto"/>
                <w:szCs w:val="21"/>
                <w:highlight w:val="none"/>
              </w:rPr>
            </w:pPr>
            <w:r>
              <w:rPr>
                <w:color w:val="auto"/>
                <w:szCs w:val="21"/>
                <w:highlight w:val="none"/>
              </w:rPr>
              <w:t>制造商</w:t>
            </w:r>
          </w:p>
        </w:tc>
        <w:tc>
          <w:tcPr>
            <w:tcW w:w="984" w:type="dxa"/>
            <w:tcBorders>
              <w:top w:val="single" w:color="auto" w:sz="4" w:space="0"/>
              <w:left w:val="single" w:color="auto" w:sz="4" w:space="0"/>
              <w:bottom w:val="single" w:color="auto" w:sz="4" w:space="0"/>
              <w:right w:val="single" w:color="auto" w:sz="4" w:space="0"/>
            </w:tcBorders>
            <w:noWrap w:val="0"/>
            <w:vAlign w:val="center"/>
          </w:tcPr>
          <w:p w14:paraId="0AD7EA3C">
            <w:pPr>
              <w:jc w:val="center"/>
              <w:rPr>
                <w:color w:val="auto"/>
                <w:szCs w:val="21"/>
                <w:highlight w:val="none"/>
              </w:rPr>
            </w:pPr>
            <w:r>
              <w:rPr>
                <w:rFonts w:hint="eastAsia"/>
                <w:color w:val="auto"/>
                <w:szCs w:val="21"/>
                <w:highlight w:val="none"/>
              </w:rPr>
              <w:t>品牌</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2AEE3C70">
            <w:pPr>
              <w:jc w:val="center"/>
              <w:rPr>
                <w:color w:val="auto"/>
                <w:szCs w:val="21"/>
                <w:highlight w:val="none"/>
              </w:rPr>
            </w:pPr>
            <w:r>
              <w:rPr>
                <w:color w:val="auto"/>
                <w:szCs w:val="21"/>
                <w:highlight w:val="none"/>
              </w:rPr>
              <w:t>规格型号</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2480072A">
            <w:pPr>
              <w:jc w:val="center"/>
              <w:rPr>
                <w:color w:val="auto"/>
                <w:szCs w:val="21"/>
                <w:highlight w:val="none"/>
              </w:rPr>
            </w:pPr>
            <w:r>
              <w:rPr>
                <w:color w:val="auto"/>
                <w:szCs w:val="21"/>
                <w:highlight w:val="none"/>
              </w:rPr>
              <w:t>单位及数量</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1781085">
            <w:pPr>
              <w:jc w:val="center"/>
              <w:rPr>
                <w:color w:val="auto"/>
                <w:szCs w:val="21"/>
                <w:highlight w:val="none"/>
              </w:rPr>
            </w:pPr>
            <w:r>
              <w:rPr>
                <w:color w:val="auto"/>
                <w:szCs w:val="21"/>
                <w:highlight w:val="none"/>
              </w:rPr>
              <w:t>单价</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52D30C3F">
            <w:pPr>
              <w:jc w:val="center"/>
              <w:rPr>
                <w:color w:val="auto"/>
                <w:szCs w:val="21"/>
                <w:highlight w:val="none"/>
              </w:rPr>
            </w:pPr>
            <w:r>
              <w:rPr>
                <w:rFonts w:hint="eastAsia"/>
                <w:color w:val="auto"/>
                <w:szCs w:val="21"/>
                <w:highlight w:val="none"/>
              </w:rPr>
              <w:t>合计</w:t>
            </w:r>
          </w:p>
        </w:tc>
      </w:tr>
      <w:tr w14:paraId="676D9F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36196446">
            <w:pPr>
              <w:jc w:val="center"/>
              <w:rPr>
                <w:color w:val="auto"/>
                <w:spacing w:val="20"/>
                <w:szCs w:val="21"/>
                <w:highlight w:val="none"/>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0F76B9E">
            <w:pPr>
              <w:jc w:val="center"/>
              <w:rPr>
                <w:color w:val="auto"/>
                <w:spacing w:val="20"/>
                <w:szCs w:val="21"/>
                <w:highlight w:val="none"/>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814E108">
            <w:pPr>
              <w:jc w:val="center"/>
              <w:rPr>
                <w:color w:val="auto"/>
                <w:spacing w:val="20"/>
                <w:szCs w:val="21"/>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5E037512">
            <w:pPr>
              <w:jc w:val="center"/>
              <w:rPr>
                <w:color w:val="auto"/>
                <w:spacing w:val="20"/>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1AEBEC0E">
            <w:pPr>
              <w:jc w:val="center"/>
              <w:rPr>
                <w:color w:val="auto"/>
                <w:spacing w:val="20"/>
                <w:szCs w:val="21"/>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35C96C71">
            <w:pPr>
              <w:jc w:val="center"/>
              <w:rPr>
                <w:color w:val="auto"/>
                <w:spacing w:val="20"/>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53880B89">
            <w:pPr>
              <w:jc w:val="center"/>
              <w:rPr>
                <w:color w:val="auto"/>
                <w:spacing w:val="20"/>
                <w:szCs w:val="21"/>
                <w:highlight w:val="none"/>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12091676">
            <w:pPr>
              <w:jc w:val="center"/>
              <w:rPr>
                <w:color w:val="auto"/>
                <w:spacing w:val="20"/>
                <w:szCs w:val="21"/>
                <w:highlight w:val="none"/>
              </w:rPr>
            </w:pPr>
          </w:p>
        </w:tc>
      </w:tr>
      <w:tr w14:paraId="5785A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558AB62C">
            <w:pPr>
              <w:jc w:val="center"/>
              <w:rPr>
                <w:color w:val="auto"/>
                <w:spacing w:val="20"/>
                <w:szCs w:val="21"/>
                <w:highlight w:val="none"/>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CA6D98F">
            <w:pPr>
              <w:jc w:val="center"/>
              <w:rPr>
                <w:color w:val="auto"/>
                <w:spacing w:val="20"/>
                <w:szCs w:val="21"/>
                <w:highlight w:val="none"/>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F0246CE">
            <w:pPr>
              <w:jc w:val="center"/>
              <w:rPr>
                <w:color w:val="auto"/>
                <w:spacing w:val="20"/>
                <w:szCs w:val="21"/>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277F4D71">
            <w:pPr>
              <w:jc w:val="center"/>
              <w:rPr>
                <w:color w:val="auto"/>
                <w:spacing w:val="20"/>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75DBB820">
            <w:pPr>
              <w:jc w:val="center"/>
              <w:rPr>
                <w:color w:val="auto"/>
                <w:spacing w:val="20"/>
                <w:szCs w:val="21"/>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7748D9B2">
            <w:pPr>
              <w:jc w:val="center"/>
              <w:rPr>
                <w:color w:val="auto"/>
                <w:spacing w:val="20"/>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1636B59E">
            <w:pPr>
              <w:jc w:val="center"/>
              <w:rPr>
                <w:color w:val="auto"/>
                <w:spacing w:val="20"/>
                <w:szCs w:val="21"/>
                <w:highlight w:val="none"/>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00EC9608">
            <w:pPr>
              <w:jc w:val="center"/>
              <w:rPr>
                <w:color w:val="auto"/>
                <w:spacing w:val="20"/>
                <w:szCs w:val="21"/>
                <w:highlight w:val="none"/>
              </w:rPr>
            </w:pPr>
          </w:p>
        </w:tc>
      </w:tr>
      <w:tr w14:paraId="4F1EE9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7F3BBD84">
            <w:pPr>
              <w:jc w:val="center"/>
              <w:rPr>
                <w:color w:val="auto"/>
                <w:spacing w:val="20"/>
                <w:szCs w:val="21"/>
                <w:highlight w:val="none"/>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71E4D3E">
            <w:pPr>
              <w:jc w:val="center"/>
              <w:rPr>
                <w:color w:val="auto"/>
                <w:spacing w:val="20"/>
                <w:szCs w:val="21"/>
                <w:highlight w:val="none"/>
              </w:rPr>
            </w:pPr>
            <w:r>
              <w:rPr>
                <w:color w:val="auto"/>
                <w:spacing w:val="20"/>
                <w:szCs w:val="21"/>
                <w:highlight w:val="none"/>
              </w:rPr>
              <w:t>……</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B9292D8">
            <w:pPr>
              <w:jc w:val="center"/>
              <w:rPr>
                <w:color w:val="auto"/>
                <w:spacing w:val="20"/>
                <w:szCs w:val="21"/>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487D3AF6">
            <w:pPr>
              <w:jc w:val="center"/>
              <w:rPr>
                <w:color w:val="auto"/>
                <w:spacing w:val="20"/>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38D525EF">
            <w:pPr>
              <w:jc w:val="center"/>
              <w:rPr>
                <w:color w:val="auto"/>
                <w:spacing w:val="20"/>
                <w:szCs w:val="21"/>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5C579D8C">
            <w:pPr>
              <w:jc w:val="center"/>
              <w:rPr>
                <w:color w:val="auto"/>
                <w:spacing w:val="20"/>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280766BC">
            <w:pPr>
              <w:jc w:val="center"/>
              <w:rPr>
                <w:color w:val="auto"/>
                <w:spacing w:val="20"/>
                <w:szCs w:val="21"/>
                <w:highlight w:val="none"/>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73329B79">
            <w:pPr>
              <w:jc w:val="center"/>
              <w:rPr>
                <w:color w:val="auto"/>
                <w:spacing w:val="20"/>
                <w:szCs w:val="21"/>
                <w:highlight w:val="none"/>
              </w:rPr>
            </w:pPr>
          </w:p>
        </w:tc>
      </w:tr>
    </w:tbl>
    <w:p w14:paraId="65B3BD85">
      <w:pPr>
        <w:rPr>
          <w:color w:val="auto"/>
          <w:spacing w:val="20"/>
          <w:szCs w:val="21"/>
          <w:highlight w:val="none"/>
          <w:u w:val="single"/>
        </w:rPr>
      </w:pPr>
    </w:p>
    <w:p w14:paraId="2036432B">
      <w:pPr>
        <w:spacing w:line="360" w:lineRule="auto"/>
        <w:rPr>
          <w:color w:val="auto"/>
          <w:spacing w:val="20"/>
          <w:szCs w:val="21"/>
          <w:highlight w:val="none"/>
        </w:rPr>
      </w:pPr>
    </w:p>
    <w:p w14:paraId="6F4807F9">
      <w:pPr>
        <w:pStyle w:val="18"/>
        <w:rPr>
          <w:color w:val="auto"/>
          <w:highlight w:val="none"/>
        </w:rPr>
      </w:pPr>
      <w:bookmarkStart w:id="235" w:name="_Hlk88990717"/>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1BFBF41E">
      <w:pPr>
        <w:jc w:val="left"/>
        <w:rPr>
          <w:color w:val="auto"/>
          <w:szCs w:val="21"/>
          <w:highlight w:val="none"/>
        </w:rPr>
      </w:pPr>
    </w:p>
    <w:p w14:paraId="39EB4CCB">
      <w:pPr>
        <w:spacing w:line="360" w:lineRule="auto"/>
        <w:rPr>
          <w:color w:val="auto"/>
          <w:spacing w:val="20"/>
          <w:szCs w:val="21"/>
          <w:highlight w:val="none"/>
        </w:rPr>
      </w:pPr>
    </w:p>
    <w:p w14:paraId="0FB06EF0">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7BADF2C2">
      <w:pPr>
        <w:spacing w:line="360" w:lineRule="auto"/>
        <w:rPr>
          <w:color w:val="auto"/>
          <w:spacing w:val="20"/>
          <w:szCs w:val="21"/>
          <w:highlight w:val="none"/>
          <w:u w:val="single"/>
        </w:rPr>
      </w:pPr>
      <w:r>
        <w:rPr>
          <w:color w:val="auto"/>
          <w:szCs w:val="21"/>
          <w:highlight w:val="none"/>
        </w:rPr>
        <w:t>日  期</w:t>
      </w:r>
      <w:r>
        <w:rPr>
          <w:rFonts w:hint="eastAsia"/>
          <w:color w:val="auto"/>
          <w:szCs w:val="21"/>
          <w:highlight w:val="none"/>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bookmarkEnd w:id="235"/>
    </w:p>
    <w:p w14:paraId="64801580">
      <w:pPr>
        <w:spacing w:before="0" w:after="0"/>
        <w:jc w:val="left"/>
        <w:rPr>
          <w:color w:val="auto"/>
          <w:szCs w:val="21"/>
          <w:highlight w:val="none"/>
        </w:rPr>
      </w:pPr>
      <w:r>
        <w:rPr>
          <w:color w:val="auto"/>
          <w:szCs w:val="21"/>
          <w:highlight w:val="none"/>
        </w:rPr>
        <w:br w:type="page" w:clear="all"/>
      </w:r>
    </w:p>
    <w:p w14:paraId="54070D62">
      <w:pPr>
        <w:jc w:val="left"/>
        <w:rPr>
          <w:rFonts w:hint="default"/>
          <w:color w:val="auto"/>
          <w:szCs w:val="21"/>
          <w:highlight w:val="none"/>
          <w:lang w:val="en-US" w:eastAsia="zh-CN"/>
        </w:rPr>
      </w:pPr>
      <w:r>
        <w:rPr>
          <w:rFonts w:hint="eastAsia"/>
          <w:b/>
          <w:color w:val="auto"/>
          <w:szCs w:val="21"/>
          <w:highlight w:val="none"/>
          <w:lang w:val="en-US" w:eastAsia="zh-CN"/>
        </w:rPr>
        <w:t>2.2</w:t>
      </w:r>
      <w:r>
        <w:rPr>
          <w:rFonts w:hint="eastAsia" w:ascii="Times New Roman" w:eastAsia="宋体"/>
          <w:b/>
          <w:color w:val="auto"/>
          <w:szCs w:val="21"/>
          <w:highlight w:val="none"/>
          <w:lang w:val="en-US" w:eastAsia="zh-CN"/>
        </w:rPr>
        <w:t>产品成本明细表格式：</w:t>
      </w:r>
      <w:r>
        <w:rPr>
          <w:rFonts w:hint="eastAsia" w:ascii="Times New Roman" w:eastAsia="宋体"/>
          <w:color w:val="auto"/>
          <w:szCs w:val="21"/>
          <w:highlight w:val="none"/>
          <w:lang w:val="en-US" w:eastAsia="zh-CN"/>
        </w:rPr>
        <w:t>【备注：采购单一产品的项目，则不用提供】</w:t>
      </w:r>
    </w:p>
    <w:tbl>
      <w:tblPr>
        <w:tblStyle w:val="56"/>
        <w:tblW w:w="974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18"/>
        <w:gridCol w:w="1008"/>
        <w:gridCol w:w="1134"/>
        <w:gridCol w:w="709"/>
        <w:gridCol w:w="708"/>
        <w:gridCol w:w="851"/>
        <w:gridCol w:w="850"/>
        <w:gridCol w:w="1134"/>
        <w:gridCol w:w="1134"/>
        <w:gridCol w:w="1134"/>
        <w:gridCol w:w="567"/>
      </w:tblGrid>
      <w:tr w14:paraId="271FC6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1" w:hRule="atLeast"/>
          <w:jc w:val="center"/>
        </w:trPr>
        <w:tc>
          <w:tcPr>
            <w:tcW w:w="518" w:type="dxa"/>
            <w:shd w:val="clear" w:color="C3BD96" w:themeColor="background2" w:themeShade="BF" w:fill="auto"/>
            <w:noWrap w:val="0"/>
            <w:vAlign w:val="center"/>
          </w:tcPr>
          <w:p w14:paraId="3EF46C1E">
            <w:pPr>
              <w:ind w:left="-105" w:right="-105"/>
              <w:jc w:val="center"/>
              <w:rPr>
                <w:rFonts w:cs="宋体"/>
                <w:b/>
                <w:color w:val="auto"/>
                <w:highlight w:val="none"/>
              </w:rPr>
            </w:pPr>
            <w:r>
              <w:rPr>
                <w:rFonts w:hint="eastAsia" w:cs="仿宋_GB2312"/>
                <w:b/>
                <w:color w:val="auto"/>
                <w:szCs w:val="24"/>
                <w:highlight w:val="none"/>
              </w:rPr>
              <w:t>序号</w:t>
            </w:r>
          </w:p>
        </w:tc>
        <w:tc>
          <w:tcPr>
            <w:tcW w:w="1008" w:type="dxa"/>
            <w:shd w:val="clear" w:color="C3BD96" w:themeColor="background2" w:themeShade="BF" w:fill="auto"/>
            <w:noWrap w:val="0"/>
            <w:vAlign w:val="center"/>
          </w:tcPr>
          <w:p w14:paraId="793084F2">
            <w:pPr>
              <w:spacing w:line="360" w:lineRule="auto"/>
              <w:ind w:left="-48" w:right="-65"/>
              <w:jc w:val="center"/>
              <w:rPr>
                <w:rFonts w:cs="宋体"/>
                <w:b/>
                <w:color w:val="auto"/>
                <w:highlight w:val="none"/>
              </w:rPr>
            </w:pPr>
            <w:r>
              <w:rPr>
                <w:rFonts w:hint="eastAsia" w:cs="宋体"/>
                <w:b/>
                <w:color w:val="auto"/>
                <w:highlight w:val="none"/>
              </w:rPr>
              <w:t>名称</w:t>
            </w:r>
          </w:p>
        </w:tc>
        <w:tc>
          <w:tcPr>
            <w:tcW w:w="1134" w:type="dxa"/>
            <w:shd w:val="clear" w:color="C3BD96" w:themeColor="background2" w:themeShade="BF" w:fill="auto"/>
            <w:noWrap w:val="0"/>
            <w:vAlign w:val="center"/>
          </w:tcPr>
          <w:p w14:paraId="2E243474">
            <w:pPr>
              <w:spacing w:line="360" w:lineRule="auto"/>
              <w:ind w:left="-48" w:right="-65"/>
              <w:jc w:val="center"/>
              <w:rPr>
                <w:rFonts w:cs="宋体"/>
                <w:b/>
                <w:color w:val="auto"/>
                <w:highlight w:val="none"/>
              </w:rPr>
            </w:pPr>
            <w:r>
              <w:rPr>
                <w:rFonts w:hint="eastAsia"/>
                <w:b/>
                <w:color w:val="auto"/>
                <w:highlight w:val="none"/>
              </w:rPr>
              <w:t>品牌规格型号</w:t>
            </w:r>
          </w:p>
        </w:tc>
        <w:tc>
          <w:tcPr>
            <w:tcW w:w="709" w:type="dxa"/>
            <w:tcBorders>
              <w:right w:val="single" w:color="auto" w:sz="4" w:space="0"/>
            </w:tcBorders>
            <w:shd w:val="clear" w:color="C3BD96" w:themeColor="background2" w:themeShade="BF" w:fill="auto"/>
            <w:noWrap w:val="0"/>
            <w:vAlign w:val="center"/>
          </w:tcPr>
          <w:p w14:paraId="43FE7419">
            <w:pPr>
              <w:spacing w:line="360" w:lineRule="auto"/>
              <w:ind w:left="-48" w:right="-65"/>
              <w:jc w:val="center"/>
              <w:rPr>
                <w:rFonts w:cs="宋体"/>
                <w:b/>
                <w:color w:val="auto"/>
                <w:highlight w:val="none"/>
              </w:rPr>
            </w:pPr>
            <w:r>
              <w:rPr>
                <w:rFonts w:hint="eastAsia" w:cs="宋体"/>
                <w:b/>
                <w:color w:val="auto"/>
                <w:highlight w:val="none"/>
              </w:rPr>
              <w:t>数量</w:t>
            </w:r>
          </w:p>
        </w:tc>
        <w:tc>
          <w:tcPr>
            <w:tcW w:w="708" w:type="dxa"/>
            <w:tcBorders>
              <w:left w:val="single" w:color="auto" w:sz="4" w:space="0"/>
            </w:tcBorders>
            <w:shd w:val="clear" w:color="C3BD96" w:themeColor="background2" w:themeShade="BF" w:fill="auto"/>
            <w:noWrap w:val="0"/>
            <w:vAlign w:val="center"/>
          </w:tcPr>
          <w:p w14:paraId="04A4FD79">
            <w:pPr>
              <w:spacing w:line="360" w:lineRule="auto"/>
              <w:ind w:left="-48" w:right="-65"/>
              <w:jc w:val="center"/>
              <w:rPr>
                <w:rFonts w:cs="宋体"/>
                <w:b/>
                <w:color w:val="auto"/>
                <w:highlight w:val="none"/>
              </w:rPr>
            </w:pPr>
            <w:r>
              <w:rPr>
                <w:rFonts w:hint="eastAsia" w:cs="宋体"/>
                <w:b/>
                <w:color w:val="auto"/>
                <w:highlight w:val="none"/>
              </w:rPr>
              <w:t>单位</w:t>
            </w:r>
          </w:p>
        </w:tc>
        <w:tc>
          <w:tcPr>
            <w:tcW w:w="851" w:type="dxa"/>
            <w:tcBorders>
              <w:right w:val="single" w:color="auto" w:sz="4" w:space="0"/>
            </w:tcBorders>
            <w:shd w:val="clear" w:color="C3BD96" w:themeColor="background2" w:themeShade="BF" w:fill="auto"/>
            <w:noWrap w:val="0"/>
            <w:vAlign w:val="center"/>
          </w:tcPr>
          <w:p w14:paraId="12CFA976">
            <w:pPr>
              <w:spacing w:line="360" w:lineRule="auto"/>
              <w:ind w:left="-48" w:right="-65"/>
              <w:jc w:val="center"/>
              <w:rPr>
                <w:rFonts w:cs="宋体"/>
                <w:b/>
                <w:color w:val="auto"/>
                <w:highlight w:val="none"/>
              </w:rPr>
            </w:pPr>
            <w:r>
              <w:rPr>
                <w:rFonts w:hint="eastAsia" w:cs="宋体"/>
                <w:b/>
                <w:color w:val="auto"/>
                <w:highlight w:val="none"/>
              </w:rPr>
              <w:t>单价（</w:t>
            </w:r>
            <w:r>
              <w:rPr>
                <w:rFonts w:cs="宋体"/>
                <w:b/>
                <w:color w:val="auto"/>
                <w:highlight w:val="none"/>
              </w:rPr>
              <w:t>元）</w:t>
            </w:r>
          </w:p>
        </w:tc>
        <w:tc>
          <w:tcPr>
            <w:tcW w:w="850" w:type="dxa"/>
            <w:tcBorders>
              <w:right w:val="single" w:color="auto" w:sz="4" w:space="0"/>
            </w:tcBorders>
            <w:shd w:val="clear" w:color="C3BD96" w:themeColor="background2" w:themeShade="BF" w:fill="auto"/>
            <w:noWrap w:val="0"/>
          </w:tcPr>
          <w:p w14:paraId="21B1462F">
            <w:pPr>
              <w:spacing w:line="360" w:lineRule="auto"/>
              <w:ind w:left="-48" w:right="-65"/>
              <w:jc w:val="center"/>
              <w:rPr>
                <w:rFonts w:cs="宋体"/>
                <w:b/>
                <w:color w:val="auto"/>
                <w:highlight w:val="none"/>
              </w:rPr>
            </w:pPr>
            <w:r>
              <w:rPr>
                <w:rFonts w:hint="eastAsia" w:cs="宋体"/>
                <w:b/>
                <w:color w:val="auto"/>
                <w:highlight w:val="none"/>
              </w:rPr>
              <w:t>合计</w:t>
            </w:r>
            <w:r>
              <w:rPr>
                <w:rFonts w:cs="宋体"/>
                <w:b/>
                <w:color w:val="auto"/>
                <w:highlight w:val="none"/>
              </w:rPr>
              <w:t>（元）</w:t>
            </w:r>
          </w:p>
        </w:tc>
        <w:tc>
          <w:tcPr>
            <w:tcW w:w="1134" w:type="dxa"/>
            <w:tcBorders>
              <w:right w:val="single" w:color="auto" w:sz="4" w:space="0"/>
            </w:tcBorders>
            <w:shd w:val="clear" w:color="C3BD96" w:themeColor="background2" w:themeShade="BF" w:fill="auto"/>
            <w:noWrap w:val="0"/>
          </w:tcPr>
          <w:p w14:paraId="43237472">
            <w:pPr>
              <w:spacing w:line="360" w:lineRule="auto"/>
              <w:ind w:left="-48" w:right="-65"/>
              <w:jc w:val="center"/>
              <w:rPr>
                <w:rFonts w:cs="宋体"/>
                <w:b/>
                <w:color w:val="auto"/>
                <w:highlight w:val="none"/>
              </w:rPr>
            </w:pPr>
            <w:r>
              <w:rPr>
                <w:rFonts w:hint="eastAsia" w:cs="宋体"/>
                <w:b/>
                <w:color w:val="auto"/>
                <w:highlight w:val="none"/>
              </w:rPr>
              <w:t>成本单价（</w:t>
            </w:r>
            <w:r>
              <w:rPr>
                <w:rFonts w:cs="宋体"/>
                <w:b/>
                <w:color w:val="auto"/>
                <w:highlight w:val="none"/>
              </w:rPr>
              <w:t>元）</w:t>
            </w:r>
          </w:p>
        </w:tc>
        <w:tc>
          <w:tcPr>
            <w:tcW w:w="1134" w:type="dxa"/>
            <w:tcBorders>
              <w:left w:val="single" w:color="auto" w:sz="4" w:space="0"/>
            </w:tcBorders>
            <w:shd w:val="clear" w:color="C3BD96" w:themeColor="background2" w:themeShade="BF" w:fill="auto"/>
            <w:noWrap w:val="0"/>
            <w:vAlign w:val="center"/>
          </w:tcPr>
          <w:p w14:paraId="64A46E96">
            <w:pPr>
              <w:spacing w:line="360" w:lineRule="auto"/>
              <w:ind w:left="-48" w:right="-65"/>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1134" w:type="dxa"/>
            <w:tcBorders>
              <w:bottom w:val="single" w:color="auto" w:sz="4" w:space="0"/>
              <w:right w:val="single" w:color="auto" w:sz="4" w:space="0"/>
            </w:tcBorders>
            <w:shd w:val="clear" w:color="C3BD96" w:themeColor="background2" w:themeShade="BF" w:fill="auto"/>
            <w:noWrap w:val="0"/>
            <w:vAlign w:val="center"/>
          </w:tcPr>
          <w:p w14:paraId="6AB3282C">
            <w:pPr>
              <w:spacing w:line="360" w:lineRule="auto"/>
              <w:ind w:left="-23" w:right="-65"/>
              <w:jc w:val="center"/>
              <w:rPr>
                <w:rFonts w:cs="宋体"/>
                <w:b/>
                <w:color w:val="auto"/>
                <w:highlight w:val="none"/>
              </w:rPr>
            </w:pPr>
            <w:r>
              <w:rPr>
                <w:rFonts w:hint="eastAsia" w:cs="宋体"/>
                <w:b/>
                <w:color w:val="auto"/>
                <w:highlight w:val="none"/>
              </w:rPr>
              <w:t>符合本国</w:t>
            </w:r>
            <w:r>
              <w:rPr>
                <w:rFonts w:cs="宋体"/>
                <w:b/>
                <w:color w:val="auto"/>
                <w:highlight w:val="none"/>
              </w:rPr>
              <w:t>产品标准</w:t>
            </w:r>
          </w:p>
        </w:tc>
        <w:tc>
          <w:tcPr>
            <w:tcW w:w="567" w:type="dxa"/>
            <w:tcBorders>
              <w:right w:val="single" w:color="auto" w:sz="4" w:space="0"/>
            </w:tcBorders>
            <w:shd w:val="clear" w:color="C3BD96" w:themeColor="background2" w:themeShade="BF" w:fill="auto"/>
            <w:noWrap w:val="0"/>
            <w:vAlign w:val="center"/>
          </w:tcPr>
          <w:p w14:paraId="156AF824">
            <w:pPr>
              <w:spacing w:line="360" w:lineRule="auto"/>
              <w:ind w:left="-23" w:right="-65"/>
              <w:jc w:val="center"/>
              <w:rPr>
                <w:rFonts w:cs="宋体"/>
                <w:b/>
                <w:color w:val="auto"/>
                <w:highlight w:val="none"/>
              </w:rPr>
            </w:pPr>
            <w:r>
              <w:rPr>
                <w:rFonts w:hint="eastAsia" w:cs="宋体"/>
                <w:b/>
                <w:color w:val="auto"/>
                <w:highlight w:val="none"/>
              </w:rPr>
              <w:t>备注</w:t>
            </w:r>
          </w:p>
        </w:tc>
      </w:tr>
      <w:tr w14:paraId="467BC1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518" w:type="dxa"/>
            <w:shd w:val="clear" w:color="auto" w:fill="auto"/>
            <w:noWrap w:val="0"/>
            <w:vAlign w:val="center"/>
          </w:tcPr>
          <w:p w14:paraId="30AE3C4F">
            <w:pPr>
              <w:numPr>
                <w:ilvl w:val="0"/>
                <w:numId w:val="26"/>
              </w:numPr>
              <w:tabs>
                <w:tab w:val="left" w:pos="61"/>
              </w:tabs>
              <w:jc w:val="center"/>
              <w:rPr>
                <w:color w:val="auto"/>
                <w:highlight w:val="none"/>
              </w:rPr>
            </w:pPr>
          </w:p>
        </w:tc>
        <w:tc>
          <w:tcPr>
            <w:tcW w:w="1008" w:type="dxa"/>
            <w:shd w:val="clear" w:color="auto" w:fill="auto"/>
            <w:noWrap w:val="0"/>
            <w:vAlign w:val="center"/>
          </w:tcPr>
          <w:p w14:paraId="454F80B0">
            <w:pPr>
              <w:tabs>
                <w:tab w:val="left" w:pos="0"/>
                <w:tab w:val="left" w:pos="56"/>
              </w:tabs>
              <w:ind w:left="547" w:hanging="478"/>
              <w:jc w:val="center"/>
              <w:rPr>
                <w:color w:val="auto"/>
                <w:highlight w:val="none"/>
              </w:rPr>
            </w:pPr>
          </w:p>
        </w:tc>
        <w:tc>
          <w:tcPr>
            <w:tcW w:w="1134" w:type="dxa"/>
            <w:shd w:val="clear" w:color="auto" w:fill="auto"/>
            <w:noWrap w:val="0"/>
            <w:vAlign w:val="center"/>
          </w:tcPr>
          <w:p w14:paraId="771695E9">
            <w:pPr>
              <w:spacing w:line="240" w:lineRule="atLeast"/>
              <w:ind w:left="-48" w:right="-65"/>
              <w:jc w:val="left"/>
              <w:rPr>
                <w:rFonts w:cs="宋体"/>
                <w:color w:val="auto"/>
                <w:szCs w:val="24"/>
                <w:highlight w:val="none"/>
              </w:rPr>
            </w:pPr>
          </w:p>
        </w:tc>
        <w:tc>
          <w:tcPr>
            <w:tcW w:w="709" w:type="dxa"/>
            <w:tcBorders>
              <w:right w:val="single" w:color="auto" w:sz="4" w:space="0"/>
            </w:tcBorders>
            <w:shd w:val="clear" w:color="auto" w:fill="auto"/>
            <w:noWrap w:val="0"/>
            <w:vAlign w:val="center"/>
          </w:tcPr>
          <w:p w14:paraId="0BAA8088">
            <w:pPr>
              <w:spacing w:line="240" w:lineRule="atLeast"/>
              <w:ind w:left="-48" w:right="-376"/>
              <w:jc w:val="center"/>
              <w:rPr>
                <w:rFonts w:cs="宋体"/>
                <w:color w:val="auto"/>
                <w:szCs w:val="24"/>
                <w:highlight w:val="none"/>
              </w:rPr>
            </w:pPr>
          </w:p>
        </w:tc>
        <w:tc>
          <w:tcPr>
            <w:tcW w:w="708" w:type="dxa"/>
            <w:tcBorders>
              <w:left w:val="single" w:color="auto" w:sz="4" w:space="0"/>
            </w:tcBorders>
            <w:shd w:val="clear" w:color="auto" w:fill="auto"/>
            <w:noWrap w:val="0"/>
            <w:vAlign w:val="center"/>
          </w:tcPr>
          <w:p w14:paraId="1B272959">
            <w:pPr>
              <w:spacing w:line="240" w:lineRule="atLeast"/>
              <w:ind w:left="-48" w:right="-65"/>
              <w:jc w:val="left"/>
              <w:rPr>
                <w:rFonts w:cs="宋体"/>
                <w:color w:val="auto"/>
                <w:szCs w:val="24"/>
                <w:highlight w:val="none"/>
              </w:rPr>
            </w:pPr>
          </w:p>
        </w:tc>
        <w:tc>
          <w:tcPr>
            <w:tcW w:w="851" w:type="dxa"/>
            <w:tcBorders>
              <w:left w:val="single" w:color="auto" w:sz="4" w:space="0"/>
              <w:right w:val="single" w:color="auto" w:sz="4" w:space="0"/>
            </w:tcBorders>
            <w:shd w:val="clear" w:color="auto" w:fill="auto"/>
            <w:noWrap w:val="0"/>
            <w:vAlign w:val="center"/>
          </w:tcPr>
          <w:p w14:paraId="7CAFA397">
            <w:pPr>
              <w:spacing w:line="240" w:lineRule="atLeast"/>
              <w:ind w:left="-48" w:right="-65"/>
              <w:jc w:val="left"/>
              <w:rPr>
                <w:rFonts w:cs="宋体"/>
                <w:color w:val="auto"/>
                <w:szCs w:val="24"/>
                <w:highlight w:val="none"/>
              </w:rPr>
            </w:pPr>
          </w:p>
        </w:tc>
        <w:tc>
          <w:tcPr>
            <w:tcW w:w="850" w:type="dxa"/>
            <w:tcBorders>
              <w:left w:val="single" w:color="auto" w:sz="4" w:space="0"/>
              <w:right w:val="single" w:color="auto" w:sz="4" w:space="0"/>
            </w:tcBorders>
            <w:noWrap w:val="0"/>
          </w:tcPr>
          <w:p w14:paraId="3074672D">
            <w:pPr>
              <w:spacing w:line="240" w:lineRule="atLeast"/>
              <w:ind w:left="-48" w:right="-65"/>
              <w:jc w:val="left"/>
              <w:rPr>
                <w:rFonts w:cs="宋体"/>
                <w:color w:val="auto"/>
                <w:szCs w:val="24"/>
                <w:highlight w:val="none"/>
              </w:rPr>
            </w:pPr>
          </w:p>
        </w:tc>
        <w:tc>
          <w:tcPr>
            <w:tcW w:w="1134" w:type="dxa"/>
            <w:tcBorders>
              <w:left w:val="single" w:color="auto" w:sz="4" w:space="0"/>
              <w:right w:val="single" w:color="auto" w:sz="4" w:space="0"/>
            </w:tcBorders>
            <w:noWrap w:val="0"/>
          </w:tcPr>
          <w:p w14:paraId="6817440A">
            <w:pPr>
              <w:spacing w:line="240" w:lineRule="atLeast"/>
              <w:ind w:left="-48" w:right="-65"/>
              <w:jc w:val="left"/>
              <w:rPr>
                <w:rFonts w:cs="宋体"/>
                <w:color w:val="auto"/>
                <w:szCs w:val="24"/>
                <w:highlight w:val="none"/>
              </w:rPr>
            </w:pPr>
          </w:p>
        </w:tc>
        <w:tc>
          <w:tcPr>
            <w:tcW w:w="1134" w:type="dxa"/>
            <w:tcBorders>
              <w:left w:val="single" w:color="auto" w:sz="4" w:space="0"/>
            </w:tcBorders>
            <w:shd w:val="clear" w:color="auto" w:fill="auto"/>
            <w:noWrap w:val="0"/>
            <w:vAlign w:val="center"/>
          </w:tcPr>
          <w:p w14:paraId="52682A3D">
            <w:pPr>
              <w:spacing w:line="240" w:lineRule="atLeast"/>
              <w:ind w:left="-48" w:right="-65"/>
              <w:jc w:val="left"/>
              <w:rPr>
                <w:rFonts w:cs="宋体"/>
                <w:color w:val="auto"/>
                <w:szCs w:val="24"/>
                <w:highlight w:val="none"/>
              </w:rPr>
            </w:pPr>
          </w:p>
        </w:tc>
        <w:tc>
          <w:tcPr>
            <w:tcW w:w="1134" w:type="dxa"/>
            <w:tcBorders>
              <w:left w:val="single" w:color="auto" w:sz="4" w:space="0"/>
              <w:right w:val="single" w:color="auto" w:sz="4" w:space="0"/>
            </w:tcBorders>
            <w:shd w:val="clear" w:color="auto" w:fill="auto"/>
            <w:noWrap w:val="0"/>
            <w:vAlign w:val="center"/>
          </w:tcPr>
          <w:p w14:paraId="0F5D6728">
            <w:pPr>
              <w:spacing w:line="240" w:lineRule="atLeast"/>
              <w:ind w:left="-48" w:right="-65"/>
              <w:jc w:val="center"/>
              <w:rPr>
                <w:rFonts w:cs="宋体"/>
                <w:color w:val="auto"/>
                <w:szCs w:val="24"/>
                <w:highlight w:val="none"/>
              </w:rPr>
            </w:pPr>
            <w:r>
              <w:rPr>
                <w:rFonts w:hint="eastAsia" w:cs="宋体"/>
                <w:color w:val="auto"/>
                <w:szCs w:val="24"/>
                <w:highlight w:val="none"/>
              </w:rPr>
              <w:t>是/</w:t>
            </w:r>
            <w:r>
              <w:rPr>
                <w:rFonts w:cs="宋体"/>
                <w:color w:val="auto"/>
                <w:szCs w:val="24"/>
                <w:highlight w:val="none"/>
              </w:rPr>
              <w:t>否</w:t>
            </w:r>
          </w:p>
        </w:tc>
        <w:tc>
          <w:tcPr>
            <w:tcW w:w="567" w:type="dxa"/>
            <w:tcBorders>
              <w:right w:val="single" w:color="auto" w:sz="4" w:space="0"/>
            </w:tcBorders>
            <w:noWrap w:val="0"/>
          </w:tcPr>
          <w:p w14:paraId="6405DB12">
            <w:pPr>
              <w:spacing w:line="240" w:lineRule="atLeast"/>
              <w:ind w:left="-48" w:right="-65"/>
              <w:jc w:val="center"/>
              <w:rPr>
                <w:rFonts w:cs="宋体"/>
                <w:color w:val="auto"/>
                <w:szCs w:val="24"/>
                <w:highlight w:val="none"/>
              </w:rPr>
            </w:pPr>
          </w:p>
        </w:tc>
      </w:tr>
      <w:tr w14:paraId="58A060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6" w:hRule="atLeast"/>
          <w:jc w:val="center"/>
        </w:trPr>
        <w:tc>
          <w:tcPr>
            <w:tcW w:w="518" w:type="dxa"/>
            <w:shd w:val="clear" w:color="auto" w:fill="auto"/>
            <w:noWrap w:val="0"/>
            <w:vAlign w:val="center"/>
          </w:tcPr>
          <w:p w14:paraId="457E132D">
            <w:pPr>
              <w:numPr>
                <w:ilvl w:val="0"/>
                <w:numId w:val="26"/>
              </w:numPr>
              <w:tabs>
                <w:tab w:val="left" w:pos="61"/>
              </w:tabs>
              <w:jc w:val="center"/>
              <w:rPr>
                <w:color w:val="auto"/>
                <w:highlight w:val="none"/>
              </w:rPr>
            </w:pPr>
          </w:p>
        </w:tc>
        <w:tc>
          <w:tcPr>
            <w:tcW w:w="1008" w:type="dxa"/>
            <w:shd w:val="clear" w:color="auto" w:fill="auto"/>
            <w:noWrap w:val="0"/>
            <w:vAlign w:val="center"/>
          </w:tcPr>
          <w:p w14:paraId="3EEF82D4">
            <w:pPr>
              <w:tabs>
                <w:tab w:val="left" w:pos="0"/>
                <w:tab w:val="left" w:pos="56"/>
              </w:tabs>
              <w:jc w:val="center"/>
              <w:rPr>
                <w:color w:val="auto"/>
                <w:highlight w:val="none"/>
              </w:rPr>
            </w:pPr>
          </w:p>
        </w:tc>
        <w:tc>
          <w:tcPr>
            <w:tcW w:w="1134" w:type="dxa"/>
            <w:shd w:val="clear" w:color="auto" w:fill="auto"/>
            <w:noWrap w:val="0"/>
            <w:vAlign w:val="center"/>
          </w:tcPr>
          <w:p w14:paraId="79049847">
            <w:pPr>
              <w:spacing w:line="240" w:lineRule="atLeast"/>
              <w:ind w:left="-48" w:right="-65"/>
              <w:jc w:val="left"/>
              <w:rPr>
                <w:rFonts w:cs="宋体"/>
                <w:color w:val="auto"/>
                <w:szCs w:val="24"/>
                <w:highlight w:val="none"/>
              </w:rPr>
            </w:pPr>
          </w:p>
        </w:tc>
        <w:tc>
          <w:tcPr>
            <w:tcW w:w="709" w:type="dxa"/>
            <w:tcBorders>
              <w:right w:val="single" w:color="auto" w:sz="4" w:space="0"/>
            </w:tcBorders>
            <w:shd w:val="clear" w:color="auto" w:fill="auto"/>
            <w:noWrap w:val="0"/>
            <w:vAlign w:val="center"/>
          </w:tcPr>
          <w:p w14:paraId="7302FD40">
            <w:pPr>
              <w:spacing w:line="240" w:lineRule="atLeast"/>
              <w:ind w:left="-48" w:right="-65"/>
              <w:jc w:val="center"/>
              <w:rPr>
                <w:rFonts w:cs="宋体"/>
                <w:color w:val="auto"/>
                <w:szCs w:val="24"/>
                <w:highlight w:val="none"/>
              </w:rPr>
            </w:pPr>
          </w:p>
        </w:tc>
        <w:tc>
          <w:tcPr>
            <w:tcW w:w="708" w:type="dxa"/>
            <w:tcBorders>
              <w:left w:val="single" w:color="auto" w:sz="4" w:space="0"/>
            </w:tcBorders>
            <w:shd w:val="clear" w:color="auto" w:fill="auto"/>
            <w:noWrap w:val="0"/>
            <w:vAlign w:val="center"/>
          </w:tcPr>
          <w:p w14:paraId="5BDA3DA9">
            <w:pPr>
              <w:spacing w:line="240" w:lineRule="atLeast"/>
              <w:ind w:left="-48" w:right="-65"/>
              <w:jc w:val="left"/>
              <w:rPr>
                <w:rFonts w:cs="宋体"/>
                <w:color w:val="auto"/>
                <w:szCs w:val="24"/>
                <w:highlight w:val="none"/>
              </w:rPr>
            </w:pPr>
          </w:p>
        </w:tc>
        <w:tc>
          <w:tcPr>
            <w:tcW w:w="851" w:type="dxa"/>
            <w:tcBorders>
              <w:left w:val="single" w:color="auto" w:sz="4" w:space="0"/>
              <w:right w:val="single" w:color="auto" w:sz="4" w:space="0"/>
            </w:tcBorders>
            <w:shd w:val="clear" w:color="auto" w:fill="auto"/>
            <w:noWrap w:val="0"/>
            <w:vAlign w:val="center"/>
          </w:tcPr>
          <w:p w14:paraId="695FCC8B">
            <w:pPr>
              <w:spacing w:line="240" w:lineRule="atLeast"/>
              <w:ind w:left="-48" w:right="-65"/>
              <w:jc w:val="left"/>
              <w:rPr>
                <w:rFonts w:cs="宋体"/>
                <w:color w:val="auto"/>
                <w:szCs w:val="24"/>
                <w:highlight w:val="none"/>
              </w:rPr>
            </w:pPr>
          </w:p>
        </w:tc>
        <w:tc>
          <w:tcPr>
            <w:tcW w:w="850" w:type="dxa"/>
            <w:tcBorders>
              <w:left w:val="single" w:color="auto" w:sz="4" w:space="0"/>
              <w:right w:val="single" w:color="auto" w:sz="4" w:space="0"/>
            </w:tcBorders>
            <w:noWrap w:val="0"/>
          </w:tcPr>
          <w:p w14:paraId="2AB99B44">
            <w:pPr>
              <w:spacing w:line="240" w:lineRule="atLeast"/>
              <w:ind w:left="-48" w:right="-65"/>
              <w:jc w:val="left"/>
              <w:rPr>
                <w:rFonts w:cs="宋体"/>
                <w:color w:val="auto"/>
                <w:szCs w:val="24"/>
                <w:highlight w:val="none"/>
              </w:rPr>
            </w:pPr>
          </w:p>
        </w:tc>
        <w:tc>
          <w:tcPr>
            <w:tcW w:w="1134" w:type="dxa"/>
            <w:tcBorders>
              <w:left w:val="single" w:color="auto" w:sz="4" w:space="0"/>
              <w:right w:val="single" w:color="auto" w:sz="4" w:space="0"/>
            </w:tcBorders>
            <w:noWrap w:val="0"/>
          </w:tcPr>
          <w:p w14:paraId="65B222DE">
            <w:pPr>
              <w:spacing w:line="240" w:lineRule="atLeast"/>
              <w:ind w:left="-48" w:right="-65"/>
              <w:jc w:val="left"/>
              <w:rPr>
                <w:rFonts w:cs="宋体"/>
                <w:color w:val="auto"/>
                <w:szCs w:val="24"/>
                <w:highlight w:val="none"/>
              </w:rPr>
            </w:pPr>
          </w:p>
        </w:tc>
        <w:tc>
          <w:tcPr>
            <w:tcW w:w="1134" w:type="dxa"/>
            <w:tcBorders>
              <w:left w:val="single" w:color="auto" w:sz="4" w:space="0"/>
            </w:tcBorders>
            <w:shd w:val="clear" w:color="auto" w:fill="auto"/>
            <w:noWrap w:val="0"/>
            <w:vAlign w:val="center"/>
          </w:tcPr>
          <w:p w14:paraId="66AB24A2">
            <w:pPr>
              <w:spacing w:line="240" w:lineRule="atLeast"/>
              <w:ind w:left="-48" w:right="-65"/>
              <w:jc w:val="left"/>
              <w:rPr>
                <w:rFonts w:cs="宋体"/>
                <w:color w:val="auto"/>
                <w:szCs w:val="24"/>
                <w:highlight w:val="none"/>
              </w:rPr>
            </w:pPr>
          </w:p>
        </w:tc>
        <w:tc>
          <w:tcPr>
            <w:tcW w:w="1134" w:type="dxa"/>
            <w:tcBorders>
              <w:left w:val="single" w:color="auto" w:sz="4" w:space="0"/>
              <w:right w:val="single" w:color="auto" w:sz="4" w:space="0"/>
            </w:tcBorders>
            <w:shd w:val="clear" w:color="auto" w:fill="auto"/>
            <w:noWrap w:val="0"/>
            <w:vAlign w:val="center"/>
          </w:tcPr>
          <w:p w14:paraId="0EDCF8B9">
            <w:pPr>
              <w:spacing w:line="240" w:lineRule="atLeast"/>
              <w:ind w:left="-48" w:right="-65"/>
              <w:jc w:val="center"/>
              <w:rPr>
                <w:rFonts w:cs="宋体"/>
                <w:color w:val="auto"/>
                <w:szCs w:val="24"/>
                <w:highlight w:val="none"/>
              </w:rPr>
            </w:pPr>
          </w:p>
        </w:tc>
        <w:tc>
          <w:tcPr>
            <w:tcW w:w="567" w:type="dxa"/>
            <w:tcBorders>
              <w:right w:val="single" w:color="auto" w:sz="4" w:space="0"/>
            </w:tcBorders>
            <w:noWrap w:val="0"/>
          </w:tcPr>
          <w:p w14:paraId="32F8898E">
            <w:pPr>
              <w:spacing w:line="240" w:lineRule="atLeast"/>
              <w:ind w:left="-48" w:right="-65"/>
              <w:jc w:val="center"/>
              <w:rPr>
                <w:rFonts w:cs="宋体"/>
                <w:color w:val="auto"/>
                <w:szCs w:val="24"/>
                <w:highlight w:val="none"/>
              </w:rPr>
            </w:pPr>
          </w:p>
        </w:tc>
      </w:tr>
      <w:tr w14:paraId="12E4CE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518" w:type="dxa"/>
            <w:tcBorders>
              <w:bottom w:val="single" w:color="auto" w:sz="4" w:space="0"/>
            </w:tcBorders>
            <w:shd w:val="clear" w:color="auto" w:fill="auto"/>
            <w:noWrap w:val="0"/>
            <w:vAlign w:val="center"/>
          </w:tcPr>
          <w:p w14:paraId="7F5EFC13">
            <w:pPr>
              <w:tabs>
                <w:tab w:val="left" w:pos="82"/>
              </w:tabs>
              <w:jc w:val="center"/>
              <w:rPr>
                <w:color w:val="auto"/>
                <w:highlight w:val="none"/>
              </w:rPr>
            </w:pPr>
            <w:r>
              <w:rPr>
                <w:rFonts w:hint="eastAsia"/>
                <w:color w:val="auto"/>
                <w:highlight w:val="none"/>
              </w:rPr>
              <w:t>…</w:t>
            </w:r>
          </w:p>
        </w:tc>
        <w:tc>
          <w:tcPr>
            <w:tcW w:w="1008" w:type="dxa"/>
            <w:tcBorders>
              <w:bottom w:val="single" w:color="auto" w:sz="4" w:space="0"/>
            </w:tcBorders>
            <w:shd w:val="clear" w:color="auto" w:fill="auto"/>
            <w:noWrap w:val="0"/>
            <w:vAlign w:val="center"/>
          </w:tcPr>
          <w:p w14:paraId="0C0DDE5A">
            <w:pPr>
              <w:spacing w:line="240" w:lineRule="atLeast"/>
              <w:ind w:left="-48" w:right="-65"/>
              <w:jc w:val="left"/>
              <w:rPr>
                <w:rFonts w:cs="宋体"/>
                <w:color w:val="auto"/>
                <w:szCs w:val="24"/>
                <w:highlight w:val="none"/>
              </w:rPr>
            </w:pPr>
          </w:p>
        </w:tc>
        <w:tc>
          <w:tcPr>
            <w:tcW w:w="1134" w:type="dxa"/>
            <w:tcBorders>
              <w:bottom w:val="single" w:color="auto" w:sz="4" w:space="0"/>
            </w:tcBorders>
            <w:shd w:val="clear" w:color="auto" w:fill="auto"/>
            <w:noWrap w:val="0"/>
            <w:vAlign w:val="center"/>
          </w:tcPr>
          <w:p w14:paraId="4269E44B">
            <w:pPr>
              <w:spacing w:line="240" w:lineRule="atLeast"/>
              <w:ind w:left="-48" w:right="-65"/>
              <w:jc w:val="left"/>
              <w:rPr>
                <w:rFonts w:cs="宋体"/>
                <w:color w:val="auto"/>
                <w:szCs w:val="24"/>
                <w:highlight w:val="none"/>
              </w:rPr>
            </w:pPr>
          </w:p>
        </w:tc>
        <w:tc>
          <w:tcPr>
            <w:tcW w:w="709" w:type="dxa"/>
            <w:tcBorders>
              <w:bottom w:val="single" w:color="auto" w:sz="4" w:space="0"/>
              <w:right w:val="single" w:color="auto" w:sz="4" w:space="0"/>
            </w:tcBorders>
            <w:shd w:val="clear" w:color="auto" w:fill="auto"/>
            <w:noWrap w:val="0"/>
            <w:vAlign w:val="center"/>
          </w:tcPr>
          <w:p w14:paraId="2E56CD76">
            <w:pPr>
              <w:spacing w:line="240" w:lineRule="atLeast"/>
              <w:ind w:left="-48" w:right="-65"/>
              <w:jc w:val="center"/>
              <w:rPr>
                <w:rFonts w:cs="宋体"/>
                <w:color w:val="auto"/>
                <w:szCs w:val="24"/>
                <w:highlight w:val="none"/>
              </w:rPr>
            </w:pPr>
          </w:p>
        </w:tc>
        <w:tc>
          <w:tcPr>
            <w:tcW w:w="708" w:type="dxa"/>
            <w:tcBorders>
              <w:left w:val="single" w:color="auto" w:sz="4" w:space="0"/>
              <w:bottom w:val="single" w:color="auto" w:sz="4" w:space="0"/>
            </w:tcBorders>
            <w:shd w:val="clear" w:color="auto" w:fill="auto"/>
            <w:noWrap w:val="0"/>
            <w:vAlign w:val="center"/>
          </w:tcPr>
          <w:p w14:paraId="07538CBB">
            <w:pPr>
              <w:spacing w:line="240" w:lineRule="atLeast"/>
              <w:ind w:left="-48" w:right="-65"/>
              <w:jc w:val="left"/>
              <w:rPr>
                <w:rFonts w:cs="宋体"/>
                <w:color w:val="auto"/>
                <w:szCs w:val="24"/>
                <w:highlight w:val="none"/>
              </w:rPr>
            </w:pPr>
          </w:p>
        </w:tc>
        <w:tc>
          <w:tcPr>
            <w:tcW w:w="851" w:type="dxa"/>
            <w:tcBorders>
              <w:left w:val="single" w:color="auto" w:sz="4" w:space="0"/>
              <w:bottom w:val="single" w:color="auto" w:sz="4" w:space="0"/>
              <w:right w:val="single" w:color="auto" w:sz="4" w:space="0"/>
            </w:tcBorders>
            <w:shd w:val="clear" w:color="auto" w:fill="auto"/>
            <w:noWrap w:val="0"/>
            <w:vAlign w:val="center"/>
          </w:tcPr>
          <w:p w14:paraId="08B5D9A4">
            <w:pPr>
              <w:spacing w:line="240" w:lineRule="atLeast"/>
              <w:ind w:left="-48" w:right="-65"/>
              <w:jc w:val="left"/>
              <w:rPr>
                <w:rFonts w:cs="宋体"/>
                <w:color w:val="auto"/>
                <w:szCs w:val="24"/>
                <w:highlight w:val="none"/>
              </w:rPr>
            </w:pPr>
          </w:p>
        </w:tc>
        <w:tc>
          <w:tcPr>
            <w:tcW w:w="850" w:type="dxa"/>
            <w:tcBorders>
              <w:left w:val="single" w:color="auto" w:sz="4" w:space="0"/>
              <w:bottom w:val="single" w:color="auto" w:sz="4" w:space="0"/>
              <w:right w:val="single" w:color="auto" w:sz="4" w:space="0"/>
            </w:tcBorders>
            <w:noWrap w:val="0"/>
          </w:tcPr>
          <w:p w14:paraId="14BCBCF2">
            <w:pPr>
              <w:spacing w:line="240" w:lineRule="atLeast"/>
              <w:ind w:left="-48" w:right="-65"/>
              <w:jc w:val="left"/>
              <w:rPr>
                <w:rFonts w:cs="宋体"/>
                <w:color w:val="auto"/>
                <w:szCs w:val="24"/>
                <w:highlight w:val="none"/>
              </w:rPr>
            </w:pPr>
          </w:p>
        </w:tc>
        <w:tc>
          <w:tcPr>
            <w:tcW w:w="1134" w:type="dxa"/>
            <w:tcBorders>
              <w:left w:val="single" w:color="auto" w:sz="4" w:space="0"/>
              <w:bottom w:val="single" w:color="auto" w:sz="4" w:space="0"/>
              <w:right w:val="single" w:color="auto" w:sz="4" w:space="0"/>
            </w:tcBorders>
            <w:noWrap w:val="0"/>
          </w:tcPr>
          <w:p w14:paraId="7B44EF62">
            <w:pPr>
              <w:spacing w:line="240" w:lineRule="atLeast"/>
              <w:ind w:left="-48" w:right="-65"/>
              <w:jc w:val="left"/>
              <w:rPr>
                <w:rFonts w:cs="宋体"/>
                <w:color w:val="auto"/>
                <w:szCs w:val="24"/>
                <w:highlight w:val="none"/>
              </w:rPr>
            </w:pPr>
          </w:p>
        </w:tc>
        <w:tc>
          <w:tcPr>
            <w:tcW w:w="1134" w:type="dxa"/>
            <w:tcBorders>
              <w:left w:val="single" w:color="auto" w:sz="4" w:space="0"/>
              <w:bottom w:val="single" w:color="auto" w:sz="4" w:space="0"/>
            </w:tcBorders>
            <w:shd w:val="clear" w:color="auto" w:fill="auto"/>
            <w:noWrap w:val="0"/>
            <w:vAlign w:val="center"/>
          </w:tcPr>
          <w:p w14:paraId="5A0A01D0">
            <w:pPr>
              <w:spacing w:line="240" w:lineRule="atLeast"/>
              <w:ind w:left="-48" w:right="-65"/>
              <w:jc w:val="left"/>
              <w:rPr>
                <w:rFonts w:cs="宋体"/>
                <w:color w:val="auto"/>
                <w:szCs w:val="24"/>
                <w:highlight w:val="none"/>
              </w:rPr>
            </w:pPr>
          </w:p>
        </w:tc>
        <w:tc>
          <w:tcPr>
            <w:tcW w:w="1134" w:type="dxa"/>
            <w:tcBorders>
              <w:left w:val="single" w:color="auto" w:sz="4" w:space="0"/>
              <w:bottom w:val="single" w:color="auto" w:sz="4" w:space="0"/>
              <w:right w:val="single" w:color="auto" w:sz="4" w:space="0"/>
            </w:tcBorders>
            <w:shd w:val="clear" w:color="auto" w:fill="auto"/>
            <w:noWrap w:val="0"/>
            <w:vAlign w:val="center"/>
          </w:tcPr>
          <w:p w14:paraId="6103488F">
            <w:pPr>
              <w:spacing w:line="240" w:lineRule="atLeast"/>
              <w:ind w:left="-48" w:right="-65"/>
              <w:jc w:val="center"/>
              <w:rPr>
                <w:rFonts w:cs="宋体"/>
                <w:color w:val="auto"/>
                <w:szCs w:val="24"/>
                <w:highlight w:val="none"/>
              </w:rPr>
            </w:pPr>
          </w:p>
        </w:tc>
        <w:tc>
          <w:tcPr>
            <w:tcW w:w="567" w:type="dxa"/>
            <w:tcBorders>
              <w:right w:val="single" w:color="auto" w:sz="4" w:space="0"/>
            </w:tcBorders>
            <w:noWrap w:val="0"/>
          </w:tcPr>
          <w:p w14:paraId="47781026">
            <w:pPr>
              <w:spacing w:line="240" w:lineRule="atLeast"/>
              <w:ind w:left="-48" w:right="-65"/>
              <w:jc w:val="center"/>
              <w:rPr>
                <w:rFonts w:cs="宋体"/>
                <w:color w:val="auto"/>
                <w:szCs w:val="24"/>
                <w:highlight w:val="none"/>
              </w:rPr>
            </w:pPr>
          </w:p>
        </w:tc>
      </w:tr>
      <w:tr w14:paraId="1D1F6B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4" w:hRule="atLeast"/>
          <w:jc w:val="center"/>
        </w:trPr>
        <w:tc>
          <w:tcPr>
            <w:tcW w:w="8046" w:type="dxa"/>
            <w:gridSpan w:val="9"/>
            <w:tcBorders>
              <w:top w:val="single" w:color="auto" w:sz="4" w:space="0"/>
              <w:right w:val="single" w:color="auto" w:sz="4" w:space="0"/>
            </w:tcBorders>
            <w:noWrap w:val="0"/>
            <w:vAlign w:val="center"/>
          </w:tcPr>
          <w:p w14:paraId="7CAB02B5">
            <w:pPr>
              <w:spacing w:line="240" w:lineRule="atLeast"/>
              <w:ind w:right="-65"/>
              <w:jc w:val="center"/>
              <w:rPr>
                <w:rFonts w:cs="宋体"/>
                <w:b/>
                <w:color w:val="auto"/>
                <w:szCs w:val="24"/>
                <w:highlight w:val="none"/>
              </w:rPr>
            </w:pPr>
            <w:r>
              <w:rPr>
                <w:rFonts w:hint="eastAsia" w:cs="宋体"/>
                <w:b/>
                <w:color w:val="auto"/>
                <w:szCs w:val="24"/>
                <w:highlight w:val="none"/>
              </w:rPr>
              <w:t>符合本国产品标准的货物成本之和</w:t>
            </w:r>
          </w:p>
        </w:tc>
        <w:tc>
          <w:tcPr>
            <w:tcW w:w="1701" w:type="dxa"/>
            <w:gridSpan w:val="2"/>
            <w:tcBorders>
              <w:top w:val="single" w:color="auto" w:sz="4" w:space="0"/>
              <w:right w:val="single" w:color="auto" w:sz="4" w:space="0"/>
            </w:tcBorders>
            <w:shd w:val="clear" w:color="auto" w:fill="auto"/>
            <w:noWrap w:val="0"/>
            <w:vAlign w:val="center"/>
          </w:tcPr>
          <w:p w14:paraId="35962989">
            <w:pPr>
              <w:spacing w:line="240" w:lineRule="atLeast"/>
              <w:ind w:right="-65"/>
              <w:jc w:val="left"/>
              <w:rPr>
                <w:rFonts w:cs="宋体"/>
                <w:color w:val="auto"/>
                <w:szCs w:val="24"/>
                <w:highlight w:val="none"/>
              </w:rPr>
            </w:pPr>
          </w:p>
        </w:tc>
      </w:tr>
      <w:tr w14:paraId="059610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8046" w:type="dxa"/>
            <w:gridSpan w:val="9"/>
            <w:tcBorders>
              <w:right w:val="single" w:color="auto" w:sz="4" w:space="0"/>
            </w:tcBorders>
            <w:noWrap w:val="0"/>
            <w:vAlign w:val="center"/>
          </w:tcPr>
          <w:p w14:paraId="0C74DCED">
            <w:pPr>
              <w:spacing w:line="240" w:lineRule="atLeast"/>
              <w:ind w:right="-65"/>
              <w:jc w:val="center"/>
              <w:rPr>
                <w:rFonts w:cs="宋体"/>
                <w:color w:val="auto"/>
                <w:szCs w:val="24"/>
                <w:highlight w:val="none"/>
              </w:rPr>
            </w:pPr>
            <w:r>
              <w:rPr>
                <w:rFonts w:cs="宋体"/>
                <w:b/>
                <w:color w:val="auto"/>
                <w:szCs w:val="24"/>
                <w:highlight w:val="none"/>
              </w:rPr>
              <w:t>全部货物</w:t>
            </w:r>
            <w:r>
              <w:rPr>
                <w:rFonts w:hint="eastAsia" w:cs="宋体"/>
                <w:b/>
                <w:color w:val="auto"/>
                <w:szCs w:val="24"/>
                <w:highlight w:val="none"/>
              </w:rPr>
              <w:t>成本之和</w:t>
            </w:r>
          </w:p>
        </w:tc>
        <w:tc>
          <w:tcPr>
            <w:tcW w:w="1701" w:type="dxa"/>
            <w:gridSpan w:val="2"/>
            <w:tcBorders>
              <w:right w:val="single" w:color="auto" w:sz="4" w:space="0"/>
            </w:tcBorders>
            <w:shd w:val="clear" w:color="auto" w:fill="auto"/>
            <w:noWrap w:val="0"/>
            <w:vAlign w:val="center"/>
          </w:tcPr>
          <w:p w14:paraId="158886EE">
            <w:pPr>
              <w:spacing w:line="240" w:lineRule="atLeast"/>
              <w:ind w:right="-65"/>
              <w:jc w:val="left"/>
              <w:rPr>
                <w:rFonts w:cs="宋体"/>
                <w:color w:val="auto"/>
                <w:szCs w:val="24"/>
                <w:highlight w:val="none"/>
              </w:rPr>
            </w:pPr>
          </w:p>
        </w:tc>
      </w:tr>
      <w:tr w14:paraId="5BD562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2" w:hRule="atLeast"/>
          <w:jc w:val="center"/>
        </w:trPr>
        <w:tc>
          <w:tcPr>
            <w:tcW w:w="8046" w:type="dxa"/>
            <w:gridSpan w:val="9"/>
            <w:tcBorders>
              <w:right w:val="single" w:color="auto" w:sz="4" w:space="0"/>
            </w:tcBorders>
            <w:noWrap w:val="0"/>
            <w:vAlign w:val="center"/>
          </w:tcPr>
          <w:p w14:paraId="7B0A2F03">
            <w:pPr>
              <w:spacing w:line="240" w:lineRule="atLeast"/>
              <w:ind w:right="-65"/>
              <w:jc w:val="center"/>
              <w:rPr>
                <w:rFonts w:cs="宋体"/>
                <w:b/>
                <w:color w:val="auto"/>
                <w:szCs w:val="24"/>
                <w:highlight w:val="none"/>
              </w:rPr>
            </w:pPr>
            <w:r>
              <w:rPr>
                <w:rFonts w:hint="eastAsia" w:cs="宋体"/>
                <w:b/>
                <w:color w:val="auto"/>
                <w:szCs w:val="24"/>
                <w:highlight w:val="none"/>
              </w:rPr>
              <w:t>符合本国产品标准的货物成本之和占</w:t>
            </w:r>
            <w:r>
              <w:rPr>
                <w:rFonts w:cs="宋体"/>
                <w:b/>
                <w:color w:val="auto"/>
                <w:szCs w:val="24"/>
                <w:highlight w:val="none"/>
              </w:rPr>
              <w:t>全部货物</w:t>
            </w:r>
            <w:r>
              <w:rPr>
                <w:rFonts w:hint="eastAsia" w:cs="宋体"/>
                <w:b/>
                <w:color w:val="auto"/>
                <w:szCs w:val="24"/>
                <w:highlight w:val="none"/>
              </w:rPr>
              <w:t>成本之和</w:t>
            </w:r>
            <w:r>
              <w:rPr>
                <w:rFonts w:cs="宋体"/>
                <w:b/>
                <w:color w:val="auto"/>
                <w:szCs w:val="24"/>
                <w:highlight w:val="none"/>
              </w:rPr>
              <w:t>的比例</w:t>
            </w:r>
          </w:p>
        </w:tc>
        <w:tc>
          <w:tcPr>
            <w:tcW w:w="1701" w:type="dxa"/>
            <w:gridSpan w:val="2"/>
            <w:tcBorders>
              <w:right w:val="single" w:color="auto" w:sz="4" w:space="0"/>
            </w:tcBorders>
            <w:shd w:val="clear" w:color="auto" w:fill="auto"/>
            <w:noWrap w:val="0"/>
            <w:vAlign w:val="center"/>
          </w:tcPr>
          <w:p w14:paraId="0495F0D2">
            <w:pPr>
              <w:spacing w:line="240" w:lineRule="atLeast"/>
              <w:ind w:right="-65"/>
              <w:jc w:val="left"/>
              <w:rPr>
                <w:rFonts w:cs="宋体"/>
                <w:color w:val="auto"/>
                <w:szCs w:val="24"/>
                <w:highlight w:val="none"/>
              </w:rPr>
            </w:pPr>
          </w:p>
        </w:tc>
      </w:tr>
      <w:tr w14:paraId="4B51D9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8" w:hRule="atLeast"/>
          <w:jc w:val="center"/>
        </w:trPr>
        <w:tc>
          <w:tcPr>
            <w:tcW w:w="8046" w:type="dxa"/>
            <w:gridSpan w:val="9"/>
            <w:tcBorders>
              <w:right w:val="single" w:color="auto" w:sz="4" w:space="0"/>
            </w:tcBorders>
            <w:noWrap w:val="0"/>
            <w:vAlign w:val="center"/>
          </w:tcPr>
          <w:p w14:paraId="3BB32220">
            <w:pPr>
              <w:spacing w:line="240" w:lineRule="atLeast"/>
              <w:ind w:right="-65"/>
              <w:jc w:val="center"/>
              <w:rPr>
                <w:rFonts w:cs="宋体"/>
                <w:b/>
                <w:color w:val="auto"/>
                <w:szCs w:val="24"/>
                <w:highlight w:val="none"/>
              </w:rPr>
            </w:pPr>
            <w:r>
              <w:rPr>
                <w:rFonts w:cs="宋体"/>
                <w:b/>
                <w:color w:val="auto"/>
                <w:szCs w:val="24"/>
                <w:highlight w:val="none"/>
              </w:rPr>
              <w:t>全部货物</w:t>
            </w:r>
            <w:r>
              <w:rPr>
                <w:rFonts w:hint="eastAsia" w:cs="宋体"/>
                <w:b/>
                <w:color w:val="auto"/>
                <w:szCs w:val="24"/>
                <w:highlight w:val="none"/>
              </w:rPr>
              <w:t>报价合计</w:t>
            </w:r>
          </w:p>
        </w:tc>
        <w:tc>
          <w:tcPr>
            <w:tcW w:w="1701" w:type="dxa"/>
            <w:gridSpan w:val="2"/>
            <w:tcBorders>
              <w:right w:val="single" w:color="auto" w:sz="4" w:space="0"/>
            </w:tcBorders>
            <w:shd w:val="clear" w:color="auto" w:fill="auto"/>
            <w:noWrap w:val="0"/>
            <w:vAlign w:val="center"/>
          </w:tcPr>
          <w:p w14:paraId="788CC384">
            <w:pPr>
              <w:spacing w:line="240" w:lineRule="atLeast"/>
              <w:ind w:right="-65"/>
              <w:jc w:val="left"/>
              <w:rPr>
                <w:rFonts w:cs="宋体"/>
                <w:color w:val="auto"/>
                <w:szCs w:val="24"/>
                <w:highlight w:val="none"/>
              </w:rPr>
            </w:pPr>
          </w:p>
        </w:tc>
      </w:tr>
    </w:tbl>
    <w:p w14:paraId="18305753">
      <w:pPr>
        <w:spacing w:line="360" w:lineRule="auto"/>
        <w:ind w:left="1091" w:right="-1" w:hanging="955"/>
        <w:jc w:val="left"/>
        <w:rPr>
          <w:rFonts w:hint="eastAsia"/>
          <w:b/>
          <w:color w:val="auto"/>
          <w:highlight w:val="none"/>
        </w:rPr>
      </w:pPr>
    </w:p>
    <w:p w14:paraId="33DD8DA3">
      <w:pPr>
        <w:spacing w:line="360" w:lineRule="auto"/>
        <w:ind w:left="1091" w:right="-1" w:hanging="955"/>
        <w:jc w:val="left"/>
        <w:rPr>
          <w:color w:val="auto"/>
          <w:highlight w:val="none"/>
        </w:rPr>
      </w:pPr>
      <w:r>
        <w:rPr>
          <w:rFonts w:hint="eastAsia"/>
          <w:b/>
          <w:color w:val="auto"/>
          <w:highlight w:val="none"/>
        </w:rPr>
        <w:t>说明：</w:t>
      </w:r>
      <w:r>
        <w:rPr>
          <w:rFonts w:hint="eastAsia"/>
          <w:color w:val="auto"/>
          <w:highlight w:val="none"/>
        </w:rPr>
        <w:t>1、明细表</w:t>
      </w:r>
      <w:r>
        <w:rPr>
          <w:color w:val="auto"/>
          <w:highlight w:val="none"/>
        </w:rPr>
        <w:t>中的</w:t>
      </w:r>
      <w:r>
        <w:rPr>
          <w:rFonts w:hint="eastAsia"/>
          <w:color w:val="auto"/>
          <w:highlight w:val="none"/>
        </w:rPr>
        <w:t>单价</w:t>
      </w:r>
      <w:r>
        <w:rPr>
          <w:color w:val="auto"/>
          <w:highlight w:val="none"/>
        </w:rPr>
        <w:t>、</w:t>
      </w:r>
      <w:r>
        <w:rPr>
          <w:rFonts w:hint="eastAsia"/>
          <w:color w:val="auto"/>
          <w:highlight w:val="none"/>
        </w:rPr>
        <w:t>合计</w:t>
      </w:r>
      <w:r>
        <w:rPr>
          <w:color w:val="auto"/>
          <w:highlight w:val="none"/>
        </w:rPr>
        <w:t>、</w:t>
      </w:r>
      <w:r>
        <w:rPr>
          <w:rFonts w:hint="eastAsia"/>
          <w:color w:val="auto"/>
          <w:highlight w:val="none"/>
        </w:rPr>
        <w:t>货物报价金额合计应当与《开标一览表》中相应的投标报价一致；“符合本国产品标准”栏填“</w:t>
      </w:r>
      <w:r>
        <w:rPr>
          <w:color w:val="auto"/>
          <w:highlight w:val="none"/>
        </w:rPr>
        <w:t>是或否</w:t>
      </w:r>
      <w:r>
        <w:rPr>
          <w:rFonts w:hint="eastAsia"/>
          <w:color w:val="auto"/>
          <w:highlight w:val="none"/>
        </w:rPr>
        <w:t>”</w:t>
      </w:r>
      <w:r>
        <w:rPr>
          <w:color w:val="auto"/>
          <w:highlight w:val="none"/>
        </w:rPr>
        <w:t>；</w:t>
      </w:r>
    </w:p>
    <w:p w14:paraId="14CB22B5">
      <w:pPr>
        <w:spacing w:line="360" w:lineRule="auto"/>
        <w:ind w:left="970" w:right="-1" w:hanging="342"/>
        <w:jc w:val="left"/>
        <w:rPr>
          <w:b/>
          <w:bCs/>
          <w:color w:val="auto"/>
          <w:highlight w:val="none"/>
        </w:rPr>
      </w:pPr>
      <w:r>
        <w:rPr>
          <w:b/>
          <w:bCs/>
          <w:color w:val="auto"/>
          <w:highlight w:val="none"/>
        </w:rPr>
        <w:t>2</w:t>
      </w:r>
      <w:r>
        <w:rPr>
          <w:rFonts w:hint="eastAsia"/>
          <w:b/>
          <w:bCs/>
          <w:color w:val="auto"/>
          <w:highlight w:val="none"/>
        </w:rPr>
        <w:t>、符合本国产品标准的产品成本之和占该全部产品成本之和的比例达到80%以上时，对全部产品的总报价给予20%的价格扣除，用扣除后的价格参与评审；</w:t>
      </w:r>
    </w:p>
    <w:p w14:paraId="22BA0C34">
      <w:pPr>
        <w:spacing w:line="360" w:lineRule="auto"/>
        <w:ind w:left="968" w:right="-1" w:hanging="340"/>
        <w:jc w:val="left"/>
        <w:rPr>
          <w:color w:val="auto"/>
          <w:highlight w:val="none"/>
        </w:rPr>
      </w:pPr>
      <w:r>
        <w:rPr>
          <w:color w:val="auto"/>
          <w:highlight w:val="none"/>
        </w:rPr>
        <w:t>3</w:t>
      </w:r>
      <w:r>
        <w:rPr>
          <w:rFonts w:hint="eastAsia"/>
          <w:color w:val="auto"/>
          <w:highlight w:val="none"/>
        </w:rPr>
        <w:t>、未按</w:t>
      </w:r>
      <w:r>
        <w:rPr>
          <w:color w:val="auto"/>
          <w:highlight w:val="none"/>
        </w:rPr>
        <w:t>要求</w:t>
      </w:r>
      <w:r>
        <w:rPr>
          <w:rFonts w:hint="eastAsia"/>
          <w:color w:val="auto"/>
          <w:highlight w:val="none"/>
        </w:rPr>
        <w:t>提供产品成本明细表的</w:t>
      </w:r>
      <w:r>
        <w:rPr>
          <w:rFonts w:hint="eastAsia" w:cs="Corbel"/>
          <w:color w:val="auto"/>
          <w:highlight w:val="none"/>
        </w:rPr>
        <w:t>，</w:t>
      </w:r>
      <w:r>
        <w:rPr>
          <w:rFonts w:hint="eastAsia"/>
          <w:color w:val="auto"/>
          <w:highlight w:val="none"/>
        </w:rPr>
        <w:t>导致的后果由投标人自行承担。</w:t>
      </w:r>
    </w:p>
    <w:p w14:paraId="6E0A8F64">
      <w:pPr>
        <w:spacing w:line="360" w:lineRule="auto"/>
        <w:jc w:val="left"/>
        <w:rPr>
          <w:color w:val="auto"/>
          <w:szCs w:val="21"/>
          <w:highlight w:val="none"/>
        </w:rPr>
      </w:pPr>
    </w:p>
    <w:p w14:paraId="6B789463">
      <w:pPr>
        <w:spacing w:line="360" w:lineRule="auto"/>
        <w:jc w:val="left"/>
        <w:rPr>
          <w:color w:val="auto"/>
          <w:szCs w:val="21"/>
          <w:highlight w:val="none"/>
        </w:rPr>
      </w:pPr>
    </w:p>
    <w:p w14:paraId="38D7D464">
      <w:pPr>
        <w:spacing w:line="360" w:lineRule="auto"/>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2D0E7AD0">
      <w:pPr>
        <w:spacing w:line="360" w:lineRule="auto"/>
        <w:jc w:val="left"/>
        <w:rPr>
          <w:color w:val="auto"/>
          <w:szCs w:val="21"/>
          <w:highlight w:val="none"/>
        </w:rPr>
        <w:sectPr>
          <w:pgSz w:w="11906" w:h="16838"/>
          <w:pgMar w:top="1418" w:right="1133" w:bottom="1246" w:left="1418" w:header="851" w:footer="992" w:gutter="0"/>
          <w:cols w:space="720" w:num="1"/>
        </w:sectPr>
      </w:pPr>
      <w:r>
        <w:rPr>
          <w:color w:val="auto"/>
          <w:szCs w:val="21"/>
          <w:highlight w:val="none"/>
        </w:rPr>
        <w:t>日  期</w:t>
      </w:r>
      <w:r>
        <w:rPr>
          <w:rFonts w:hint="eastAsia"/>
          <w:color w:val="auto"/>
          <w:szCs w:val="21"/>
          <w:highlight w:val="none"/>
          <w:lang w:eastAsia="zh-CN"/>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6E393BEB">
      <w:pPr>
        <w:spacing w:before="50" w:after="120"/>
        <w:jc w:val="left"/>
        <w:rPr>
          <w:color w:val="auto"/>
          <w:szCs w:val="21"/>
          <w:highlight w:val="none"/>
        </w:rPr>
      </w:pPr>
      <w:bookmarkStart w:id="236" w:name="_Hlk19115862"/>
      <w:r>
        <w:rPr>
          <w:color w:val="auto"/>
          <w:szCs w:val="21"/>
          <w:highlight w:val="none"/>
        </w:rPr>
        <w:t>3．过低报价合理性的说明。（如有）</w:t>
      </w:r>
    </w:p>
    <w:p w14:paraId="63C7BAF9">
      <w:pPr>
        <w:spacing w:line="360" w:lineRule="auto"/>
        <w:ind w:firstLine="420"/>
        <w:rPr>
          <w:color w:val="auto"/>
          <w:szCs w:val="21"/>
          <w:highlight w:val="none"/>
        </w:rPr>
      </w:pPr>
      <w:r>
        <w:rPr>
          <w:rFonts w:hint="eastAsia"/>
          <w:color w:val="auto"/>
          <w:szCs w:val="21"/>
          <w:highlight w:val="none"/>
          <w:lang w:eastAsia="zh-CN"/>
        </w:rPr>
        <w:t>评标委员会</w:t>
      </w:r>
      <w:r>
        <w:rPr>
          <w:color w:val="auto"/>
          <w:szCs w:val="21"/>
          <w:highlight w:val="none"/>
        </w:rPr>
        <w:t>认为供应商的报价明显低于其他通过符合性审查供应商报价的，供应商将被要求以书面方式提供</w:t>
      </w:r>
      <w:r>
        <w:rPr>
          <w:rFonts w:hint="eastAsia"/>
          <w:color w:val="auto"/>
          <w:szCs w:val="21"/>
          <w:highlight w:val="none"/>
        </w:rPr>
        <w:t>说明</w:t>
      </w:r>
      <w:r>
        <w:rPr>
          <w:color w:val="auto"/>
          <w:szCs w:val="21"/>
          <w:highlight w:val="none"/>
        </w:rPr>
        <w:t>。为避免在评审现场因未能及时提供说明而导致被</w:t>
      </w:r>
      <w:r>
        <w:rPr>
          <w:rFonts w:hint="eastAsia"/>
          <w:color w:val="auto"/>
          <w:szCs w:val="21"/>
          <w:highlight w:val="none"/>
          <w:lang w:eastAsia="zh-CN"/>
        </w:rPr>
        <w:t>评标委员会</w:t>
      </w:r>
      <w:r>
        <w:rPr>
          <w:color w:val="auto"/>
          <w:szCs w:val="21"/>
          <w:highlight w:val="none"/>
        </w:rPr>
        <w:t>作为无效投标，供应商</w:t>
      </w:r>
      <w:r>
        <w:rPr>
          <w:rFonts w:hint="eastAsia"/>
          <w:color w:val="auto"/>
          <w:highlight w:val="none"/>
        </w:rPr>
        <w:t>自行决定是否</w:t>
      </w:r>
      <w:r>
        <w:rPr>
          <w:color w:val="auto"/>
          <w:szCs w:val="21"/>
          <w:highlight w:val="none"/>
        </w:rPr>
        <w:t>直接在此处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（具体要求详见第四章评审方法及标准“过低报价合理性的审查”）</w:t>
      </w:r>
      <w:bookmarkEnd w:id="236"/>
    </w:p>
    <w:p w14:paraId="783E9B9E">
      <w:pPr>
        <w:pStyle w:val="231"/>
        <w:jc w:val="center"/>
        <w:rPr>
          <w:color w:val="auto"/>
          <w:highlight w:val="none"/>
        </w:rPr>
      </w:pPr>
      <w:r>
        <w:rPr>
          <w:rFonts w:hint="eastAsia"/>
          <w:b/>
          <w:bCs/>
          <w:color w:val="auto"/>
          <w:highlight w:val="none"/>
          <w:lang w:val="en-US" w:eastAsia="zh-CN"/>
        </w:rPr>
        <w:t>产品成本测算表（参考格式）</w:t>
      </w:r>
    </w:p>
    <w:p w14:paraId="2DB889C3">
      <w:pPr>
        <w:spacing w:line="360" w:lineRule="auto"/>
        <w:rPr>
          <w:color w:val="auto"/>
          <w:highlight w:val="none"/>
        </w:rPr>
      </w:pPr>
    </w:p>
    <w:tbl>
      <w:tblPr>
        <w:tblStyle w:val="56"/>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color w:val="auto"/>
                <w:highlight w:val="none"/>
              </w:rPr>
            </w:pPr>
            <w:r>
              <w:rPr>
                <w:rFonts w:hint="eastAsia" w:cs="仿宋_GB2312"/>
                <w:b/>
                <w:color w:val="auto"/>
                <w:szCs w:val="24"/>
                <w:highlight w:val="none"/>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color w:val="auto"/>
                <w:highlight w:val="none"/>
              </w:rPr>
            </w:pPr>
            <w:r>
              <w:rPr>
                <w:rFonts w:hint="eastAsia" w:cs="宋体"/>
                <w:b/>
                <w:color w:val="auto"/>
                <w:highlight w:val="none"/>
                <w:lang w:val="en-US" w:eastAsia="zh-CN"/>
              </w:rPr>
              <w:t>报价</w:t>
            </w:r>
            <w:r>
              <w:rPr>
                <w:rFonts w:hint="eastAsia" w:cs="宋体"/>
                <w:b/>
                <w:color w:val="auto"/>
                <w:highlight w:val="none"/>
              </w:rPr>
              <w:t>单价（</w:t>
            </w:r>
            <w:r>
              <w:rPr>
                <w:rFonts w:cs="宋体"/>
                <w:b/>
                <w:color w:val="auto"/>
                <w:highlight w:val="none"/>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eastAsia="宋体" w:cs="宋体"/>
                <w:b/>
                <w:color w:val="auto"/>
                <w:highlight w:val="none"/>
                <w:lang w:val="en-US" w:eastAsia="zh-CN"/>
              </w:rPr>
            </w:pPr>
            <w:r>
              <w:rPr>
                <w:rFonts w:hint="eastAsia" w:cs="宋体"/>
                <w:b/>
                <w:color w:val="auto"/>
                <w:highlight w:val="none"/>
                <w:lang w:val="en-US" w:eastAsia="zh-CN"/>
              </w:rPr>
              <w:t>成本项目</w:t>
            </w:r>
          </w:p>
          <w:p w14:paraId="5AD3EE4D">
            <w:pPr>
              <w:spacing w:line="360" w:lineRule="auto"/>
              <w:ind w:right="-65" w:rightChars="-31"/>
              <w:jc w:val="both"/>
              <w:rPr>
                <w:rFonts w:hint="default" w:cs="宋体"/>
                <w:b/>
                <w:color w:val="auto"/>
                <w:highlight w:val="none"/>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具体明细</w:t>
            </w:r>
          </w:p>
          <w:p w14:paraId="7EF200FF">
            <w:pPr>
              <w:spacing w:line="360" w:lineRule="auto"/>
              <w:ind w:left="-48" w:leftChars="-23" w:right="-65" w:rightChars="-31"/>
              <w:jc w:val="center"/>
              <w:rPr>
                <w:rFonts w:hint="eastAsia" w:cs="宋体"/>
                <w:b/>
                <w:color w:val="auto"/>
                <w:highlight w:val="none"/>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单位产品用量</w:t>
            </w:r>
          </w:p>
          <w:p w14:paraId="27DC558F">
            <w:pPr>
              <w:spacing w:line="360" w:lineRule="auto"/>
              <w:ind w:left="-48" w:leftChars="-23" w:right="-65" w:rightChars="-31"/>
              <w:jc w:val="center"/>
              <w:rPr>
                <w:rFonts w:hint="eastAsia" w:cs="宋体"/>
                <w:b/>
                <w:color w:val="auto"/>
                <w:highlight w:val="none"/>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cs="宋体"/>
                <w:b/>
                <w:color w:val="auto"/>
                <w:highlight w:val="none"/>
              </w:rPr>
            </w:pPr>
            <w:r>
              <w:rPr>
                <w:rFonts w:hint="eastAsia" w:cs="宋体"/>
                <w:b/>
                <w:color w:val="auto"/>
                <w:highlight w:val="none"/>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26"/>
              </w:numPr>
              <w:tabs>
                <w:tab w:val="left" w:pos="61"/>
              </w:tabs>
              <w:jc w:val="center"/>
              <w:rPr>
                <w:color w:val="auto"/>
                <w:highlight w:val="none"/>
              </w:rPr>
            </w:pPr>
          </w:p>
        </w:tc>
        <w:tc>
          <w:tcPr>
            <w:tcW w:w="201" w:type="pct"/>
            <w:vMerge w:val="restart"/>
            <w:shd w:val="clear" w:color="auto" w:fill="auto"/>
            <w:vAlign w:val="center"/>
          </w:tcPr>
          <w:p w14:paraId="65B757C2">
            <w:pPr>
              <w:tabs>
                <w:tab w:val="left" w:pos="0"/>
                <w:tab w:val="left" w:pos="56"/>
              </w:tabs>
              <w:ind w:left="547" w:hanging="478" w:hangingChars="228"/>
              <w:jc w:val="center"/>
              <w:rPr>
                <w:color w:val="auto"/>
                <w:highlight w:val="none"/>
              </w:rPr>
            </w:pPr>
          </w:p>
        </w:tc>
        <w:tc>
          <w:tcPr>
            <w:tcW w:w="380" w:type="pct"/>
            <w:vMerge w:val="restart"/>
            <w:shd w:val="clear" w:color="auto" w:fill="auto"/>
            <w:vAlign w:val="center"/>
          </w:tcPr>
          <w:p w14:paraId="58C050D9">
            <w:pPr>
              <w:spacing w:line="240" w:lineRule="atLeast"/>
              <w:ind w:left="-48" w:leftChars="-23" w:right="-65" w:rightChars="-31"/>
              <w:jc w:val="left"/>
              <w:rPr>
                <w:rFonts w:cs="宋体"/>
                <w:color w:val="auto"/>
                <w:szCs w:val="24"/>
                <w:highlight w:val="none"/>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cs="宋体"/>
                <w:color w:val="auto"/>
                <w:szCs w:val="24"/>
                <w:highlight w:val="none"/>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cs="宋体"/>
                <w:color w:val="auto"/>
                <w:szCs w:val="24"/>
                <w:highlight w:val="none"/>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cs="宋体"/>
                <w:color w:val="auto"/>
                <w:szCs w:val="24"/>
                <w:highlight w:val="none"/>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26"/>
              </w:numPr>
              <w:tabs>
                <w:tab w:val="left" w:pos="61"/>
              </w:tabs>
              <w:jc w:val="center"/>
              <w:rPr>
                <w:color w:val="auto"/>
                <w:highlight w:val="none"/>
              </w:rPr>
            </w:pPr>
          </w:p>
        </w:tc>
        <w:tc>
          <w:tcPr>
            <w:tcW w:w="201" w:type="pct"/>
            <w:vMerge w:val="continue"/>
            <w:shd w:val="clear" w:color="auto" w:fill="auto"/>
            <w:vAlign w:val="center"/>
          </w:tcPr>
          <w:p w14:paraId="462E3DFC">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E160B9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cs="宋体"/>
                <w:color w:val="auto"/>
                <w:szCs w:val="24"/>
                <w:highlight w:val="none"/>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rPr>
                <w:color w:val="auto"/>
                <w:highlight w:val="none"/>
              </w:rPr>
            </w:pPr>
          </w:p>
        </w:tc>
        <w:tc>
          <w:tcPr>
            <w:tcW w:w="201" w:type="pct"/>
            <w:vMerge w:val="continue"/>
            <w:shd w:val="clear" w:color="auto" w:fill="auto"/>
            <w:vAlign w:val="center"/>
          </w:tcPr>
          <w:p w14:paraId="5EEB1F4F">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185BAC6B">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cs="宋体"/>
                <w:color w:val="auto"/>
                <w:szCs w:val="24"/>
                <w:highlight w:val="none"/>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rPr>
                <w:color w:val="auto"/>
                <w:highlight w:val="none"/>
              </w:rPr>
            </w:pPr>
          </w:p>
        </w:tc>
        <w:tc>
          <w:tcPr>
            <w:tcW w:w="201" w:type="pct"/>
            <w:vMerge w:val="continue"/>
            <w:shd w:val="clear" w:color="auto" w:fill="auto"/>
            <w:vAlign w:val="center"/>
          </w:tcPr>
          <w:p w14:paraId="25F98AE1">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F08945">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cs="宋体"/>
                <w:color w:val="auto"/>
                <w:szCs w:val="24"/>
                <w:highlight w:val="none"/>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rPr>
                <w:color w:val="auto"/>
                <w:highlight w:val="none"/>
              </w:rPr>
            </w:pPr>
          </w:p>
        </w:tc>
        <w:tc>
          <w:tcPr>
            <w:tcW w:w="201" w:type="pct"/>
            <w:vMerge w:val="continue"/>
            <w:shd w:val="clear" w:color="auto" w:fill="auto"/>
            <w:vAlign w:val="center"/>
          </w:tcPr>
          <w:p w14:paraId="49146DB7">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3B4217D">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cs="宋体"/>
                <w:color w:val="auto"/>
                <w:szCs w:val="24"/>
                <w:highlight w:val="none"/>
              </w:rPr>
            </w:pPr>
            <w:r>
              <w:rPr>
                <w:rFonts w:hint="eastAsia" w:cs="宋体"/>
                <w:color w:val="auto"/>
                <w:szCs w:val="24"/>
                <w:highlight w:val="none"/>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cs="宋体"/>
                <w:color w:val="auto"/>
                <w:szCs w:val="24"/>
                <w:highlight w:val="none"/>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rPr>
                <w:color w:val="auto"/>
                <w:highlight w:val="none"/>
              </w:rPr>
            </w:pPr>
          </w:p>
        </w:tc>
        <w:tc>
          <w:tcPr>
            <w:tcW w:w="201" w:type="pct"/>
            <w:vMerge w:val="continue"/>
            <w:shd w:val="clear" w:color="auto" w:fill="auto"/>
            <w:vAlign w:val="center"/>
          </w:tcPr>
          <w:p w14:paraId="1D439CE3">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BFE9F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cs="宋体"/>
                <w:color w:val="auto"/>
                <w:szCs w:val="24"/>
                <w:highlight w:val="none"/>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rPr>
                <w:color w:val="auto"/>
                <w:highlight w:val="none"/>
              </w:rPr>
            </w:pPr>
          </w:p>
        </w:tc>
        <w:tc>
          <w:tcPr>
            <w:tcW w:w="201" w:type="pct"/>
            <w:vMerge w:val="continue"/>
            <w:shd w:val="clear" w:color="auto" w:fill="auto"/>
            <w:vAlign w:val="center"/>
          </w:tcPr>
          <w:p w14:paraId="5530FE59">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68A909D4">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eastAsia" w:eastAsia="宋体" w:cs="宋体"/>
                <w:color w:val="auto"/>
                <w:szCs w:val="24"/>
                <w:highlight w:val="none"/>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cs="宋体"/>
                <w:color w:val="auto"/>
                <w:szCs w:val="24"/>
                <w:highlight w:val="none"/>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eastAsia" w:eastAsia="宋体"/>
                <w:color w:val="auto"/>
                <w:highlight w:val="none"/>
                <w:lang w:val="en-US" w:eastAsia="zh-CN"/>
              </w:rPr>
            </w:pPr>
            <w:r>
              <w:rPr>
                <w:rFonts w:hint="eastAsia"/>
                <w:color w:val="auto"/>
                <w:highlight w:val="none"/>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rPr>
                <w:color w:val="auto"/>
                <w:highlight w:val="none"/>
              </w:rPr>
            </w:pPr>
          </w:p>
        </w:tc>
        <w:tc>
          <w:tcPr>
            <w:tcW w:w="380" w:type="pct"/>
            <w:shd w:val="clear" w:color="auto" w:fill="auto"/>
            <w:vAlign w:val="center"/>
          </w:tcPr>
          <w:p w14:paraId="2118CF07">
            <w:pPr>
              <w:spacing w:line="240" w:lineRule="atLeast"/>
              <w:ind w:left="-48" w:leftChars="-23" w:right="-65" w:rightChars="-31"/>
              <w:jc w:val="left"/>
              <w:rPr>
                <w:rFonts w:cs="宋体"/>
                <w:color w:val="auto"/>
                <w:szCs w:val="24"/>
                <w:highlight w:val="none"/>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cs="宋体"/>
                <w:color w:val="auto"/>
                <w:szCs w:val="24"/>
                <w:highlight w:val="none"/>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cs="宋体"/>
                <w:color w:val="auto"/>
                <w:szCs w:val="24"/>
                <w:highlight w:val="none"/>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cs="宋体"/>
                <w:color w:val="auto"/>
                <w:szCs w:val="24"/>
                <w:highlight w:val="none"/>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cs="宋体"/>
                <w:color w:val="auto"/>
                <w:szCs w:val="24"/>
                <w:highlight w:val="none"/>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rPr>
                <w:color w:val="auto"/>
                <w:highlight w:val="none"/>
              </w:rPr>
            </w:pPr>
            <w:r>
              <w:rPr>
                <w:rFonts w:hint="eastAsia"/>
                <w:color w:val="auto"/>
                <w:highlight w:val="none"/>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cs="宋体"/>
                <w:color w:val="auto"/>
                <w:szCs w:val="24"/>
                <w:highlight w:val="none"/>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cs="宋体"/>
                <w:color w:val="auto"/>
                <w:szCs w:val="24"/>
                <w:highlight w:val="none"/>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cs="宋体"/>
                <w:color w:val="auto"/>
                <w:szCs w:val="24"/>
                <w:highlight w:val="none"/>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cs="宋体"/>
                <w:color w:val="auto"/>
                <w:szCs w:val="24"/>
                <w:highlight w:val="none"/>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color w:val="auto"/>
                <w:szCs w:val="24"/>
                <w:highlight w:val="none"/>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cs="宋体"/>
                <w:color w:val="auto"/>
                <w:szCs w:val="24"/>
                <w:highlight w:val="none"/>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cs="宋体"/>
                <w:color w:val="auto"/>
                <w:szCs w:val="24"/>
                <w:highlight w:val="none"/>
              </w:rPr>
            </w:pPr>
          </w:p>
          <w:p w14:paraId="56BF2198">
            <w:pPr>
              <w:rPr>
                <w:color w:val="auto"/>
                <w:highlight w:val="none"/>
              </w:rPr>
            </w:pPr>
          </w:p>
        </w:tc>
        <w:tc>
          <w:tcPr>
            <w:tcW w:w="606" w:type="pct"/>
            <w:tcBorders>
              <w:left w:val="single" w:color="auto" w:sz="4" w:space="0"/>
              <w:bottom w:val="single" w:color="auto" w:sz="4" w:space="0"/>
            </w:tcBorders>
            <w:shd w:val="clear" w:color="auto" w:fill="auto"/>
            <w:vAlign w:val="center"/>
          </w:tcPr>
          <w:p w14:paraId="6DA7B2EB">
            <w:pPr>
              <w:rPr>
                <w:color w:val="auto"/>
                <w:highlight w:val="none"/>
              </w:rPr>
            </w:pPr>
          </w:p>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cs="宋体"/>
                <w:color w:val="auto"/>
                <w:szCs w:val="24"/>
                <w:highlight w:val="none"/>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cs="宋体"/>
                <w:color w:val="auto"/>
                <w:szCs w:val="24"/>
                <w:highlight w:val="none"/>
              </w:rPr>
            </w:pPr>
          </w:p>
        </w:tc>
      </w:tr>
    </w:tbl>
    <w:p w14:paraId="474E7602">
      <w:pPr>
        <w:spacing w:line="360" w:lineRule="auto"/>
        <w:jc w:val="left"/>
        <w:rPr>
          <w:color w:val="auto"/>
          <w:szCs w:val="21"/>
          <w:highlight w:val="none"/>
        </w:rPr>
      </w:pPr>
    </w:p>
    <w:p w14:paraId="752808A1">
      <w:pPr>
        <w:spacing w:line="360" w:lineRule="auto"/>
        <w:jc w:val="left"/>
        <w:rPr>
          <w:color w:val="auto"/>
          <w:szCs w:val="21"/>
          <w:highlight w:val="none"/>
        </w:rPr>
      </w:pPr>
      <w:r>
        <w:rPr>
          <w:rFonts w:hint="eastAsia"/>
          <w:color w:val="auto"/>
          <w:szCs w:val="21"/>
          <w:highlight w:val="none"/>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334743E0">
      <w:pPr>
        <w:spacing w:line="360" w:lineRule="auto"/>
        <w:ind w:firstLine="6090" w:firstLineChars="2900"/>
        <w:jc w:val="left"/>
        <w:rPr>
          <w:color w:val="auto"/>
          <w:szCs w:val="21"/>
          <w:highlight w:val="none"/>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color w:val="auto"/>
          <w:szCs w:val="21"/>
          <w:highlight w:val="none"/>
        </w:rPr>
        <w:t>日  期</w:t>
      </w:r>
      <w:r>
        <w:rPr>
          <w:rFonts w:hint="eastAsia" w:eastAsia="宋体"/>
          <w:color w:val="auto"/>
          <w:szCs w:val="21"/>
          <w:highlight w:val="none"/>
          <w:lang w:eastAsia="zh-CN"/>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1E923321">
      <w:pPr>
        <w:widowControl/>
        <w:jc w:val="left"/>
        <w:rPr>
          <w:color w:val="auto"/>
          <w:szCs w:val="21"/>
          <w:highlight w:val="none"/>
        </w:rPr>
      </w:pPr>
    </w:p>
    <w:p w14:paraId="40CC5133">
      <w:pPr>
        <w:widowControl/>
        <w:jc w:val="left"/>
        <w:outlineLvl w:val="1"/>
        <w:rPr>
          <w:color w:val="auto"/>
          <w:szCs w:val="21"/>
          <w:highlight w:val="none"/>
        </w:rPr>
      </w:pPr>
      <w:bookmarkStart w:id="237" w:name="_Hlk88990880"/>
      <w:r>
        <w:rPr>
          <w:rFonts w:hint="eastAsia"/>
          <w:color w:val="auto"/>
          <w:szCs w:val="21"/>
          <w:highlight w:val="none"/>
        </w:rPr>
        <w:t>4．开标一览表</w:t>
      </w:r>
    </w:p>
    <w:p w14:paraId="6EEFBCC9">
      <w:pPr>
        <w:widowControl/>
        <w:jc w:val="left"/>
        <w:rPr>
          <w:color w:val="auto"/>
          <w:szCs w:val="21"/>
          <w:highlight w:val="none"/>
        </w:rPr>
      </w:pPr>
    </w:p>
    <w:p w14:paraId="603C6F23">
      <w:pPr>
        <w:widowControl/>
        <w:jc w:val="left"/>
        <w:rPr>
          <w:color w:val="auto"/>
          <w:szCs w:val="21"/>
          <w:highlight w:val="none"/>
        </w:rPr>
      </w:pPr>
    </w:p>
    <w:p w14:paraId="257665EA">
      <w:pPr>
        <w:widowControl/>
        <w:jc w:val="left"/>
        <w:rPr>
          <w:color w:val="auto"/>
          <w:szCs w:val="21"/>
          <w:highlight w:val="none"/>
        </w:rPr>
      </w:pPr>
    </w:p>
    <w:p w14:paraId="39E7DD6D">
      <w:pPr>
        <w:rPr>
          <w:b/>
          <w:color w:val="auto"/>
          <w:szCs w:val="21"/>
          <w:highlight w:val="none"/>
        </w:rPr>
      </w:pPr>
    </w:p>
    <w:p w14:paraId="0B12B57D">
      <w:pPr>
        <w:rPr>
          <w:b/>
          <w:color w:val="auto"/>
          <w:szCs w:val="21"/>
          <w:highlight w:val="none"/>
        </w:rPr>
      </w:pPr>
    </w:p>
    <w:p w14:paraId="15DF0312">
      <w:pPr>
        <w:rPr>
          <w:b/>
          <w:color w:val="auto"/>
          <w:szCs w:val="21"/>
          <w:highlight w:val="none"/>
        </w:rPr>
      </w:pPr>
      <w:r>
        <w:rPr>
          <w:rFonts w:hint="eastAsia"/>
          <w:b/>
          <w:color w:val="auto"/>
          <w:szCs w:val="21"/>
          <w:highlight w:val="none"/>
        </w:rPr>
        <w:t>格式详见</w:t>
      </w:r>
      <w:r>
        <w:rPr>
          <w:rFonts w:hint="eastAsia"/>
          <w:bCs/>
          <w:color w:val="auto"/>
          <w:szCs w:val="21"/>
          <w:highlight w:val="none"/>
        </w:rPr>
        <w:t>广西政府采购云平台</w:t>
      </w:r>
      <w:r>
        <w:rPr>
          <w:rFonts w:hint="eastAsia"/>
          <w:b/>
          <w:color w:val="auto"/>
          <w:szCs w:val="21"/>
          <w:highlight w:val="none"/>
        </w:rPr>
        <w:t>，且仅在</w:t>
      </w:r>
      <w:r>
        <w:rPr>
          <w:rFonts w:hint="eastAsia"/>
          <w:bCs/>
          <w:color w:val="auto"/>
          <w:szCs w:val="21"/>
          <w:highlight w:val="none"/>
        </w:rPr>
        <w:t>广西政府采购云平台</w:t>
      </w:r>
      <w:r>
        <w:rPr>
          <w:rFonts w:hint="eastAsia"/>
          <w:b/>
          <w:color w:val="auto"/>
          <w:szCs w:val="21"/>
          <w:highlight w:val="none"/>
        </w:rPr>
        <w:t>填写即可。</w:t>
      </w:r>
      <w:bookmarkEnd w:id="237"/>
    </w:p>
    <w:p w14:paraId="5D97AD77">
      <w:pPr>
        <w:widowControl/>
        <w:jc w:val="left"/>
        <w:rPr>
          <w:color w:val="auto"/>
          <w:szCs w:val="21"/>
          <w:highlight w:val="none"/>
        </w:rPr>
      </w:pPr>
    </w:p>
    <w:p w14:paraId="53290D48">
      <w:pPr>
        <w:rPr>
          <w:color w:val="auto"/>
          <w:highlight w:val="none"/>
        </w:rPr>
      </w:pPr>
    </w:p>
    <w:p w14:paraId="0B2F6E24">
      <w:pPr>
        <w:rPr>
          <w:color w:val="auto"/>
          <w:highlight w:val="none"/>
        </w:rPr>
      </w:pPr>
    </w:p>
    <w:p w14:paraId="37A05CC2">
      <w:pPr>
        <w:rPr>
          <w:color w:val="auto"/>
          <w:highlight w:val="none"/>
        </w:rPr>
      </w:pPr>
      <w:bookmarkStart w:id="238" w:name="_GoBack"/>
      <w:bookmarkEnd w:id="238"/>
    </w:p>
    <w:sectPr>
      <w:headerReference r:id="rId19" w:type="default"/>
      <w:footerReference r:id="rId20" w:type="default"/>
      <w:pgSz w:w="11906" w:h="16838"/>
      <w:pgMar w:top="1418" w:right="1274" w:bottom="1418" w:left="141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Cambria">
    <w:panose1 w:val="02040503050406030204"/>
    <w:charset w:val="00"/>
    <w:family w:val="auto"/>
    <w:pitch w:val="default"/>
    <w:sig w:usb0="E00006FF" w:usb1="420024FF" w:usb2="02000000" w:usb3="00000000" w:csb0="2000019F" w:csb1="00000000"/>
  </w:font>
  <w:font w:name="_x000B__x000C_">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方正楷体_GB2312">
    <w:altName w:val="宋体"/>
    <w:panose1 w:val="02000000000000000000"/>
    <w:charset w:val="86"/>
    <w:family w:val="auto"/>
    <w:pitch w:val="default"/>
    <w:sig w:usb0="00000000" w:usb1="00000000" w:usb2="00000012" w:usb3="00000000" w:csb0="00040001" w:csb1="00000000"/>
  </w:font>
  <w:font w:name="Wingdings 2">
    <w:panose1 w:val="05020102010507070707"/>
    <w:charset w:val="00"/>
    <w:family w:val="auto"/>
    <w:pitch w:val="default"/>
    <w:sig w:usb0="00000000" w:usb1="00000000" w:usb2="00000000" w:usb3="00000000" w:csb0="80000000" w:csb1="00000000"/>
  </w:font>
  <w:font w:name="HYShuSongErKW">
    <w:altName w:val="Segoe Print"/>
    <w:panose1 w:val="020B0603030804020204"/>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30204"/>
    <w:charset w:val="00"/>
    <w:family w:val="auto"/>
    <w:pitch w:val="default"/>
    <w:sig w:usb0="00000000" w:usb1="00000000" w:usb2="00000000" w:usb3="00000000" w:csb0="00000000" w:csb1="00000000"/>
  </w:font>
  <w:font w:name="Corbel">
    <w:panose1 w:val="020B0503020204020204"/>
    <w:charset w:val="00"/>
    <w:family w:val="auto"/>
    <w:pitch w:val="default"/>
    <w:sig w:usb0="A00002EF" w:usb1="4000A44B" w:usb2="00000000" w:usb3="00000000" w:csb0="2000019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D9076">
    <w:pPr>
      <w:pStyle w:val="33"/>
      <w:framePr w:wrap="around" w:vAnchor="text" w:hAnchor="margin" w:xAlign="center" w:y="1"/>
      <w:rPr>
        <w:rStyle w:val="61"/>
      </w:rPr>
    </w:pPr>
    <w:r>
      <w:fldChar w:fldCharType="begin"/>
    </w:r>
    <w:r>
      <w:rPr>
        <w:rStyle w:val="61"/>
      </w:rPr>
      <w:instrText xml:space="preserve">PAGE  </w:instrText>
    </w:r>
    <w:r>
      <w:fldChar w:fldCharType="end"/>
    </w:r>
  </w:p>
  <w:p w14:paraId="5959901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1B390">
    <w:pPr>
      <w:pStyle w:val="33"/>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E8279">
    <w:pPr>
      <w:pStyle w:val="33"/>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14900">
    <w:pPr>
      <w:pStyle w:val="33"/>
      <w:framePr w:wrap="around" w:vAnchor="text" w:hAnchor="margin" w:xAlign="center" w:y="1"/>
      <w:rPr>
        <w:rStyle w:val="61"/>
      </w:rPr>
    </w:pPr>
    <w:r>
      <w:fldChar w:fldCharType="begin"/>
    </w:r>
    <w:r>
      <w:rPr>
        <w:rStyle w:val="61"/>
      </w:rPr>
      <w:instrText xml:space="preserve">PAGE  </w:instrText>
    </w:r>
    <w:r>
      <w:fldChar w:fldCharType="separate"/>
    </w:r>
    <w:r>
      <w:rPr>
        <w:rStyle w:val="61"/>
      </w:rPr>
      <w:t>8</w:t>
    </w:r>
    <w:r>
      <w:fldChar w:fldCharType="end"/>
    </w:r>
  </w:p>
  <w:p w14:paraId="09B88392">
    <w:pPr>
      <w:pStyle w:val="33"/>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203E7">
    <w:pPr>
      <w:pStyle w:val="33"/>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D4083">
    <w:pPr>
      <w:pStyle w:val="3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411EF3">
                          <w:pPr>
                            <w:pStyle w:val="33"/>
                            <w:jc w:val="center"/>
                          </w:pPr>
                          <w:r>
                            <w:fldChar w:fldCharType="begin"/>
                          </w:r>
                          <w:r>
                            <w:instrText xml:space="preserve">PAGE   \* MERGEFORMAT</w:instrText>
                          </w:r>
                          <w:r>
                            <w:fldChar w:fldCharType="separate"/>
                          </w:r>
                          <w:r>
                            <w:rPr>
                              <w:lang w:val="zh-CN"/>
                            </w:rP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B0ukX88AgAAbwQAAA4AAAAAAAAAAQAgAAAAHwEAAGRycy9lMm9E&#10;b2MueG1sUEsFBgAAAAAGAAYAWQEAAM0FAAAAAA==&#10;">
              <v:fill on="f" focussize="0,0"/>
              <v:stroke on="f" weight="0.5pt"/>
              <v:imagedata o:title=""/>
              <o:lock v:ext="edit" aspectratio="f"/>
              <v:textbox inset="0mm,0mm,0mm,0mm" style="mso-fit-shape-to-text:t;">
                <w:txbxContent>
                  <w:p w14:paraId="25411EF3">
                    <w:pPr>
                      <w:pStyle w:val="33"/>
                      <w:jc w:val="center"/>
                    </w:pPr>
                    <w:r>
                      <w:fldChar w:fldCharType="begin"/>
                    </w:r>
                    <w:r>
                      <w:instrText xml:space="preserve">PAGE   \* MERGEFORMAT</w:instrText>
                    </w:r>
                    <w:r>
                      <w:fldChar w:fldCharType="separate"/>
                    </w:r>
                    <w:r>
                      <w:rPr>
                        <w:lang w:val="zh-CN"/>
                      </w:rPr>
                      <w:t>35</w:t>
                    </w:r>
                    <w:r>
                      <w:fldChar w:fldCharType="end"/>
                    </w:r>
                  </w:p>
                </w:txbxContent>
              </v:textbox>
            </v:shape>
          </w:pict>
        </mc:Fallback>
      </mc:AlternateContent>
    </w:r>
  </w:p>
  <w:p w14:paraId="253FF028">
    <w:pPr>
      <w:pStyle w:val="3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932C5">
    <w:pPr>
      <w:pStyle w:val="33"/>
      <w:ind w:right="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94640" cy="191135"/>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294640" cy="1911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E75D9">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文本框 3" o:spid="_x0000_s1026" o:spt="202" type="#_x0000_t202" style="position:absolute;left:0pt;margin-top:0pt;height:15.05pt;width:23.2pt;mso-position-horizontal:center;mso-position-horizontal-relative:margin;z-index:251660288;mso-width-relative:page;mso-height-relative:page;" filled="f" stroked="f" coordsize="21600,21600" o:gfxdata="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IqsxtMAAAADAQAADwAAAAAAAAABACAAAAAiAAAAZHJz&#10;L2Rvd25yZXYueG1sUEsBAhQAFAAAAAgAh07iQA7pa/ZCAgAAbwQAAA4AAAAAAAAAAQAgAAAAIgEA&#10;AGRycy9lMm9Eb2MueG1sUEsFBgAAAAAGAAYAWQEAANYFAAAAAA==&#10;">
              <v:fill on="f" focussize="0,0"/>
              <v:stroke on="f" weight="0.5pt"/>
              <v:imagedata o:title=""/>
              <o:lock v:ext="edit" aspectratio="f"/>
              <v:textbox inset="0mm,0mm,0mm,0mm">
                <w:txbxContent>
                  <w:p w14:paraId="2A1E75D9">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DE63A">
    <w:pPr>
      <w:pStyle w:val="3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83A53">
    <w:pPr>
      <w:pStyle w:val="33"/>
      <w:framePr w:wrap="around" w:vAnchor="text" w:hAnchor="margin" w:xAlign="center" w:y="1"/>
      <w:rPr>
        <w:rStyle w:val="61"/>
      </w:rPr>
    </w:pPr>
    <w:r>
      <w:fldChar w:fldCharType="begin"/>
    </w:r>
    <w:r>
      <w:rPr>
        <w:rStyle w:val="61"/>
      </w:rPr>
      <w:instrText xml:space="preserve">PAGE  </w:instrText>
    </w:r>
    <w:r>
      <w:fldChar w:fldCharType="separate"/>
    </w:r>
    <w:r>
      <w:rPr>
        <w:rStyle w:val="61"/>
      </w:rPr>
      <w:t>59</w:t>
    </w:r>
    <w:r>
      <w:fldChar w:fldCharType="end"/>
    </w:r>
  </w:p>
  <w:p w14:paraId="1F614B7E">
    <w:pPr>
      <w:pStyle w:val="33"/>
      <w:jc w:val="right"/>
    </w:pPr>
  </w:p>
  <w:p w14:paraId="3B6F482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11D9E">
    <w:pPr>
      <w:pStyle w:val="34"/>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12474">
    <w:pPr>
      <w:pStyle w:val="34"/>
      <w:jc w:val="left"/>
    </w:pPr>
    <w:r>
      <w:rPr>
        <w:rFonts w:hint="eastAsia"/>
      </w:rPr>
      <w:t>广西机电设备招标有限公司</w:t>
    </w:r>
    <w:r>
      <w:rPr>
        <w:rFonts w:hint="eastAsia"/>
        <w:lang w:eastAsia="zh-CN"/>
      </w:rPr>
      <w:t>招标文件</w:t>
    </w:r>
    <w:r>
      <w:rPr>
        <w:rFonts w:hint="eastAsia"/>
      </w:rPr>
      <w:t xml:space="preserve">                                                               </w:t>
    </w:r>
  </w:p>
  <w:p w14:paraId="63DC50D8">
    <w:pPr>
      <w:pStyle w:val="34"/>
      <w:pBdr>
        <w:bottom w:val="none" w:color="000000"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67F38">
    <w:pPr>
      <w:pStyle w:val="34"/>
      <w:jc w:val="left"/>
    </w:pPr>
    <w:r>
      <w:rPr>
        <w:rFonts w:hint="eastAsia"/>
      </w:rPr>
      <w:t>广西机电设备招标有限公司</w:t>
    </w:r>
    <w:r>
      <w:rPr>
        <w:rFonts w:hint="eastAsia"/>
        <w:lang w:eastAsia="zh-CN"/>
      </w:rPr>
      <w:t>招标文件</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9875C">
    <w:pPr>
      <w:pStyle w:val="34"/>
      <w:jc w:val="left"/>
    </w:pPr>
    <w:r>
      <w:rPr>
        <w:rFonts w:hint="eastAsia"/>
      </w:rPr>
      <w:t>广西机电设备招标有限公司</w:t>
    </w:r>
    <w:r>
      <w:rPr>
        <w:rFonts w:hint="eastAsia"/>
        <w:lang w:eastAsia="zh-CN"/>
      </w:rPr>
      <w:t>招标文件</w:t>
    </w:r>
    <w:r>
      <w:rPr>
        <w:rFonts w:hint="eastAsia"/>
      </w:rPr>
      <w:t xml:space="preserve">                                                              招标公告</w:t>
    </w:r>
  </w:p>
  <w:p w14:paraId="5DFADC60">
    <w:pPr>
      <w:pStyle w:val="34"/>
      <w:pBdr>
        <w:bottom w:val="none" w:color="000000"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46356">
    <w:pPr>
      <w:pStyle w:val="34"/>
      <w:jc w:val="left"/>
    </w:pPr>
    <w:r>
      <w:rPr>
        <w:rFonts w:hint="eastAsia"/>
      </w:rPr>
      <w:t xml:space="preserve">广西机电设备招标有限公司招标文件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101F0">
    <w:pPr>
      <w:pStyle w:val="34"/>
      <w:jc w:val="left"/>
    </w:pPr>
    <w:r>
      <w:rPr>
        <w:rFonts w:hint="eastAsia"/>
      </w:rPr>
      <w:t xml:space="preserve">广西机电设备招标有限公司招标文件                                                            </w:t>
    </w:r>
  </w:p>
  <w:p w14:paraId="404F707C">
    <w:pPr>
      <w:pStyle w:val="34"/>
      <w:pBdr>
        <w:bottom w:val="none" w:color="000000"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A5C0A">
    <w:pPr>
      <w:pStyle w:val="34"/>
      <w:jc w:val="left"/>
    </w:pPr>
    <w:r>
      <w:rPr>
        <w:rFonts w:hint="eastAsia"/>
      </w:rPr>
      <w:t xml:space="preserve">广西机电设备招标有限公司招标文件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477BA">
    <w:pPr>
      <w:pStyle w:val="34"/>
      <w:jc w:val="left"/>
    </w:pPr>
    <w:r>
      <w:rPr>
        <w:rFonts w:hint="eastAsia"/>
      </w:rPr>
      <w:t>广西机电设备招标有限公司招标文件                                                     评标方法及评标标准</w:t>
    </w:r>
  </w:p>
  <w:p w14:paraId="2782AAA9">
    <w:pPr>
      <w:pStyle w:val="34"/>
      <w:pBdr>
        <w:bottom w:val="none" w:color="000000" w:sz="0" w:space="0"/>
      </w:pBdr>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54CDB">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p w14:paraId="4448EE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23E79"/>
    <w:multiLevelType w:val="multilevel"/>
    <w:tmpl w:val="92423E79"/>
    <w:lvl w:ilvl="0" w:tentative="0">
      <w:start w:val="2"/>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99D5E263"/>
    <w:multiLevelType w:val="singleLevel"/>
    <w:tmpl w:val="99D5E263"/>
    <w:lvl w:ilvl="0" w:tentative="0">
      <w:start w:val="1"/>
      <w:numFmt w:val="decimal"/>
      <w:suff w:val="nothing"/>
      <w:lvlText w:val="（%1）"/>
      <w:lvlJc w:val="left"/>
    </w:lvl>
  </w:abstractNum>
  <w:abstractNum w:abstractNumId="2">
    <w:nsid w:val="9F6FBD26"/>
    <w:multiLevelType w:val="singleLevel"/>
    <w:tmpl w:val="9F6FBD26"/>
    <w:lvl w:ilvl="0" w:tentative="0">
      <w:start w:val="1"/>
      <w:numFmt w:val="decimal"/>
      <w:suff w:val="nothing"/>
      <w:lvlText w:val="(%1)"/>
      <w:lvlJc w:val="left"/>
      <w:pPr>
        <w:ind w:left="0" w:firstLine="0"/>
      </w:pPr>
      <w:rPr>
        <w:rFonts w:hint="default"/>
      </w:rPr>
    </w:lvl>
  </w:abstractNum>
  <w:abstractNum w:abstractNumId="3">
    <w:nsid w:val="B4F18EF4"/>
    <w:multiLevelType w:val="singleLevel"/>
    <w:tmpl w:val="B4F18EF4"/>
    <w:lvl w:ilvl="0" w:tentative="0">
      <w:start w:val="1"/>
      <w:numFmt w:val="decimal"/>
      <w:suff w:val="nothing"/>
      <w:lvlText w:val="（%1）"/>
      <w:lvlJc w:val="left"/>
    </w:lvl>
  </w:abstractNum>
  <w:abstractNum w:abstractNumId="4">
    <w:nsid w:val="B93CE088"/>
    <w:multiLevelType w:val="multilevel"/>
    <w:tmpl w:val="B93CE088"/>
    <w:lvl w:ilvl="0" w:tentative="0">
      <w:start w:val="10"/>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C2AEEB6C"/>
    <w:multiLevelType w:val="singleLevel"/>
    <w:tmpl w:val="C2AEEB6C"/>
    <w:lvl w:ilvl="0" w:tentative="0">
      <w:start w:val="1"/>
      <w:numFmt w:val="decimal"/>
      <w:suff w:val="nothing"/>
      <w:lvlText w:val="(%1)"/>
      <w:lvlJc w:val="left"/>
      <w:pPr>
        <w:ind w:left="0" w:firstLine="0"/>
      </w:pPr>
      <w:rPr>
        <w:rFonts w:hint="default"/>
      </w:rPr>
    </w:lvl>
  </w:abstractNum>
  <w:abstractNum w:abstractNumId="6">
    <w:nsid w:val="C69D6457"/>
    <w:multiLevelType w:val="singleLevel"/>
    <w:tmpl w:val="C69D6457"/>
    <w:lvl w:ilvl="0" w:tentative="0">
      <w:start w:val="1"/>
      <w:numFmt w:val="decimal"/>
      <w:suff w:val="nothing"/>
      <w:lvlText w:val="(%1)"/>
      <w:lvlJc w:val="left"/>
      <w:pPr>
        <w:ind w:left="0" w:firstLine="0"/>
      </w:pPr>
      <w:rPr>
        <w:rFonts w:hint="default"/>
      </w:rPr>
    </w:lvl>
  </w:abstractNum>
  <w:abstractNum w:abstractNumId="7">
    <w:nsid w:val="C91A732F"/>
    <w:multiLevelType w:val="singleLevel"/>
    <w:tmpl w:val="C91A732F"/>
    <w:lvl w:ilvl="0" w:tentative="0">
      <w:start w:val="1"/>
      <w:numFmt w:val="decimal"/>
      <w:suff w:val="nothing"/>
      <w:lvlText w:val="(%1)"/>
      <w:lvlJc w:val="left"/>
      <w:pPr>
        <w:ind w:left="0" w:firstLine="0"/>
      </w:pPr>
      <w:rPr>
        <w:rFonts w:hint="default"/>
      </w:rPr>
    </w:lvl>
  </w:abstractNum>
  <w:abstractNum w:abstractNumId="8">
    <w:nsid w:val="DA4101F9"/>
    <w:multiLevelType w:val="singleLevel"/>
    <w:tmpl w:val="DA4101F9"/>
    <w:lvl w:ilvl="0" w:tentative="0">
      <w:start w:val="1"/>
      <w:numFmt w:val="decimal"/>
      <w:suff w:val="nothing"/>
      <w:lvlText w:val="(%1)"/>
      <w:lvlJc w:val="left"/>
      <w:pPr>
        <w:ind w:left="0" w:firstLine="0"/>
      </w:pPr>
      <w:rPr>
        <w:rFonts w:hint="default"/>
      </w:rPr>
    </w:lvl>
  </w:abstractNum>
  <w:abstractNum w:abstractNumId="9">
    <w:nsid w:val="F00F1E67"/>
    <w:multiLevelType w:val="singleLevel"/>
    <w:tmpl w:val="F00F1E67"/>
    <w:lvl w:ilvl="0" w:tentative="0">
      <w:start w:val="5"/>
      <w:numFmt w:val="decimal"/>
      <w:suff w:val="nothing"/>
      <w:lvlText w:val="%1、"/>
      <w:lvlJc w:val="left"/>
    </w:lvl>
  </w:abstractNum>
  <w:abstractNum w:abstractNumId="10">
    <w:nsid w:val="F5CEDD19"/>
    <w:multiLevelType w:val="singleLevel"/>
    <w:tmpl w:val="F5CEDD19"/>
    <w:lvl w:ilvl="0" w:tentative="0">
      <w:start w:val="1"/>
      <w:numFmt w:val="decimal"/>
      <w:suff w:val="nothing"/>
      <w:lvlText w:val="(%1)"/>
      <w:lvlJc w:val="left"/>
      <w:pPr>
        <w:ind w:left="0" w:firstLine="0"/>
      </w:pPr>
      <w:rPr>
        <w:rFonts w:hint="default"/>
      </w:rPr>
    </w:lvl>
  </w:abstractNum>
  <w:abstractNum w:abstractNumId="1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0556083D"/>
    <w:multiLevelType w:val="singleLevel"/>
    <w:tmpl w:val="0556083D"/>
    <w:lvl w:ilvl="0" w:tentative="0">
      <w:start w:val="1"/>
      <w:numFmt w:val="decimal"/>
      <w:suff w:val="nothing"/>
      <w:lvlText w:val="(%1)"/>
      <w:lvlJc w:val="left"/>
      <w:pPr>
        <w:ind w:left="0" w:firstLine="0"/>
      </w:pPr>
      <w:rPr>
        <w:rFonts w:hint="default"/>
      </w:rPr>
    </w:lvl>
  </w:abstractNum>
  <w:abstractNum w:abstractNumId="13">
    <w:nsid w:val="0A02ECCD"/>
    <w:multiLevelType w:val="multilevel"/>
    <w:tmpl w:val="0A02ECCD"/>
    <w:lvl w:ilvl="0" w:tentative="0">
      <w:start w:val="3"/>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4">
    <w:nsid w:val="1F287AE7"/>
    <w:multiLevelType w:val="multilevel"/>
    <w:tmpl w:val="1F287AE7"/>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5">
    <w:nsid w:val="1F5E7825"/>
    <w:multiLevelType w:val="singleLevel"/>
    <w:tmpl w:val="1F5E7825"/>
    <w:lvl w:ilvl="0" w:tentative="0">
      <w:start w:val="1"/>
      <w:numFmt w:val="decimal"/>
      <w:suff w:val="nothing"/>
      <w:lvlText w:val="(%1)"/>
      <w:lvlJc w:val="left"/>
      <w:pPr>
        <w:ind w:left="0" w:firstLine="0"/>
      </w:pPr>
      <w:rPr>
        <w:rFonts w:hint="default"/>
      </w:rPr>
    </w:lvl>
  </w:abstractNum>
  <w:abstractNum w:abstractNumId="16">
    <w:nsid w:val="37B683B9"/>
    <w:multiLevelType w:val="singleLevel"/>
    <w:tmpl w:val="37B683B9"/>
    <w:lvl w:ilvl="0" w:tentative="0">
      <w:start w:val="1"/>
      <w:numFmt w:val="decimal"/>
      <w:suff w:val="nothing"/>
      <w:lvlText w:val="(%1)"/>
      <w:lvlJc w:val="left"/>
      <w:pPr>
        <w:ind w:left="0" w:firstLine="0"/>
      </w:pPr>
      <w:rPr>
        <w:rFonts w:hint="default"/>
      </w:rPr>
    </w:lvl>
  </w:abstractNum>
  <w:abstractNum w:abstractNumId="17">
    <w:nsid w:val="395B69AB"/>
    <w:multiLevelType w:val="multilevel"/>
    <w:tmpl w:val="395B69AB"/>
    <w:lvl w:ilvl="0" w:tentative="0">
      <w:start w:val="6"/>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8">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3C69B55B"/>
    <w:multiLevelType w:val="singleLevel"/>
    <w:tmpl w:val="3C69B55B"/>
    <w:lvl w:ilvl="0" w:tentative="0">
      <w:start w:val="1"/>
      <w:numFmt w:val="decimal"/>
      <w:suff w:val="nothing"/>
      <w:lvlText w:val="(%1)"/>
      <w:lvlJc w:val="left"/>
      <w:pPr>
        <w:ind w:left="0" w:firstLine="0"/>
      </w:pPr>
      <w:rPr>
        <w:rFonts w:hint="default"/>
      </w:rPr>
    </w:lvl>
  </w:abstractNum>
  <w:abstractNum w:abstractNumId="20">
    <w:nsid w:val="4013DA7E"/>
    <w:multiLevelType w:val="singleLevel"/>
    <w:tmpl w:val="4013DA7E"/>
    <w:lvl w:ilvl="0" w:tentative="0">
      <w:start w:val="1"/>
      <w:numFmt w:val="decimal"/>
      <w:suff w:val="nothing"/>
      <w:lvlText w:val="(%1)"/>
      <w:lvlJc w:val="left"/>
      <w:pPr>
        <w:ind w:left="0" w:firstLine="0"/>
      </w:pPr>
      <w:rPr>
        <w:rFonts w:hint="default"/>
      </w:rPr>
    </w:lvl>
  </w:abstractNum>
  <w:abstractNum w:abstractNumId="21">
    <w:nsid w:val="5FD85D0F"/>
    <w:multiLevelType w:val="singleLevel"/>
    <w:tmpl w:val="5FD85D0F"/>
    <w:lvl w:ilvl="0" w:tentative="0">
      <w:start w:val="1"/>
      <w:numFmt w:val="decimal"/>
      <w:suff w:val="nothing"/>
      <w:lvlText w:val="(%1)"/>
      <w:lvlJc w:val="left"/>
      <w:pPr>
        <w:ind w:left="0" w:firstLine="0"/>
      </w:pPr>
      <w:rPr>
        <w:rFonts w:hint="default"/>
      </w:rPr>
    </w:lvl>
  </w:abstractNum>
  <w:abstractNum w:abstractNumId="22">
    <w:nsid w:val="69B148AE"/>
    <w:multiLevelType w:val="singleLevel"/>
    <w:tmpl w:val="69B148AE"/>
    <w:lvl w:ilvl="0" w:tentative="0">
      <w:start w:val="1"/>
      <w:numFmt w:val="decimal"/>
      <w:suff w:val="nothing"/>
      <w:lvlText w:val="(%1)"/>
      <w:lvlJc w:val="left"/>
      <w:pPr>
        <w:ind w:left="0" w:firstLine="0"/>
      </w:pPr>
      <w:rPr>
        <w:rFonts w:hint="default"/>
      </w:rPr>
    </w:lvl>
  </w:abstractNum>
  <w:abstractNum w:abstractNumId="23">
    <w:nsid w:val="69C0B35A"/>
    <w:multiLevelType w:val="singleLevel"/>
    <w:tmpl w:val="69C0B35A"/>
    <w:lvl w:ilvl="0" w:tentative="0">
      <w:start w:val="1"/>
      <w:numFmt w:val="decimal"/>
      <w:suff w:val="nothing"/>
      <w:lvlText w:val="(%1)"/>
      <w:lvlJc w:val="left"/>
      <w:pPr>
        <w:ind w:left="0" w:firstLine="0"/>
      </w:pPr>
      <w:rPr>
        <w:rFonts w:hint="default"/>
      </w:rPr>
    </w:lvl>
  </w:abstractNum>
  <w:abstractNum w:abstractNumId="24">
    <w:nsid w:val="6DDFC8D5"/>
    <w:multiLevelType w:val="singleLevel"/>
    <w:tmpl w:val="6DDFC8D5"/>
    <w:lvl w:ilvl="0" w:tentative="0">
      <w:start w:val="1"/>
      <w:numFmt w:val="decimal"/>
      <w:suff w:val="nothing"/>
      <w:lvlText w:val="%1、"/>
      <w:lvlJc w:val="left"/>
    </w:lvl>
  </w:abstractNum>
  <w:abstractNum w:abstractNumId="25">
    <w:nsid w:val="744E38D2"/>
    <w:multiLevelType w:val="singleLevel"/>
    <w:tmpl w:val="744E38D2"/>
    <w:lvl w:ilvl="0" w:tentative="0">
      <w:start w:val="1"/>
      <w:numFmt w:val="decimal"/>
      <w:suff w:val="nothing"/>
      <w:lvlText w:val="(%1)"/>
      <w:lvlJc w:val="left"/>
      <w:pPr>
        <w:ind w:left="0" w:firstLine="0"/>
      </w:pPr>
      <w:rPr>
        <w:rFonts w:hint="default"/>
      </w:rPr>
    </w:lvl>
  </w:abstractNum>
  <w:num w:numId="1">
    <w:abstractNumId w:val="17"/>
  </w:num>
  <w:num w:numId="2">
    <w:abstractNumId w:val="0"/>
  </w:num>
  <w:num w:numId="3">
    <w:abstractNumId w:val="24"/>
  </w:num>
  <w:num w:numId="4">
    <w:abstractNumId w:val="5"/>
  </w:num>
  <w:num w:numId="5">
    <w:abstractNumId w:val="8"/>
  </w:num>
  <w:num w:numId="6">
    <w:abstractNumId w:val="22"/>
  </w:num>
  <w:num w:numId="7">
    <w:abstractNumId w:val="7"/>
  </w:num>
  <w:num w:numId="8">
    <w:abstractNumId w:val="23"/>
  </w:num>
  <w:num w:numId="9">
    <w:abstractNumId w:val="6"/>
  </w:num>
  <w:num w:numId="10">
    <w:abstractNumId w:val="19"/>
  </w:num>
  <w:num w:numId="11">
    <w:abstractNumId w:val="16"/>
  </w:num>
  <w:num w:numId="12">
    <w:abstractNumId w:val="25"/>
  </w:num>
  <w:num w:numId="13">
    <w:abstractNumId w:val="21"/>
  </w:num>
  <w:num w:numId="14">
    <w:abstractNumId w:val="20"/>
  </w:num>
  <w:num w:numId="15">
    <w:abstractNumId w:val="2"/>
  </w:num>
  <w:num w:numId="16">
    <w:abstractNumId w:val="10"/>
  </w:num>
  <w:num w:numId="17">
    <w:abstractNumId w:val="15"/>
  </w:num>
  <w:num w:numId="18">
    <w:abstractNumId w:val="12"/>
  </w:num>
  <w:num w:numId="19">
    <w:abstractNumId w:val="9"/>
  </w:num>
  <w:num w:numId="20">
    <w:abstractNumId w:val="14"/>
  </w:num>
  <w:num w:numId="21">
    <w:abstractNumId w:val="11"/>
  </w:num>
  <w:num w:numId="22">
    <w:abstractNumId w:val="1"/>
  </w:num>
  <w:num w:numId="23">
    <w:abstractNumId w:val="3"/>
  </w:num>
  <w:num w:numId="24">
    <w:abstractNumId w:val="13"/>
  </w:num>
  <w:num w:numId="25">
    <w:abstractNumId w:val="4"/>
  </w:num>
  <w:num w:numId="26">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DZBzheng">
    <w15:presenceInfo w15:providerId="None" w15:userId="JDZBzheng"/>
  </w15:person>
  <w15:person w15:author="WPS_1671279749">
    <w15:presenceInfo w15:providerId="WPS Office" w15:userId="47329286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revisionView w:markup="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1D2C"/>
    <w:rsid w:val="00540A52"/>
    <w:rsid w:val="01BE2DC8"/>
    <w:rsid w:val="035043BA"/>
    <w:rsid w:val="053962B1"/>
    <w:rsid w:val="05A50F26"/>
    <w:rsid w:val="068E2F29"/>
    <w:rsid w:val="09BC2A88"/>
    <w:rsid w:val="09D53957"/>
    <w:rsid w:val="0C6F74D0"/>
    <w:rsid w:val="0D092F61"/>
    <w:rsid w:val="0D6117F7"/>
    <w:rsid w:val="0D660B73"/>
    <w:rsid w:val="110441AA"/>
    <w:rsid w:val="11E60508"/>
    <w:rsid w:val="12A06219"/>
    <w:rsid w:val="14313271"/>
    <w:rsid w:val="14BC3358"/>
    <w:rsid w:val="14E85FA8"/>
    <w:rsid w:val="16524607"/>
    <w:rsid w:val="178F3412"/>
    <w:rsid w:val="1A97468C"/>
    <w:rsid w:val="1AB52760"/>
    <w:rsid w:val="1AD3567B"/>
    <w:rsid w:val="1F085E68"/>
    <w:rsid w:val="1F0A338B"/>
    <w:rsid w:val="233414C6"/>
    <w:rsid w:val="24460E72"/>
    <w:rsid w:val="2548441F"/>
    <w:rsid w:val="25671A9C"/>
    <w:rsid w:val="2617030E"/>
    <w:rsid w:val="27BB6822"/>
    <w:rsid w:val="2951212D"/>
    <w:rsid w:val="29BB663D"/>
    <w:rsid w:val="29EE77E5"/>
    <w:rsid w:val="2BA847DB"/>
    <w:rsid w:val="2BCD57A1"/>
    <w:rsid w:val="2C191269"/>
    <w:rsid w:val="2C1E6005"/>
    <w:rsid w:val="2C346A44"/>
    <w:rsid w:val="2CE0748D"/>
    <w:rsid w:val="2ECA26E2"/>
    <w:rsid w:val="32740D0C"/>
    <w:rsid w:val="32D0068B"/>
    <w:rsid w:val="33174A2E"/>
    <w:rsid w:val="33AF720F"/>
    <w:rsid w:val="342F5CDB"/>
    <w:rsid w:val="35AD6EB7"/>
    <w:rsid w:val="380F1472"/>
    <w:rsid w:val="3876523F"/>
    <w:rsid w:val="3B1B48C3"/>
    <w:rsid w:val="3D306973"/>
    <w:rsid w:val="3F356657"/>
    <w:rsid w:val="3F871DCB"/>
    <w:rsid w:val="3F8C2233"/>
    <w:rsid w:val="3FC367A1"/>
    <w:rsid w:val="40BF5391"/>
    <w:rsid w:val="40DD4689"/>
    <w:rsid w:val="4109285B"/>
    <w:rsid w:val="41322C8D"/>
    <w:rsid w:val="41AE3976"/>
    <w:rsid w:val="427150ED"/>
    <w:rsid w:val="449A1EA5"/>
    <w:rsid w:val="46034205"/>
    <w:rsid w:val="463066BC"/>
    <w:rsid w:val="46C119FC"/>
    <w:rsid w:val="4C4B44B4"/>
    <w:rsid w:val="4D53554D"/>
    <w:rsid w:val="4E29700E"/>
    <w:rsid w:val="4F587BE8"/>
    <w:rsid w:val="519D660F"/>
    <w:rsid w:val="51C24E43"/>
    <w:rsid w:val="555C55E7"/>
    <w:rsid w:val="578E2BCD"/>
    <w:rsid w:val="581A0655"/>
    <w:rsid w:val="5A481247"/>
    <w:rsid w:val="5B9330DB"/>
    <w:rsid w:val="5F722C31"/>
    <w:rsid w:val="5FC1583D"/>
    <w:rsid w:val="611C70A2"/>
    <w:rsid w:val="61BB624B"/>
    <w:rsid w:val="62516B49"/>
    <w:rsid w:val="62D47895"/>
    <w:rsid w:val="63182064"/>
    <w:rsid w:val="6335486B"/>
    <w:rsid w:val="644A2CA2"/>
    <w:rsid w:val="669378E7"/>
    <w:rsid w:val="68570A44"/>
    <w:rsid w:val="68D76559"/>
    <w:rsid w:val="68E66045"/>
    <w:rsid w:val="6968411B"/>
    <w:rsid w:val="6AA8778B"/>
    <w:rsid w:val="6B6515AC"/>
    <w:rsid w:val="6C1816E4"/>
    <w:rsid w:val="6E2D2DA3"/>
    <w:rsid w:val="6E3A4EEA"/>
    <w:rsid w:val="6F102FCE"/>
    <w:rsid w:val="6F526256"/>
    <w:rsid w:val="704844CD"/>
    <w:rsid w:val="710109ED"/>
    <w:rsid w:val="72BA4717"/>
    <w:rsid w:val="74473F93"/>
    <w:rsid w:val="7727577A"/>
    <w:rsid w:val="77C86BBD"/>
    <w:rsid w:val="7A21406C"/>
    <w:rsid w:val="7A646600"/>
    <w:rsid w:val="7AD84610"/>
    <w:rsid w:val="7B3D1C59"/>
    <w:rsid w:val="7C5C42FC"/>
    <w:rsid w:val="7C837179"/>
    <w:rsid w:val="7CC00005"/>
    <w:rsid w:val="7D3E7A86"/>
    <w:rsid w:val="7DB8305F"/>
    <w:rsid w:val="7E4D7588"/>
    <w:rsid w:val="7E6440B4"/>
    <w:rsid w:val="7E9D1526"/>
    <w:rsid w:val="7F996B5B"/>
    <w:rsid w:val="7FD24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334"/>
    <w:qFormat/>
    <w:uiPriority w:val="9"/>
    <w:pPr>
      <w:keepNext/>
      <w:keepLines/>
      <w:spacing w:before="340" w:after="330" w:line="576" w:lineRule="auto"/>
      <w:outlineLvl w:val="0"/>
    </w:pPr>
    <w:rPr>
      <w:b/>
      <w:bCs/>
      <w:sz w:val="44"/>
      <w:szCs w:val="44"/>
    </w:rPr>
  </w:style>
  <w:style w:type="paragraph" w:styleId="3">
    <w:name w:val="heading 2"/>
    <w:basedOn w:val="1"/>
    <w:next w:val="1"/>
    <w:link w:val="323"/>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333"/>
    <w:qFormat/>
    <w:uiPriority w:val="0"/>
    <w:pPr>
      <w:keepNext/>
      <w:keepLines/>
      <w:spacing w:before="260" w:after="260" w:line="413" w:lineRule="auto"/>
      <w:outlineLvl w:val="2"/>
    </w:pPr>
    <w:rPr>
      <w:b/>
      <w:bCs/>
      <w:sz w:val="32"/>
      <w:szCs w:val="32"/>
    </w:rPr>
  </w:style>
  <w:style w:type="paragraph" w:styleId="5">
    <w:name w:val="heading 4"/>
    <w:basedOn w:val="1"/>
    <w:next w:val="1"/>
    <w:link w:val="303"/>
    <w:qFormat/>
    <w:uiPriority w:val="0"/>
    <w:pPr>
      <w:keepNext/>
      <w:keepLines/>
      <w:widowControl/>
      <w:spacing w:before="120" w:after="120" w:line="360" w:lineRule="auto"/>
      <w:jc w:val="center"/>
      <w:outlineLvl w:val="3"/>
    </w:pPr>
    <w:rPr>
      <w:rFonts w:ascii="Arial" w:hAnsi="Arial" w:eastAsia="黑体"/>
      <w:sz w:val="28"/>
      <w:szCs w:val="20"/>
    </w:rPr>
  </w:style>
  <w:style w:type="paragraph" w:styleId="6">
    <w:name w:val="heading 5"/>
    <w:basedOn w:val="1"/>
    <w:next w:val="7"/>
    <w:link w:val="288"/>
    <w:qFormat/>
    <w:uiPriority w:val="0"/>
    <w:pPr>
      <w:keepNext/>
      <w:keepLines/>
      <w:spacing w:before="280" w:after="290" w:line="372" w:lineRule="auto"/>
      <w:outlineLvl w:val="4"/>
    </w:pPr>
    <w:rPr>
      <w:b/>
      <w:sz w:val="28"/>
    </w:rPr>
  </w:style>
  <w:style w:type="paragraph" w:styleId="8">
    <w:name w:val="heading 6"/>
    <w:basedOn w:val="1"/>
    <w:next w:val="7"/>
    <w:link w:val="319"/>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300"/>
    <w:qFormat/>
    <w:uiPriority w:val="0"/>
    <w:pPr>
      <w:keepNext/>
      <w:keepLines/>
      <w:spacing w:before="240" w:after="64" w:line="317" w:lineRule="auto"/>
      <w:outlineLvl w:val="6"/>
    </w:pPr>
    <w:rPr>
      <w:b/>
      <w:sz w:val="24"/>
    </w:rPr>
  </w:style>
  <w:style w:type="paragraph" w:styleId="10">
    <w:name w:val="heading 8"/>
    <w:basedOn w:val="1"/>
    <w:next w:val="7"/>
    <w:link w:val="299"/>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325"/>
    <w:qFormat/>
    <w:uiPriority w:val="0"/>
    <w:pPr>
      <w:keepNext/>
      <w:keepLines/>
      <w:spacing w:before="240" w:after="64" w:line="317" w:lineRule="auto"/>
      <w:outlineLvl w:val="8"/>
    </w:pPr>
    <w:rPr>
      <w:rFonts w:ascii="Arial" w:hAnsi="Arial" w:eastAsia="黑体"/>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7">
    <w:name w:val="Normal Indent"/>
    <w:basedOn w:val="1"/>
    <w:qFormat/>
    <w:uiPriority w:val="0"/>
    <w:pPr>
      <w:ind w:firstLine="420"/>
    </w:pPr>
    <w:rPr>
      <w:szCs w:val="20"/>
    </w:rPr>
  </w:style>
  <w:style w:type="paragraph" w:styleId="12">
    <w:name w:val="List 3"/>
    <w:basedOn w:val="1"/>
    <w:qFormat/>
    <w:uiPriority w:val="0"/>
    <w:pPr>
      <w:ind w:left="100" w:hanging="200"/>
    </w:pPr>
  </w:style>
  <w:style w:type="paragraph" w:styleId="13">
    <w:name w:val="toc 7"/>
    <w:basedOn w:val="1"/>
    <w:next w:val="1"/>
    <w:qFormat/>
    <w:uiPriority w:val="0"/>
    <w:pPr>
      <w:tabs>
        <w:tab w:val="right" w:leader="dot" w:pos="9185"/>
      </w:tabs>
      <w:spacing w:line="312" w:lineRule="atLeast"/>
      <w:ind w:left="2520"/>
    </w:pPr>
    <w:rPr>
      <w:szCs w:val="20"/>
    </w:rPr>
  </w:style>
  <w:style w:type="paragraph" w:styleId="14">
    <w:name w:val="table of authorities"/>
    <w:basedOn w:val="1"/>
    <w:next w:val="1"/>
    <w:qFormat/>
    <w:uiPriority w:val="0"/>
    <w:pPr>
      <w:ind w:left="420"/>
    </w:pPr>
  </w:style>
  <w:style w:type="paragraph" w:styleId="15">
    <w:name w:val="List Number"/>
    <w:basedOn w:val="1"/>
    <w:qFormat/>
    <w:uiPriority w:val="0"/>
    <w:pPr>
      <w:widowControl/>
      <w:tabs>
        <w:tab w:val="left" w:pos="454"/>
        <w:tab w:val="left" w:pos="720"/>
        <w:tab w:val="left" w:pos="840"/>
      </w:tabs>
      <w:spacing w:after="156"/>
      <w:ind w:left="454" w:hanging="284"/>
      <w:jc w:val="left"/>
    </w:pPr>
    <w:rPr>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337"/>
    <w:qFormat/>
    <w:uiPriority w:val="0"/>
    <w:pPr>
      <w:shd w:val="clear" w:color="auto" w:fill="000080"/>
      <w:spacing w:line="312" w:lineRule="atLeast"/>
    </w:pPr>
    <w:rPr>
      <w:szCs w:val="20"/>
    </w:rPr>
  </w:style>
  <w:style w:type="paragraph" w:styleId="18">
    <w:name w:val="annotation text"/>
    <w:basedOn w:val="1"/>
    <w:link w:val="307"/>
    <w:qFormat/>
    <w:uiPriority w:val="0"/>
    <w:pPr>
      <w:jc w:val="left"/>
    </w:pPr>
  </w:style>
  <w:style w:type="paragraph" w:styleId="19">
    <w:name w:val="Body Text 3"/>
    <w:basedOn w:val="1"/>
    <w:link w:val="292"/>
    <w:qFormat/>
    <w:uiPriority w:val="0"/>
    <w:pPr>
      <w:spacing w:line="500" w:lineRule="exact"/>
    </w:pPr>
    <w:rPr>
      <w:b/>
      <w:bCs/>
      <w:sz w:val="24"/>
    </w:rPr>
  </w:style>
  <w:style w:type="paragraph" w:styleId="20">
    <w:name w:val="Body Text"/>
    <w:basedOn w:val="1"/>
    <w:next w:val="1"/>
    <w:link w:val="329"/>
    <w:qFormat/>
    <w:uiPriority w:val="99"/>
    <w:pPr>
      <w:spacing w:line="380" w:lineRule="exact"/>
    </w:pPr>
    <w:rPr>
      <w:sz w:val="24"/>
    </w:rPr>
  </w:style>
  <w:style w:type="paragraph" w:styleId="21">
    <w:name w:val="Body Text Indent"/>
    <w:basedOn w:val="1"/>
    <w:link w:val="291"/>
    <w:qFormat/>
    <w:uiPriority w:val="99"/>
    <w:pPr>
      <w:ind w:firstLine="830"/>
    </w:pPr>
    <w:rPr>
      <w:rFonts w:ascii="仿宋_GB2312" w:eastAsia="仿宋_GB2312"/>
      <w:sz w:val="32"/>
      <w:szCs w:val="20"/>
    </w:rPr>
  </w:style>
  <w:style w:type="paragraph" w:styleId="22">
    <w:name w:val="List Number 3"/>
    <w:basedOn w:val="1"/>
    <w:qFormat/>
    <w:uiPriority w:val="0"/>
    <w:pPr>
      <w:tabs>
        <w:tab w:val="left" w:pos="1200"/>
      </w:tabs>
      <w:ind w:left="1200" w:hanging="360"/>
    </w:pPr>
  </w:style>
  <w:style w:type="paragraph" w:styleId="23">
    <w:name w:val="List 2"/>
    <w:basedOn w:val="1"/>
    <w:qFormat/>
    <w:uiPriority w:val="0"/>
    <w:pPr>
      <w:ind w:left="100" w:hanging="200"/>
    </w:pPr>
    <w:rPr>
      <w:sz w:val="28"/>
    </w:rPr>
  </w:style>
  <w:style w:type="paragraph" w:styleId="24">
    <w:name w:val="Block Text"/>
    <w:basedOn w:val="1"/>
    <w:qFormat/>
    <w:uiPriority w:val="0"/>
    <w:pPr>
      <w:ind w:left="420" w:right="33"/>
      <w:jc w:val="left"/>
    </w:pPr>
    <w:rPr>
      <w:sz w:val="24"/>
      <w:szCs w:val="20"/>
    </w:rPr>
  </w:style>
  <w:style w:type="paragraph" w:styleId="25">
    <w:name w:val="toc 5"/>
    <w:basedOn w:val="1"/>
    <w:next w:val="1"/>
    <w:qFormat/>
    <w:uiPriority w:val="0"/>
    <w:pPr>
      <w:tabs>
        <w:tab w:val="right" w:leader="dot" w:pos="9185"/>
      </w:tabs>
      <w:spacing w:line="312" w:lineRule="atLeast"/>
      <w:ind w:left="1680"/>
    </w:pPr>
    <w:rPr>
      <w:szCs w:val="20"/>
    </w:rPr>
  </w:style>
  <w:style w:type="paragraph" w:styleId="26">
    <w:name w:val="toc 3"/>
    <w:basedOn w:val="1"/>
    <w:next w:val="1"/>
    <w:qFormat/>
    <w:uiPriority w:val="39"/>
    <w:pPr>
      <w:ind w:left="840"/>
    </w:pPr>
  </w:style>
  <w:style w:type="paragraph" w:styleId="27">
    <w:name w:val="Plain Text"/>
    <w:basedOn w:val="1"/>
    <w:link w:val="286"/>
    <w:qFormat/>
    <w:uiPriority w:val="99"/>
    <w:rPr>
      <w:rFonts w:ascii="宋体" w:hAnsi="Courier New" w:cs="Courier New"/>
      <w:szCs w:val="21"/>
    </w:rPr>
  </w:style>
  <w:style w:type="paragraph" w:styleId="28">
    <w:name w:val="toc 8"/>
    <w:basedOn w:val="1"/>
    <w:next w:val="1"/>
    <w:qFormat/>
    <w:uiPriority w:val="0"/>
    <w:pPr>
      <w:tabs>
        <w:tab w:val="right" w:leader="dot" w:pos="9185"/>
      </w:tabs>
      <w:spacing w:line="312" w:lineRule="atLeast"/>
      <w:ind w:left="2940"/>
    </w:pPr>
    <w:rPr>
      <w:szCs w:val="20"/>
    </w:rPr>
  </w:style>
  <w:style w:type="paragraph" w:styleId="29">
    <w:name w:val="Date"/>
    <w:basedOn w:val="1"/>
    <w:next w:val="1"/>
    <w:link w:val="330"/>
    <w:qFormat/>
    <w:uiPriority w:val="0"/>
    <w:pPr>
      <w:ind w:left="100"/>
    </w:pPr>
    <w:rPr>
      <w:rFonts w:ascii="宋体" w:hAnsi="Courier New"/>
      <w:szCs w:val="21"/>
    </w:rPr>
  </w:style>
  <w:style w:type="paragraph" w:styleId="30">
    <w:name w:val="Body Text Indent 2"/>
    <w:basedOn w:val="1"/>
    <w:link w:val="289"/>
    <w:qFormat/>
    <w:uiPriority w:val="0"/>
    <w:pPr>
      <w:ind w:firstLine="630"/>
    </w:pPr>
    <w:rPr>
      <w:sz w:val="32"/>
      <w:szCs w:val="20"/>
    </w:rPr>
  </w:style>
  <w:style w:type="paragraph" w:styleId="31">
    <w:name w:val="endnote text"/>
    <w:basedOn w:val="1"/>
    <w:link w:val="220"/>
    <w:semiHidden/>
    <w:unhideWhenUsed/>
    <w:qFormat/>
    <w:uiPriority w:val="99"/>
    <w:pPr>
      <w:spacing w:after="0" w:line="240" w:lineRule="auto"/>
    </w:pPr>
    <w:rPr>
      <w:sz w:val="20"/>
      <w:szCs w:val="20"/>
    </w:rPr>
  </w:style>
  <w:style w:type="paragraph" w:styleId="32">
    <w:name w:val="Balloon Text"/>
    <w:basedOn w:val="1"/>
    <w:link w:val="332"/>
    <w:qFormat/>
    <w:uiPriority w:val="0"/>
    <w:rPr>
      <w:sz w:val="18"/>
      <w:szCs w:val="18"/>
    </w:rPr>
  </w:style>
  <w:style w:type="paragraph" w:styleId="33">
    <w:name w:val="footer"/>
    <w:basedOn w:val="1"/>
    <w:link w:val="315"/>
    <w:qFormat/>
    <w:uiPriority w:val="0"/>
    <w:pPr>
      <w:tabs>
        <w:tab w:val="center" w:pos="4153"/>
        <w:tab w:val="right" w:pos="8306"/>
      </w:tabs>
      <w:jc w:val="left"/>
    </w:pPr>
    <w:rPr>
      <w:sz w:val="18"/>
      <w:szCs w:val="18"/>
    </w:rPr>
  </w:style>
  <w:style w:type="paragraph" w:styleId="34">
    <w:name w:val="header"/>
    <w:basedOn w:val="1"/>
    <w:link w:val="294"/>
    <w:qFormat/>
    <w:uiPriority w:val="99"/>
    <w:pPr>
      <w:pBdr>
        <w:bottom w:val="single" w:color="000000" w:sz="6" w:space="1"/>
      </w:pBdr>
      <w:tabs>
        <w:tab w:val="center" w:pos="4153"/>
        <w:tab w:val="right" w:pos="8306"/>
      </w:tabs>
      <w:jc w:val="center"/>
    </w:pPr>
    <w:rPr>
      <w:sz w:val="18"/>
      <w:szCs w:val="18"/>
    </w:rPr>
  </w:style>
  <w:style w:type="paragraph" w:styleId="35">
    <w:name w:val="toc 1"/>
    <w:basedOn w:val="1"/>
    <w:next w:val="1"/>
    <w:qFormat/>
    <w:uiPriority w:val="39"/>
    <w:pPr>
      <w:tabs>
        <w:tab w:val="right" w:leader="dot" w:pos="8398"/>
      </w:tabs>
      <w:spacing w:before="120" w:after="120"/>
      <w:ind w:firstLine="240"/>
      <w:jc w:val="left"/>
    </w:pPr>
    <w:rPr>
      <w:rFonts w:ascii="宋体" w:hAnsi="宋体"/>
      <w:b/>
      <w:bCs/>
      <w:caps/>
      <w:sz w:val="24"/>
    </w:rPr>
  </w:style>
  <w:style w:type="paragraph" w:styleId="36">
    <w:name w:val="toc 4"/>
    <w:basedOn w:val="1"/>
    <w:next w:val="1"/>
    <w:qFormat/>
    <w:uiPriority w:val="0"/>
    <w:pPr>
      <w:tabs>
        <w:tab w:val="right" w:leader="dot" w:pos="9185"/>
      </w:tabs>
      <w:spacing w:line="312" w:lineRule="atLeast"/>
      <w:ind w:left="1260"/>
    </w:pPr>
    <w:rPr>
      <w:szCs w:val="20"/>
    </w:rPr>
  </w:style>
  <w:style w:type="paragraph" w:styleId="37">
    <w:name w:val="Subtitle"/>
    <w:basedOn w:val="1"/>
    <w:next w:val="1"/>
    <w:link w:val="20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8">
    <w:name w:val="List"/>
    <w:basedOn w:val="1"/>
    <w:qFormat/>
    <w:uiPriority w:val="0"/>
    <w:pPr>
      <w:ind w:left="200" w:hanging="200"/>
    </w:pPr>
    <w:rPr>
      <w:sz w:val="28"/>
    </w:rPr>
  </w:style>
  <w:style w:type="paragraph" w:styleId="39">
    <w:name w:val="footnote text"/>
    <w:basedOn w:val="1"/>
    <w:link w:val="219"/>
    <w:semiHidden/>
    <w:unhideWhenUsed/>
    <w:qFormat/>
    <w:uiPriority w:val="99"/>
    <w:pPr>
      <w:spacing w:after="0" w:line="240" w:lineRule="auto"/>
    </w:pPr>
    <w:rPr>
      <w:sz w:val="20"/>
      <w:szCs w:val="20"/>
    </w:rPr>
  </w:style>
  <w:style w:type="paragraph" w:styleId="40">
    <w:name w:val="toc 6"/>
    <w:basedOn w:val="1"/>
    <w:next w:val="1"/>
    <w:qFormat/>
    <w:uiPriority w:val="0"/>
    <w:pPr>
      <w:tabs>
        <w:tab w:val="right" w:leader="dot" w:pos="9185"/>
      </w:tabs>
      <w:spacing w:line="312" w:lineRule="atLeast"/>
      <w:ind w:left="2100"/>
    </w:pPr>
    <w:rPr>
      <w:szCs w:val="20"/>
    </w:rPr>
  </w:style>
  <w:style w:type="paragraph" w:styleId="41">
    <w:name w:val="List 5"/>
    <w:basedOn w:val="1"/>
    <w:qFormat/>
    <w:uiPriority w:val="0"/>
    <w:pPr>
      <w:ind w:left="2100" w:hanging="420"/>
    </w:pPr>
    <w:rPr>
      <w:szCs w:val="20"/>
    </w:rPr>
  </w:style>
  <w:style w:type="paragraph" w:styleId="42">
    <w:name w:val="Body Text Indent 3"/>
    <w:basedOn w:val="1"/>
    <w:link w:val="311"/>
    <w:qFormat/>
    <w:uiPriority w:val="0"/>
    <w:pPr>
      <w:spacing w:after="120"/>
      <w:ind w:left="420"/>
    </w:pPr>
    <w:rPr>
      <w:sz w:val="16"/>
      <w:szCs w:val="16"/>
    </w:rPr>
  </w:style>
  <w:style w:type="paragraph" w:styleId="43">
    <w:name w:val="table of figures"/>
    <w:basedOn w:val="1"/>
    <w:next w:val="1"/>
    <w:unhideWhenUsed/>
    <w:qFormat/>
    <w:uiPriority w:val="99"/>
    <w:pPr>
      <w:spacing w:after="0" w:afterAutospacing="0"/>
    </w:pPr>
  </w:style>
  <w:style w:type="paragraph" w:styleId="44">
    <w:name w:val="toc 2"/>
    <w:basedOn w:val="1"/>
    <w:next w:val="1"/>
    <w:qFormat/>
    <w:uiPriority w:val="39"/>
    <w:pPr>
      <w:ind w:left="420"/>
    </w:pPr>
  </w:style>
  <w:style w:type="paragraph" w:styleId="45">
    <w:name w:val="toc 9"/>
    <w:basedOn w:val="1"/>
    <w:next w:val="1"/>
    <w:qFormat/>
    <w:uiPriority w:val="0"/>
    <w:pPr>
      <w:tabs>
        <w:tab w:val="right" w:leader="dot" w:pos="9185"/>
      </w:tabs>
      <w:spacing w:line="312" w:lineRule="atLeast"/>
      <w:ind w:left="3360"/>
    </w:pPr>
    <w:rPr>
      <w:szCs w:val="20"/>
    </w:rPr>
  </w:style>
  <w:style w:type="paragraph" w:styleId="46">
    <w:name w:val="Body Text 2"/>
    <w:basedOn w:val="1"/>
    <w:link w:val="316"/>
    <w:qFormat/>
    <w:uiPriority w:val="0"/>
    <w:pPr>
      <w:spacing w:after="120" w:line="480" w:lineRule="auto"/>
    </w:pPr>
  </w:style>
  <w:style w:type="paragraph" w:styleId="47">
    <w:name w:val="List 4"/>
    <w:basedOn w:val="1"/>
    <w:qFormat/>
    <w:uiPriority w:val="0"/>
    <w:pPr>
      <w:ind w:left="100" w:hanging="200"/>
    </w:pPr>
  </w:style>
  <w:style w:type="paragraph" w:styleId="48">
    <w:name w:val="List Continue 2"/>
    <w:basedOn w:val="1"/>
    <w:qFormat/>
    <w:uiPriority w:val="0"/>
    <w:pPr>
      <w:spacing w:after="120"/>
      <w:ind w:left="840"/>
    </w:pPr>
  </w:style>
  <w:style w:type="paragraph" w:styleId="49">
    <w:name w:val="HTML Preformatted"/>
    <w:basedOn w:val="1"/>
    <w:link w:val="2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sz w:val="20"/>
      <w:szCs w:val="20"/>
    </w:rPr>
  </w:style>
  <w:style w:type="paragraph" w:styleId="50">
    <w:name w:val="Normal (Web)"/>
    <w:basedOn w:val="1"/>
    <w:qFormat/>
    <w:uiPriority w:val="99"/>
    <w:pPr>
      <w:widowControl/>
      <w:spacing w:before="100" w:beforeAutospacing="1" w:after="100" w:afterAutospacing="1"/>
      <w:jc w:val="left"/>
    </w:pPr>
    <w:rPr>
      <w:rFonts w:ascii="宋体" w:hAnsi="宋体"/>
      <w:sz w:val="24"/>
    </w:rPr>
  </w:style>
  <w:style w:type="paragraph" w:styleId="51">
    <w:name w:val="index 1"/>
    <w:basedOn w:val="1"/>
    <w:next w:val="1"/>
    <w:qFormat/>
    <w:uiPriority w:val="0"/>
    <w:pPr>
      <w:spacing w:line="400" w:lineRule="exact"/>
      <w:ind w:firstLine="420"/>
    </w:pPr>
    <w:rPr>
      <w:rFonts w:ascii="宋体" w:hAnsi="Courier New"/>
      <w:b/>
      <w:szCs w:val="20"/>
    </w:rPr>
  </w:style>
  <w:style w:type="paragraph" w:styleId="52">
    <w:name w:val="Title"/>
    <w:basedOn w:val="1"/>
    <w:next w:val="1"/>
    <w:link w:val="314"/>
    <w:qFormat/>
    <w:uiPriority w:val="0"/>
    <w:pPr>
      <w:jc w:val="center"/>
    </w:pPr>
    <w:rPr>
      <w:sz w:val="30"/>
    </w:rPr>
  </w:style>
  <w:style w:type="paragraph" w:styleId="53">
    <w:name w:val="annotation subject"/>
    <w:basedOn w:val="18"/>
    <w:next w:val="18"/>
    <w:link w:val="321"/>
    <w:qFormat/>
    <w:uiPriority w:val="0"/>
    <w:rPr>
      <w:b/>
      <w:bCs/>
    </w:rPr>
  </w:style>
  <w:style w:type="paragraph" w:styleId="54">
    <w:name w:val="Body Text First Indent"/>
    <w:basedOn w:val="20"/>
    <w:link w:val="320"/>
    <w:qFormat/>
    <w:uiPriority w:val="0"/>
    <w:pPr>
      <w:spacing w:after="120" w:line="240" w:lineRule="auto"/>
      <w:ind w:firstLine="420"/>
    </w:pPr>
    <w:rPr>
      <w:sz w:val="21"/>
    </w:rPr>
  </w:style>
  <w:style w:type="paragraph" w:styleId="55">
    <w:name w:val="Body Text First Indent 2"/>
    <w:basedOn w:val="1"/>
    <w:link w:val="324"/>
    <w:qFormat/>
    <w:uiPriority w:val="0"/>
    <w:pPr>
      <w:spacing w:after="120"/>
      <w:ind w:left="420" w:firstLine="420"/>
    </w:pPr>
  </w:style>
  <w:style w:type="table" w:styleId="57">
    <w:name w:val="Table Grid"/>
    <w:basedOn w:val="56"/>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op w:val="single" w:color="000000" w:sz="4" w:space="0"/>
        <w:left w:val="single" w:color="000000" w:sz="4" w:space="0"/>
        <w:bottom w:val="single" w:color="000000" w:sz="4" w:space="0"/>
        <w:right w:val="single" w:color="000000" w:sz="4" w:space="0"/>
      </w:tcBorders>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59">
    <w:name w:val="Strong"/>
    <w:qFormat/>
    <w:uiPriority w:val="22"/>
    <w:rPr>
      <w:b/>
      <w:bCs/>
    </w:rPr>
  </w:style>
  <w:style w:type="character" w:styleId="60">
    <w:name w:val="endnote reference"/>
    <w:basedOn w:val="58"/>
    <w:semiHidden/>
    <w:unhideWhenUsed/>
    <w:qFormat/>
    <w:uiPriority w:val="99"/>
    <w:rPr>
      <w:vertAlign w:val="superscript"/>
    </w:rPr>
  </w:style>
  <w:style w:type="character" w:styleId="61">
    <w:name w:val="page number"/>
    <w:basedOn w:val="58"/>
    <w:qFormat/>
    <w:uiPriority w:val="0"/>
  </w:style>
  <w:style w:type="character" w:styleId="62">
    <w:name w:val="FollowedHyperlink"/>
    <w:qFormat/>
    <w:uiPriority w:val="99"/>
    <w:rPr>
      <w:color w:val="800080"/>
      <w:u w:val="single"/>
    </w:rPr>
  </w:style>
  <w:style w:type="character" w:styleId="63">
    <w:name w:val="Emphasis"/>
    <w:basedOn w:val="58"/>
    <w:qFormat/>
    <w:uiPriority w:val="20"/>
    <w:rPr>
      <w:i/>
      <w:iCs/>
    </w:rPr>
  </w:style>
  <w:style w:type="character" w:styleId="64">
    <w:name w:val="HTML Definition"/>
    <w:basedOn w:val="58"/>
    <w:qFormat/>
    <w:uiPriority w:val="0"/>
    <w:rPr>
      <w:i/>
      <w:iCs/>
      <w:shd w:val="clear" w:color="auto" w:fill="FFFFFF"/>
    </w:rPr>
  </w:style>
  <w:style w:type="character" w:styleId="65">
    <w:name w:val="Hyperlink"/>
    <w:qFormat/>
    <w:uiPriority w:val="99"/>
    <w:rPr>
      <w:color w:val="0000FF"/>
      <w:u w:val="single"/>
    </w:rPr>
  </w:style>
  <w:style w:type="character" w:styleId="66">
    <w:name w:val="HTML Code"/>
    <w:basedOn w:val="58"/>
    <w:qFormat/>
    <w:uiPriority w:val="0"/>
    <w:rPr>
      <w:rFonts w:hint="default" w:ascii="Consolas" w:hAnsi="Consolas" w:eastAsia="Consolas" w:cs="Consolas"/>
      <w:sz w:val="21"/>
      <w:szCs w:val="21"/>
    </w:rPr>
  </w:style>
  <w:style w:type="character" w:styleId="67">
    <w:name w:val="annotation reference"/>
    <w:qFormat/>
    <w:uiPriority w:val="99"/>
    <w:rPr>
      <w:sz w:val="21"/>
      <w:szCs w:val="21"/>
    </w:rPr>
  </w:style>
  <w:style w:type="character" w:styleId="68">
    <w:name w:val="footnote reference"/>
    <w:basedOn w:val="58"/>
    <w:semiHidden/>
    <w:unhideWhenUsed/>
    <w:qFormat/>
    <w:uiPriority w:val="99"/>
    <w:rPr>
      <w:vertAlign w:val="superscript"/>
    </w:rPr>
  </w:style>
  <w:style w:type="character" w:styleId="69">
    <w:name w:val="HTML Keyboard"/>
    <w:basedOn w:val="58"/>
    <w:qFormat/>
    <w:uiPriority w:val="0"/>
    <w:rPr>
      <w:rFonts w:hint="default" w:ascii="Consolas" w:hAnsi="Consolas" w:eastAsia="Consolas" w:cs="Consolas"/>
      <w:sz w:val="21"/>
      <w:szCs w:val="21"/>
    </w:rPr>
  </w:style>
  <w:style w:type="character" w:styleId="70">
    <w:name w:val="HTML Sample"/>
    <w:basedOn w:val="58"/>
    <w:qFormat/>
    <w:uiPriority w:val="0"/>
    <w:rPr>
      <w:rFonts w:ascii="Consolas" w:hAnsi="Consolas" w:eastAsia="Consolas" w:cs="Consolas"/>
      <w:sz w:val="21"/>
      <w:szCs w:val="21"/>
    </w:rPr>
  </w:style>
  <w:style w:type="table" w:customStyle="1" w:styleId="71">
    <w:name w:val="Table Grid Light"/>
    <w:basedOn w:val="5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72">
    <w:name w:val="Plain Table 1"/>
    <w:basedOn w:val="5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3">
    <w:name w:val="Plain Table 2"/>
    <w:basedOn w:val="56"/>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4">
    <w:name w:val="Plain Table 3"/>
    <w:basedOn w:val="56"/>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5">
    <w:name w:val="Plain Table 4"/>
    <w:basedOn w:val="56"/>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6">
    <w:name w:val="Plain Table 5"/>
    <w:basedOn w:val="56"/>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7">
    <w:name w:val="Grid Table 1 Light"/>
    <w:basedOn w:val="56"/>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78">
    <w:name w:val="Grid Table 1 Light - Accent 1"/>
    <w:basedOn w:val="5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79">
    <w:name w:val="Grid Table 1 Light - Accent 2"/>
    <w:basedOn w:val="5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80">
    <w:name w:val="Grid Table 1 Light - Accent 3"/>
    <w:basedOn w:val="5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81">
    <w:name w:val="Grid Table 1 Light - Accent 4"/>
    <w:basedOn w:val="5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82">
    <w:name w:val="Grid Table 1 Light - Accent 5"/>
    <w:basedOn w:val="56"/>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83">
    <w:name w:val="Grid Table 1 Light - Accent 6"/>
    <w:basedOn w:val="5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84">
    <w:name w:val="Grid Table 2"/>
    <w:basedOn w:val="5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5">
    <w:name w:val="Grid Table 2 - Accent 1"/>
    <w:basedOn w:val="56"/>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6">
    <w:name w:val="Grid Table 2 - Accent 2"/>
    <w:basedOn w:val="5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7">
    <w:name w:val="Grid Table 2 - Accent 3"/>
    <w:basedOn w:val="5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8">
    <w:name w:val="Grid Table 2 - Accent 4"/>
    <w:basedOn w:val="56"/>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9">
    <w:name w:val="Grid Table 2 - Accent 5"/>
    <w:basedOn w:val="56"/>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0">
    <w:name w:val="Grid Table 2 - Accent 6"/>
    <w:basedOn w:val="5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1">
    <w:name w:val="Grid Table 3"/>
    <w:basedOn w:val="5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2">
    <w:name w:val="Grid Table 3 - Accent 1"/>
    <w:basedOn w:val="56"/>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93">
    <w:name w:val="Grid Table 3 - Accent 2"/>
    <w:basedOn w:val="5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4">
    <w:name w:val="Grid Table 3 - Accent 3"/>
    <w:basedOn w:val="5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5">
    <w:name w:val="Grid Table 3 - Accent 4"/>
    <w:basedOn w:val="56"/>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6">
    <w:name w:val="Grid Table 3 - Accent 5"/>
    <w:basedOn w:val="56"/>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7">
    <w:name w:val="Grid Table 3 - Accent 6"/>
    <w:basedOn w:val="5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8">
    <w:name w:val="Grid Table 4"/>
    <w:basedOn w:val="56"/>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9">
    <w:name w:val="Grid Table 4 - Accent 1"/>
    <w:basedOn w:val="56"/>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100">
    <w:name w:val="Grid Table 4 - Accent 2"/>
    <w:basedOn w:val="56"/>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01">
    <w:name w:val="Grid Table 4 - Accent 3"/>
    <w:basedOn w:val="56"/>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02">
    <w:name w:val="Grid Table 4 - Accent 4"/>
    <w:basedOn w:val="56"/>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03">
    <w:name w:val="Grid Table 4 - Accent 5"/>
    <w:basedOn w:val="56"/>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04">
    <w:name w:val="Grid Table 4 - Accent 6"/>
    <w:basedOn w:val="5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05">
    <w:name w:val="Grid Table 5 Dark"/>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106">
    <w:name w:val="Grid Table 5 Dark- Accent 1"/>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07">
    <w:name w:val="Grid Table 5 Dark - Accent 2"/>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08">
    <w:name w:val="Grid Table 5 Dark - Accent 3"/>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09">
    <w:name w:val="Grid Table 5 Dark- Accent 4"/>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10">
    <w:name w:val="Grid Table 5 Dark - Accent 5"/>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11">
    <w:name w:val="Grid Table 5 Dark - Accent 6"/>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12">
    <w:name w:val="Grid Table 6 Colorful"/>
    <w:basedOn w:val="56"/>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3">
    <w:name w:val="Grid Table 6 Colorful - Accent 1"/>
    <w:basedOn w:val="56"/>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4">
    <w:name w:val="Grid Table 6 Colorful - Accent 2"/>
    <w:basedOn w:val="5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5">
    <w:name w:val="Grid Table 6 Colorful - Accent 3"/>
    <w:basedOn w:val="56"/>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6">
    <w:name w:val="Grid Table 6 Colorful - Accent 4"/>
    <w:basedOn w:val="56"/>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7">
    <w:name w:val="Grid Table 6 Colorful - Accent 5"/>
    <w:basedOn w:val="56"/>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8">
    <w:name w:val="Grid Table 6 Colorful - Accent 6"/>
    <w:basedOn w:val="5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9">
    <w:name w:val="Grid Table 7 Colorful"/>
    <w:basedOn w:val="56"/>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20">
    <w:name w:val="Grid Table 7 Colorful - Accent 1"/>
    <w:basedOn w:val="56"/>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21">
    <w:name w:val="Grid Table 7 Colorful - Accent 2"/>
    <w:basedOn w:val="56"/>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22">
    <w:name w:val="Grid Table 7 Colorful - Accent 3"/>
    <w:basedOn w:val="56"/>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23">
    <w:name w:val="Grid Table 7 Colorful - Accent 4"/>
    <w:basedOn w:val="56"/>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24">
    <w:name w:val="Grid Table 7 Colorful - Accent 5"/>
    <w:basedOn w:val="56"/>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5">
    <w:name w:val="Grid Table 7 Colorful - Accent 6"/>
    <w:basedOn w:val="5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26">
    <w:name w:val="List Table 1 Light"/>
    <w:basedOn w:val="56"/>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7">
    <w:name w:val="List Table 1 Light - Accent 1"/>
    <w:basedOn w:val="56"/>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8">
    <w:name w:val="List Table 1 Light - Accent 2"/>
    <w:basedOn w:val="56"/>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9">
    <w:name w:val="List Table 1 Light - Accent 3"/>
    <w:basedOn w:val="56"/>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0">
    <w:name w:val="List Table 1 Light - Accent 4"/>
    <w:basedOn w:val="56"/>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1">
    <w:name w:val="List Table 1 Light - Accent 5"/>
    <w:basedOn w:val="56"/>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2">
    <w:name w:val="List Table 1 Light - Accent 6"/>
    <w:basedOn w:val="5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3">
    <w:name w:val="List Table 2"/>
    <w:basedOn w:val="56"/>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4">
    <w:name w:val="List Table 2 - Accent 1"/>
    <w:basedOn w:val="56"/>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5">
    <w:name w:val="List Table 2 - Accent 2"/>
    <w:basedOn w:val="56"/>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6">
    <w:name w:val="List Table 2 - Accent 3"/>
    <w:basedOn w:val="56"/>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7">
    <w:name w:val="List Table 2 - Accent 4"/>
    <w:basedOn w:val="56"/>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8">
    <w:name w:val="List Table 2 - Accent 5"/>
    <w:basedOn w:val="56"/>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9">
    <w:name w:val="List Table 2 - Accent 6"/>
    <w:basedOn w:val="5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0">
    <w:name w:val="List Table 3"/>
    <w:basedOn w:val="5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41">
    <w:name w:val="List Table 3 - Accent 1"/>
    <w:basedOn w:val="56"/>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42">
    <w:name w:val="List Table 3 - Accent 2"/>
    <w:basedOn w:val="5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43">
    <w:name w:val="List Table 3 - Accent 3"/>
    <w:basedOn w:val="56"/>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44">
    <w:name w:val="List Table 3 - Accent 4"/>
    <w:basedOn w:val="56"/>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45">
    <w:name w:val="List Table 3 - Accent 5"/>
    <w:basedOn w:val="56"/>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46">
    <w:name w:val="List Table 3 - Accent 6"/>
    <w:basedOn w:val="5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47">
    <w:name w:val="List Table 4"/>
    <w:basedOn w:val="5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48">
    <w:name w:val="List Table 4 - Accent 1"/>
    <w:basedOn w:val="56"/>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49">
    <w:name w:val="List Table 4 - Accent 2"/>
    <w:basedOn w:val="56"/>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50">
    <w:name w:val="List Table 4 - Accent 3"/>
    <w:basedOn w:val="56"/>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51">
    <w:name w:val="List Table 4 - Accent 4"/>
    <w:basedOn w:val="56"/>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52">
    <w:name w:val="List Table 4 - Accent 5"/>
    <w:basedOn w:val="56"/>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53">
    <w:name w:val="List Table 4 - Accent 6"/>
    <w:basedOn w:val="5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54">
    <w:name w:val="List Table 5 Dark"/>
    <w:basedOn w:val="56"/>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55">
    <w:name w:val="List Table 5 Dark - Accent 1"/>
    <w:basedOn w:val="56"/>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56">
    <w:name w:val="List Table 5 Dark - Accent 2"/>
    <w:basedOn w:val="56"/>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57">
    <w:name w:val="List Table 5 Dark - Accent 3"/>
    <w:basedOn w:val="56"/>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58">
    <w:name w:val="List Table 5 Dark - Accent 4"/>
    <w:basedOn w:val="56"/>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59">
    <w:name w:val="List Table 5 Dark - Accent 5"/>
    <w:basedOn w:val="56"/>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60">
    <w:name w:val="List Table 5 Dark - Accent 6"/>
    <w:basedOn w:val="5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61">
    <w:name w:val="List Table 6 Colorful"/>
    <w:basedOn w:val="56"/>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62">
    <w:name w:val="List Table 6 Colorful - Accent 1"/>
    <w:basedOn w:val="56"/>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3">
    <w:name w:val="List Table 6 Colorful - Accent 2"/>
    <w:basedOn w:val="56"/>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4">
    <w:name w:val="List Table 6 Colorful - Accent 3"/>
    <w:basedOn w:val="56"/>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5">
    <w:name w:val="List Table 6 Colorful - Accent 4"/>
    <w:basedOn w:val="56"/>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6">
    <w:name w:val="List Table 6 Colorful - Accent 5"/>
    <w:basedOn w:val="56"/>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7">
    <w:name w:val="List Table 6 Colorful - Accent 6"/>
    <w:basedOn w:val="5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8">
    <w:name w:val="List Table 7 Colorful"/>
    <w:basedOn w:val="56"/>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69">
    <w:name w:val="List Table 7 Colorful - Accent 1"/>
    <w:basedOn w:val="56"/>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70">
    <w:name w:val="List Table 7 Colorful - Accent 2"/>
    <w:basedOn w:val="56"/>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71">
    <w:name w:val="List Table 7 Colorful - Accent 3"/>
    <w:basedOn w:val="56"/>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72">
    <w:name w:val="List Table 7 Colorful - Accent 4"/>
    <w:basedOn w:val="56"/>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73">
    <w:name w:val="List Table 7 Colorful - Accent 5"/>
    <w:basedOn w:val="56"/>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74">
    <w:name w:val="List Table 7 Colorful - Accent 6"/>
    <w:basedOn w:val="5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75">
    <w:name w:val="Lined - Accent"/>
    <w:basedOn w:val="56"/>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6">
    <w:name w:val="Lined - Accent 1"/>
    <w:basedOn w:val="56"/>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7">
    <w:name w:val="Lined - Accent 2"/>
    <w:basedOn w:val="56"/>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8">
    <w:name w:val="Lined - Accent 3"/>
    <w:basedOn w:val="56"/>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9">
    <w:name w:val="Lined - Accent 4"/>
    <w:basedOn w:val="56"/>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0">
    <w:name w:val="Lined - Accent 5"/>
    <w:basedOn w:val="56"/>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1">
    <w:name w:val="Lined - Accent 6"/>
    <w:basedOn w:val="5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2">
    <w:name w:val="Bordered &amp; Lined - Accent"/>
    <w:basedOn w:val="56"/>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83">
    <w:name w:val="Bordered &amp; Lined - Accent 1"/>
    <w:basedOn w:val="56"/>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84">
    <w:name w:val="Bordered &amp; Lined - Accent 2"/>
    <w:basedOn w:val="56"/>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85">
    <w:name w:val="Bordered &amp; Lined - Accent 3"/>
    <w:basedOn w:val="56"/>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86">
    <w:name w:val="Bordered &amp; Lined - Accent 4"/>
    <w:basedOn w:val="56"/>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7">
    <w:name w:val="Bordered &amp; Lined - Accent 5"/>
    <w:basedOn w:val="56"/>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8">
    <w:name w:val="Bordered &amp; Lined - Accent 6"/>
    <w:basedOn w:val="5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9">
    <w:name w:val="Bordered"/>
    <w:basedOn w:val="56"/>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90">
    <w:name w:val="Bordered - Accent 1"/>
    <w:basedOn w:val="5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91">
    <w:name w:val="Bordered - Accent 2"/>
    <w:basedOn w:val="5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92">
    <w:name w:val="Bordered - Accent 3"/>
    <w:basedOn w:val="5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93">
    <w:name w:val="Bordered - Accent 4"/>
    <w:basedOn w:val="5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94">
    <w:name w:val="Bordered - Accent 5"/>
    <w:basedOn w:val="56"/>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95">
    <w:name w:val="Bordered - Accent 6"/>
    <w:basedOn w:val="5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96">
    <w:name w:val="Heading 1 Char"/>
    <w:basedOn w:val="58"/>
    <w:qFormat/>
    <w:uiPriority w:val="9"/>
    <w:rPr>
      <w:rFonts w:ascii="Arial" w:hAnsi="Arial" w:eastAsia="Arial" w:cs="Arial"/>
      <w:color w:val="376092" w:themeColor="accent1" w:themeShade="BF"/>
      <w:sz w:val="40"/>
      <w:szCs w:val="40"/>
    </w:rPr>
  </w:style>
  <w:style w:type="character" w:customStyle="1" w:styleId="197">
    <w:name w:val="Heading 2 Char"/>
    <w:basedOn w:val="58"/>
    <w:qFormat/>
    <w:uiPriority w:val="9"/>
    <w:rPr>
      <w:rFonts w:ascii="Arial" w:hAnsi="Arial" w:eastAsia="Arial" w:cs="Arial"/>
      <w:color w:val="376092" w:themeColor="accent1" w:themeShade="BF"/>
      <w:sz w:val="32"/>
      <w:szCs w:val="32"/>
    </w:rPr>
  </w:style>
  <w:style w:type="character" w:customStyle="1" w:styleId="198">
    <w:name w:val="Heading 3 Char"/>
    <w:basedOn w:val="58"/>
    <w:qFormat/>
    <w:uiPriority w:val="9"/>
    <w:rPr>
      <w:rFonts w:ascii="Arial" w:hAnsi="Arial" w:eastAsia="Arial" w:cs="Arial"/>
      <w:color w:val="376092" w:themeColor="accent1" w:themeShade="BF"/>
      <w:sz w:val="28"/>
      <w:szCs w:val="28"/>
    </w:rPr>
  </w:style>
  <w:style w:type="character" w:customStyle="1" w:styleId="199">
    <w:name w:val="Heading 4 Char"/>
    <w:basedOn w:val="58"/>
    <w:qFormat/>
    <w:uiPriority w:val="9"/>
    <w:rPr>
      <w:rFonts w:ascii="Arial" w:hAnsi="Arial" w:eastAsia="Arial" w:cs="Arial"/>
      <w:i/>
      <w:iCs/>
      <w:color w:val="376092" w:themeColor="accent1" w:themeShade="BF"/>
    </w:rPr>
  </w:style>
  <w:style w:type="character" w:customStyle="1" w:styleId="200">
    <w:name w:val="Heading 5 Char"/>
    <w:basedOn w:val="58"/>
    <w:qFormat/>
    <w:uiPriority w:val="9"/>
    <w:rPr>
      <w:rFonts w:ascii="Arial" w:hAnsi="Arial" w:eastAsia="Arial" w:cs="Arial"/>
      <w:color w:val="376092" w:themeColor="accent1" w:themeShade="BF"/>
    </w:rPr>
  </w:style>
  <w:style w:type="character" w:customStyle="1" w:styleId="201">
    <w:name w:val="Heading 6 Char"/>
    <w:basedOn w:val="5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202">
    <w:name w:val="Heading 7 Char"/>
    <w:basedOn w:val="5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3">
    <w:name w:val="Heading 8 Char"/>
    <w:basedOn w:val="58"/>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4">
    <w:name w:val="Heading 9 Char"/>
    <w:basedOn w:val="58"/>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5">
    <w:name w:val="Title Char"/>
    <w:basedOn w:val="58"/>
    <w:qFormat/>
    <w:uiPriority w:val="10"/>
    <w:rPr>
      <w:rFonts w:ascii="Arial" w:hAnsi="Arial" w:eastAsia="Arial" w:cs="Arial"/>
      <w:spacing w:val="-10"/>
      <w:sz w:val="56"/>
      <w:szCs w:val="56"/>
    </w:rPr>
  </w:style>
  <w:style w:type="character" w:customStyle="1" w:styleId="206">
    <w:name w:val="Subtitle Char"/>
    <w:basedOn w:val="58"/>
    <w:link w:val="3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07">
    <w:name w:val="Quote"/>
    <w:basedOn w:val="1"/>
    <w:next w:val="1"/>
    <w:link w:val="20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08">
    <w:name w:val="Quote Char"/>
    <w:basedOn w:val="58"/>
    <w:link w:val="207"/>
    <w:qFormat/>
    <w:uiPriority w:val="29"/>
    <w:rPr>
      <w:i/>
      <w:iCs/>
      <w:color w:val="404040" w:themeColor="text1" w:themeTint="BF"/>
      <w14:textFill>
        <w14:solidFill>
          <w14:schemeClr w14:val="tx1">
            <w14:lumMod w14:val="75000"/>
            <w14:lumOff w14:val="25000"/>
          </w14:schemeClr>
        </w14:solidFill>
      </w14:textFill>
    </w:rPr>
  </w:style>
  <w:style w:type="character" w:customStyle="1" w:styleId="209">
    <w:name w:val="Intense Emphasis"/>
    <w:basedOn w:val="58"/>
    <w:qFormat/>
    <w:uiPriority w:val="21"/>
    <w:rPr>
      <w:i/>
      <w:iCs/>
      <w:color w:val="376092" w:themeColor="accent1" w:themeShade="BF"/>
    </w:rPr>
  </w:style>
  <w:style w:type="paragraph" w:styleId="210">
    <w:name w:val="Intense Quote"/>
    <w:basedOn w:val="1"/>
    <w:next w:val="1"/>
    <w:link w:val="21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11">
    <w:name w:val="Intense Quote Char"/>
    <w:basedOn w:val="58"/>
    <w:link w:val="210"/>
    <w:qFormat/>
    <w:uiPriority w:val="30"/>
    <w:rPr>
      <w:i/>
      <w:iCs/>
      <w:color w:val="376092" w:themeColor="accent1" w:themeShade="BF"/>
    </w:rPr>
  </w:style>
  <w:style w:type="character" w:customStyle="1" w:styleId="212">
    <w:name w:val="Intense Reference"/>
    <w:basedOn w:val="58"/>
    <w:qFormat/>
    <w:uiPriority w:val="32"/>
    <w:rPr>
      <w:b/>
      <w:bCs/>
      <w:smallCaps/>
      <w:color w:val="376092" w:themeColor="accent1" w:themeShade="BF"/>
      <w:spacing w:val="5"/>
    </w:rPr>
  </w:style>
  <w:style w:type="paragraph" w:styleId="213">
    <w:name w:val="No Spacing"/>
    <w:basedOn w:val="1"/>
    <w:qFormat/>
    <w:uiPriority w:val="1"/>
    <w:pPr>
      <w:spacing w:after="0" w:line="240" w:lineRule="auto"/>
    </w:pPr>
  </w:style>
  <w:style w:type="character" w:customStyle="1" w:styleId="214">
    <w:name w:val="Subtle Emphasis"/>
    <w:basedOn w:val="58"/>
    <w:qFormat/>
    <w:uiPriority w:val="19"/>
    <w:rPr>
      <w:i/>
      <w:iCs/>
      <w:color w:val="404040" w:themeColor="text1" w:themeTint="BF"/>
      <w14:textFill>
        <w14:solidFill>
          <w14:schemeClr w14:val="tx1">
            <w14:lumMod w14:val="75000"/>
            <w14:lumOff w14:val="25000"/>
          </w14:schemeClr>
        </w14:solidFill>
      </w14:textFill>
    </w:rPr>
  </w:style>
  <w:style w:type="character" w:customStyle="1" w:styleId="215">
    <w:name w:val="Subtle Reference"/>
    <w:basedOn w:val="58"/>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6">
    <w:name w:val="Book Title"/>
    <w:basedOn w:val="58"/>
    <w:qFormat/>
    <w:uiPriority w:val="33"/>
    <w:rPr>
      <w:b/>
      <w:bCs/>
      <w:i/>
      <w:iCs/>
      <w:spacing w:val="5"/>
    </w:rPr>
  </w:style>
  <w:style w:type="character" w:customStyle="1" w:styleId="217">
    <w:name w:val="Header Char"/>
    <w:basedOn w:val="58"/>
    <w:qFormat/>
    <w:uiPriority w:val="99"/>
  </w:style>
  <w:style w:type="character" w:customStyle="1" w:styleId="218">
    <w:name w:val="Footer Char"/>
    <w:basedOn w:val="58"/>
    <w:qFormat/>
    <w:uiPriority w:val="99"/>
  </w:style>
  <w:style w:type="character" w:customStyle="1" w:styleId="219">
    <w:name w:val="Footnote Text Char"/>
    <w:basedOn w:val="58"/>
    <w:link w:val="39"/>
    <w:semiHidden/>
    <w:qFormat/>
    <w:uiPriority w:val="99"/>
    <w:rPr>
      <w:sz w:val="20"/>
      <w:szCs w:val="20"/>
    </w:rPr>
  </w:style>
  <w:style w:type="character" w:customStyle="1" w:styleId="220">
    <w:name w:val="Endnote Text Char"/>
    <w:basedOn w:val="58"/>
    <w:link w:val="31"/>
    <w:semiHidden/>
    <w:qFormat/>
    <w:uiPriority w:val="99"/>
    <w:rPr>
      <w:sz w:val="20"/>
      <w:szCs w:val="20"/>
    </w:rPr>
  </w:style>
  <w:style w:type="character" w:styleId="221">
    <w:name w:val="Placeholder Text"/>
    <w:basedOn w:val="58"/>
    <w:semiHidden/>
    <w:qFormat/>
    <w:uiPriority w:val="99"/>
    <w:rPr>
      <w:color w:val="666666"/>
    </w:rPr>
  </w:style>
  <w:style w:type="paragraph" w:customStyle="1" w:styleId="222">
    <w:name w:val="TOC Heading"/>
    <w:unhideWhenUsed/>
    <w:qFormat/>
    <w:uiPriority w:val="39"/>
    <w:rPr>
      <w:rFonts w:hint="default" w:ascii="Times New Roman" w:hAnsi="Times New Roman" w:eastAsia="宋体" w:cs="Times New Roman"/>
    </w:rPr>
  </w:style>
  <w:style w:type="paragraph" w:customStyle="1" w:styleId="223">
    <w:name w:val="表格文字"/>
    <w:basedOn w:val="224"/>
    <w:qFormat/>
    <w:uiPriority w:val="99"/>
    <w:pPr>
      <w:spacing w:before="25" w:after="25"/>
    </w:pPr>
    <w:rPr>
      <w:rFonts w:ascii="Times New Roman"/>
      <w:bCs/>
      <w:spacing w:val="10"/>
      <w:szCs w:val="20"/>
    </w:rPr>
  </w:style>
  <w:style w:type="paragraph" w:customStyle="1" w:styleId="224">
    <w:name w:val="正文_0"/>
    <w:next w:val="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225">
    <w:name w:val="Default"/>
    <w:basedOn w:val="52"/>
    <w:next w:val="2"/>
    <w:qFormat/>
    <w:uiPriority w:val="0"/>
    <w:pPr>
      <w:widowControl w:val="0"/>
    </w:pPr>
    <w:rPr>
      <w:rFonts w:hint="default" w:ascii="宋体" w:hAnsi="Times New Roman" w:eastAsia="宋体" w:cs="宋体"/>
      <w:color w:val="000000"/>
      <w:sz w:val="24"/>
      <w:szCs w:val="24"/>
      <w:lang w:val="en-US" w:eastAsia="zh-CN" w:bidi="ar-SA"/>
    </w:rPr>
  </w:style>
  <w:style w:type="paragraph" w:customStyle="1" w:styleId="226">
    <w:name w:val="Char Char Char"/>
    <w:basedOn w:val="17"/>
    <w:qFormat/>
    <w:uiPriority w:val="0"/>
    <w:pPr>
      <w:spacing w:line="240" w:lineRule="auto"/>
    </w:pPr>
    <w:rPr>
      <w:rFonts w:ascii="Tahoma" w:hAnsi="Tahoma"/>
      <w:sz w:val="24"/>
      <w:szCs w:val="24"/>
    </w:rPr>
  </w:style>
  <w:style w:type="paragraph" w:customStyle="1" w:styleId="227">
    <w:name w:val="444"/>
    <w:basedOn w:val="1"/>
    <w:qFormat/>
    <w:uiPriority w:val="0"/>
    <w:pPr>
      <w:spacing w:line="312" w:lineRule="atLeast"/>
      <w:jc w:val="center"/>
    </w:pPr>
    <w:rPr>
      <w:b/>
      <w:sz w:val="36"/>
      <w:szCs w:val="36"/>
    </w:rPr>
  </w:style>
  <w:style w:type="paragraph" w:customStyle="1" w:styleId="228">
    <w:name w:val="Char2"/>
    <w:basedOn w:val="1"/>
    <w:qFormat/>
    <w:uiPriority w:val="0"/>
    <w:pPr>
      <w:widowControl/>
      <w:spacing w:after="160" w:line="240" w:lineRule="exact"/>
      <w:jc w:val="left"/>
    </w:pPr>
    <w:rPr>
      <w:rFonts w:ascii="Verdana" w:hAnsi="Verdana"/>
      <w:szCs w:val="20"/>
      <w:lang w:eastAsia="en-US"/>
    </w:rPr>
  </w:style>
  <w:style w:type="paragraph" w:customStyle="1" w:styleId="229">
    <w:name w:val="2ji"/>
    <w:basedOn w:val="3"/>
    <w:qFormat/>
    <w:uiPriority w:val="0"/>
    <w:pPr>
      <w:spacing w:before="0" w:after="0" w:line="360" w:lineRule="auto"/>
    </w:pPr>
    <w:rPr>
      <w:rFonts w:ascii="宋体" w:hAnsi="宋体" w:eastAsia="宋体"/>
      <w:sz w:val="21"/>
      <w:szCs w:val="21"/>
    </w:rPr>
  </w:style>
  <w:style w:type="paragraph" w:customStyle="1" w:styleId="230">
    <w:name w:val="Char Char 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31">
    <w:name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32">
    <w:name w:val="样式 首行缩进:  2 字符"/>
    <w:basedOn w:val="1"/>
    <w:qFormat/>
    <w:uiPriority w:val="0"/>
    <w:pPr>
      <w:spacing w:line="400" w:lineRule="exact"/>
      <w:ind w:firstLine="200"/>
    </w:pPr>
    <w:rPr>
      <w:rFonts w:cs="宋体"/>
      <w:sz w:val="24"/>
    </w:rPr>
  </w:style>
  <w:style w:type="paragraph" w:customStyle="1" w:styleId="233">
    <w:name w:val="xl26"/>
    <w:basedOn w:val="1"/>
    <w:qFormat/>
    <w:uiPriority w:val="0"/>
    <w:pPr>
      <w:widowControl/>
      <w:pBdr>
        <w:left w:val="single" w:color="000000" w:sz="4" w:space="0"/>
        <w:bottom w:val="single" w:color="000000" w:sz="4" w:space="0"/>
        <w:right w:val="single" w:color="000000" w:sz="4" w:space="0"/>
      </w:pBdr>
      <w:spacing w:before="100" w:beforeAutospacing="1" w:after="100" w:afterAutospacing="1"/>
    </w:pPr>
    <w:rPr>
      <w:szCs w:val="21"/>
    </w:rPr>
  </w:style>
  <w:style w:type="paragraph" w:customStyle="1" w:styleId="234">
    <w:name w:val="标题3"/>
    <w:basedOn w:val="2"/>
    <w:link w:val="331"/>
    <w:qFormat/>
    <w:uiPriority w:val="0"/>
    <w:pPr>
      <w:spacing w:before="0" w:after="0" w:line="400" w:lineRule="exact"/>
    </w:pPr>
    <w:rPr>
      <w:rFonts w:ascii="宋体" w:hAnsi="宋体"/>
      <w:sz w:val="24"/>
      <w:szCs w:val="24"/>
    </w:rPr>
  </w:style>
  <w:style w:type="paragraph" w:styleId="235">
    <w:name w:val="List Paragraph"/>
    <w:basedOn w:val="1"/>
    <w:qFormat/>
    <w:uiPriority w:val="34"/>
    <w:pPr>
      <w:ind w:firstLine="420"/>
    </w:pPr>
    <w:rPr>
      <w:rFonts w:ascii="Calibri" w:hAnsi="Calibri"/>
      <w:szCs w:val="22"/>
    </w:rPr>
  </w:style>
  <w:style w:type="paragraph" w:customStyle="1" w:styleId="236">
    <w:name w:val="表格"/>
    <w:basedOn w:val="1"/>
    <w:qFormat/>
    <w:uiPriority w:val="0"/>
    <w:pPr>
      <w:spacing w:line="400" w:lineRule="exact"/>
    </w:pPr>
    <w:rPr>
      <w:sz w:val="24"/>
    </w:rPr>
  </w:style>
  <w:style w:type="paragraph" w:customStyle="1" w:styleId="237">
    <w:name w:val="Char Char Char Char1"/>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38">
    <w:name w:val="Char Char Char Char Char Char Char"/>
    <w:basedOn w:val="1"/>
    <w:qFormat/>
    <w:uiPriority w:val="0"/>
  </w:style>
  <w:style w:type="paragraph" w:customStyle="1" w:styleId="239">
    <w:name w:val="Char Char Char1"/>
    <w:basedOn w:val="17"/>
    <w:qFormat/>
    <w:uiPriority w:val="0"/>
    <w:pPr>
      <w:spacing w:line="240" w:lineRule="auto"/>
    </w:pPr>
    <w:rPr>
      <w:rFonts w:ascii="Tahoma" w:hAnsi="Tahoma"/>
      <w:sz w:val="24"/>
      <w:szCs w:val="24"/>
    </w:rPr>
  </w:style>
  <w:style w:type="paragraph" w:customStyle="1" w:styleId="240">
    <w:name w:val="_Style 73"/>
    <w:basedOn w:val="2"/>
    <w:next w:val="1"/>
    <w:qFormat/>
    <w:uiPriority w:val="39"/>
    <w:pPr>
      <w:widowControl/>
      <w:spacing w:before="480" w:after="0" w:line="276" w:lineRule="auto"/>
      <w:jc w:val="left"/>
      <w:outlineLvl w:val="9"/>
    </w:pPr>
    <w:rPr>
      <w:rFonts w:ascii="Cambria" w:hAnsi="Cambria"/>
      <w:color w:val="365F91"/>
      <w:sz w:val="28"/>
      <w:szCs w:val="28"/>
    </w:rPr>
  </w:style>
  <w:style w:type="paragraph" w:customStyle="1" w:styleId="241">
    <w:name w:val="正文-2字符首行缩进"/>
    <w:basedOn w:val="1"/>
    <w:link w:val="305"/>
    <w:qFormat/>
    <w:uiPriority w:val="0"/>
    <w:pPr>
      <w:widowControl/>
      <w:spacing w:line="360" w:lineRule="auto"/>
      <w:ind w:firstLine="200"/>
    </w:pPr>
    <w:rPr>
      <w:rFonts w:ascii="仿宋_GB2312" w:hAnsi="Calibri" w:eastAsia="仿宋_GB2312"/>
      <w:sz w:val="28"/>
      <w:szCs w:val="22"/>
    </w:rPr>
  </w:style>
  <w:style w:type="paragraph" w:customStyle="1" w:styleId="242">
    <w:name w:val="Char21"/>
    <w:basedOn w:val="1"/>
    <w:qFormat/>
    <w:uiPriority w:val="0"/>
    <w:pPr>
      <w:widowControl/>
      <w:spacing w:after="160" w:line="240" w:lineRule="exact"/>
      <w:jc w:val="left"/>
    </w:pPr>
    <w:rPr>
      <w:rFonts w:ascii="Verdana" w:hAnsi="Verdana"/>
      <w:szCs w:val="20"/>
      <w:lang w:eastAsia="en-US"/>
    </w:rPr>
  </w:style>
  <w:style w:type="paragraph" w:customStyle="1" w:styleId="243">
    <w:name w:val="正文首行缩进两字符"/>
    <w:basedOn w:val="1"/>
    <w:qFormat/>
    <w:uiPriority w:val="0"/>
    <w:pPr>
      <w:spacing w:line="360" w:lineRule="auto"/>
      <w:ind w:firstLine="200"/>
    </w:pPr>
  </w:style>
  <w:style w:type="paragraph" w:customStyle="1" w:styleId="244">
    <w:name w:val="Char Char Char Char Char Char Char Char Char Char Char Char Char Char Char Char"/>
    <w:basedOn w:val="1"/>
    <w:qFormat/>
    <w:uiPriority w:val="0"/>
    <w:pPr>
      <w:tabs>
        <w:tab w:val="left" w:pos="360"/>
      </w:tabs>
      <w:spacing w:line="360" w:lineRule="auto"/>
      <w:ind w:left="482" w:firstLine="200"/>
    </w:pPr>
    <w:rPr>
      <w:rFonts w:ascii="宋体"/>
      <w:sz w:val="24"/>
    </w:rPr>
  </w:style>
  <w:style w:type="paragraph" w:customStyle="1" w:styleId="245">
    <w:name w:val="Char1"/>
    <w:basedOn w:val="1"/>
    <w:qFormat/>
    <w:uiPriority w:val="0"/>
    <w:rPr>
      <w:szCs w:val="21"/>
    </w:rPr>
  </w:style>
  <w:style w:type="paragraph" w:customStyle="1" w:styleId="246">
    <w:name w:val="默认段落字体 Para Char Char Char Char Char Char Char Char Char1 Char Char Char Char"/>
    <w:basedOn w:val="1"/>
    <w:qFormat/>
    <w:uiPriority w:val="0"/>
    <w:rPr>
      <w:rFonts w:ascii="Tahoma" w:hAnsi="Tahoma"/>
      <w:sz w:val="24"/>
      <w:szCs w:val="20"/>
    </w:rPr>
  </w:style>
  <w:style w:type="paragraph" w:customStyle="1" w:styleId="247">
    <w:name w:val="Char3"/>
    <w:basedOn w:val="1"/>
    <w:qFormat/>
    <w:uiPriority w:val="0"/>
    <w:pPr>
      <w:widowControl/>
      <w:spacing w:line="500" w:lineRule="exact"/>
      <w:outlineLvl w:val="2"/>
    </w:pPr>
    <w:rPr>
      <w:rFonts w:ascii="黑体" w:hAnsi="Verdana" w:eastAsia="黑体" w:cs="黑体"/>
      <w:sz w:val="28"/>
      <w:szCs w:val="28"/>
      <w:lang w:eastAsia="en-US"/>
    </w:rPr>
  </w:style>
  <w:style w:type="paragraph" w:customStyle="1" w:styleId="248">
    <w:name w:val="Char Char Char Char Char Char Char Char Char Char Char Char Char Char Char Char1"/>
    <w:basedOn w:val="1"/>
    <w:qFormat/>
    <w:uiPriority w:val="0"/>
    <w:pPr>
      <w:tabs>
        <w:tab w:val="left" w:pos="360"/>
      </w:tabs>
      <w:spacing w:line="360" w:lineRule="auto"/>
      <w:ind w:left="482" w:firstLine="200"/>
    </w:pPr>
    <w:rPr>
      <w:rFonts w:ascii="宋体"/>
      <w:sz w:val="24"/>
    </w:rPr>
  </w:style>
  <w:style w:type="paragraph" w:customStyle="1" w:styleId="249">
    <w:name w:val="List Paragraph1"/>
    <w:basedOn w:val="1"/>
    <w:qFormat/>
    <w:uiPriority w:val="0"/>
    <w:pPr>
      <w:ind w:firstLine="420"/>
    </w:pPr>
    <w:rPr>
      <w:rFonts w:ascii="Calibri" w:hAnsi="Calibri"/>
      <w:szCs w:val="22"/>
    </w:rPr>
  </w:style>
  <w:style w:type="paragraph" w:customStyle="1" w:styleId="250">
    <w:name w:val="1"/>
    <w:basedOn w:val="1"/>
    <w:next w:val="27"/>
    <w:qFormat/>
    <w:uiPriority w:val="0"/>
    <w:rPr>
      <w:rFonts w:ascii="宋体" w:hAnsi="Courier New"/>
      <w:szCs w:val="20"/>
    </w:rPr>
  </w:style>
  <w:style w:type="paragraph" w:customStyle="1" w:styleId="251">
    <w:name w:val="xl30"/>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szCs w:val="21"/>
    </w:rPr>
  </w:style>
  <w:style w:type="paragraph" w:customStyle="1" w:styleId="252">
    <w:name w:val="次小点说明 Char"/>
    <w:basedOn w:val="7"/>
    <w:qFormat/>
    <w:uiPriority w:val="0"/>
    <w:pPr>
      <w:ind w:firstLine="0"/>
    </w:pPr>
    <w:rPr>
      <w:sz w:val="24"/>
      <w:szCs w:val="24"/>
    </w:rPr>
  </w:style>
  <w:style w:type="paragraph" w:customStyle="1" w:styleId="253">
    <w:name w:val="列出段落1"/>
    <w:basedOn w:val="1"/>
    <w:semiHidden/>
    <w:qFormat/>
    <w:uiPriority w:val="34"/>
    <w:pPr>
      <w:spacing w:line="360" w:lineRule="atLeast"/>
      <w:ind w:firstLine="420"/>
      <w:jc w:val="left"/>
    </w:pPr>
    <w:rPr>
      <w:rFonts w:ascii="Calibri" w:hAnsi="Calibri"/>
      <w:sz w:val="24"/>
      <w:szCs w:val="22"/>
    </w:rPr>
  </w:style>
  <w:style w:type="paragraph" w:customStyle="1" w:styleId="254">
    <w:name w:val="普通 (Web)"/>
    <w:basedOn w:val="1"/>
    <w:qFormat/>
    <w:uiPriority w:val="0"/>
    <w:pPr>
      <w:widowControl/>
      <w:spacing w:before="100" w:beforeAutospacing="1" w:after="100" w:afterAutospacing="1"/>
      <w:jc w:val="left"/>
    </w:pPr>
    <w:rPr>
      <w:rFonts w:ascii="宋体" w:hAnsi="宋体"/>
      <w:sz w:val="24"/>
    </w:rPr>
  </w:style>
  <w:style w:type="paragraph" w:customStyle="1" w:styleId="255">
    <w:name w:val="xl21"/>
    <w:basedOn w:val="1"/>
    <w:qFormat/>
    <w:uiPriority w:val="0"/>
    <w:pPr>
      <w:widowControl/>
      <w:spacing w:before="100" w:beforeAutospacing="1" w:after="100" w:afterAutospacing="1"/>
      <w:jc w:val="center"/>
    </w:pPr>
    <w:rPr>
      <w:rFonts w:ascii="宋体" w:hAnsi="宋体"/>
      <w:b/>
      <w:bCs/>
      <w:sz w:val="28"/>
      <w:szCs w:val="28"/>
    </w:rPr>
  </w:style>
  <w:style w:type="paragraph" w:customStyle="1" w:styleId="256">
    <w:name w:val="五号正文（标准）"/>
    <w:basedOn w:val="1"/>
    <w:qFormat/>
    <w:uiPriority w:val="0"/>
    <w:pPr>
      <w:spacing w:line="360" w:lineRule="auto"/>
      <w:ind w:right="55" w:firstLine="560"/>
    </w:pPr>
    <w:rPr>
      <w:rFonts w:eastAsia="仿宋_GB2312"/>
      <w:sz w:val="28"/>
      <w:szCs w:val="20"/>
    </w:rPr>
  </w:style>
  <w:style w:type="paragraph" w:customStyle="1" w:styleId="257">
    <w:name w:val="默认段落字体 Para Char"/>
    <w:basedOn w:val="1"/>
    <w:qFormat/>
    <w:uiPriority w:val="0"/>
    <w:pPr>
      <w:spacing w:line="360" w:lineRule="auto"/>
    </w:pPr>
    <w:rPr>
      <w:sz w:val="24"/>
      <w:szCs w:val="20"/>
    </w:rPr>
  </w:style>
  <w:style w:type="paragraph" w:customStyle="1" w:styleId="258">
    <w:name w:val="Char"/>
    <w:basedOn w:val="1"/>
    <w:qFormat/>
    <w:uiPriority w:val="0"/>
    <w:pPr>
      <w:widowControl/>
      <w:spacing w:line="500" w:lineRule="exact"/>
      <w:outlineLvl w:val="2"/>
    </w:pPr>
    <w:rPr>
      <w:rFonts w:ascii="黑体" w:hAnsi="Verdana" w:eastAsia="黑体" w:cs="黑体"/>
      <w:sz w:val="28"/>
      <w:szCs w:val="28"/>
      <w:lang w:eastAsia="en-US"/>
    </w:rPr>
  </w:style>
  <w:style w:type="paragraph" w:customStyle="1" w:styleId="259">
    <w:name w:val="xl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b/>
      <w:bCs/>
      <w:sz w:val="24"/>
    </w:rPr>
  </w:style>
  <w:style w:type="paragraph" w:customStyle="1" w:styleId="260">
    <w:name w:val="Char Char Char Char Char Char Char Char Char Char Char Char Char"/>
    <w:basedOn w:val="17"/>
    <w:qFormat/>
    <w:uiPriority w:val="0"/>
    <w:pPr>
      <w:spacing w:line="240" w:lineRule="auto"/>
    </w:pPr>
    <w:rPr>
      <w:rFonts w:ascii="Tahoma" w:hAnsi="Tahoma"/>
      <w:sz w:val="24"/>
      <w:szCs w:val="24"/>
    </w:rPr>
  </w:style>
  <w:style w:type="paragraph" w:customStyle="1" w:styleId="26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262">
    <w:name w:val="Char Char Char Char Char Char Char1"/>
    <w:basedOn w:val="1"/>
    <w:qFormat/>
    <w:uiPriority w:val="0"/>
  </w:style>
  <w:style w:type="paragraph" w:customStyle="1" w:styleId="263">
    <w:name w:val="默认段落字体 Para Char1"/>
    <w:next w:val="1"/>
    <w:qFormat/>
    <w:uiPriority w:val="0"/>
    <w:pPr>
      <w:keepNext/>
      <w:keepLines/>
      <w:tabs>
        <w:tab w:val="left" w:pos="360"/>
      </w:tabs>
      <w:spacing w:before="240" w:after="240"/>
      <w:outlineLvl w:val="7"/>
    </w:pPr>
    <w:rPr>
      <w:rFonts w:hint="default" w:ascii="Arial" w:hAnsi="Arial" w:eastAsia="宋体" w:cs="Arial"/>
      <w:lang w:val="en-US" w:eastAsia="zh-CN" w:bidi="ar-SA"/>
    </w:rPr>
  </w:style>
  <w:style w:type="paragraph" w:customStyle="1" w:styleId="264">
    <w:name w:val="样式"/>
    <w:qFormat/>
    <w:uiPriority w:val="0"/>
    <w:pPr>
      <w:widowControl w:val="0"/>
    </w:pPr>
    <w:rPr>
      <w:rFonts w:hint="default" w:ascii="宋体" w:hAnsi="宋体" w:eastAsia="宋体" w:cs="宋体"/>
      <w:sz w:val="24"/>
      <w:szCs w:val="24"/>
      <w:lang w:val="en-US" w:eastAsia="zh-CN" w:bidi="ar-SA"/>
    </w:rPr>
  </w:style>
  <w:style w:type="paragraph" w:customStyle="1" w:styleId="265">
    <w:name w:val="Char Char Char2"/>
    <w:basedOn w:val="1"/>
    <w:qFormat/>
    <w:uiPriority w:val="0"/>
    <w:rPr>
      <w:rFonts w:ascii="Tahoma" w:hAnsi="Tahoma"/>
      <w:sz w:val="24"/>
      <w:szCs w:val="20"/>
    </w:rPr>
  </w:style>
  <w:style w:type="paragraph" w:customStyle="1" w:styleId="266">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67">
    <w:name w:val="tgt1"/>
    <w:basedOn w:val="1"/>
    <w:qFormat/>
    <w:uiPriority w:val="0"/>
    <w:pPr>
      <w:widowControl/>
      <w:spacing w:after="150"/>
      <w:jc w:val="left"/>
    </w:pPr>
    <w:rPr>
      <w:rFonts w:ascii="宋体" w:hAnsi="宋体" w:cs="宋体"/>
      <w:sz w:val="24"/>
    </w:rPr>
  </w:style>
  <w:style w:type="paragraph" w:customStyle="1" w:styleId="268">
    <w:name w:val="Char Char Char Char Char Char1 Char"/>
    <w:basedOn w:val="1"/>
    <w:qFormat/>
    <w:uiPriority w:val="0"/>
    <w:pPr>
      <w:widowControl/>
      <w:spacing w:after="160" w:line="240" w:lineRule="exact"/>
      <w:jc w:val="left"/>
    </w:pPr>
    <w:rPr>
      <w:rFonts w:ascii="Arial" w:hAnsi="Arial" w:eastAsia="Times New Roman" w:cs="Verdana"/>
      <w:b/>
      <w:sz w:val="24"/>
      <w:szCs w:val="20"/>
      <w:lang w:eastAsia="en-US"/>
    </w:rPr>
  </w:style>
  <w:style w:type="paragraph" w:customStyle="1" w:styleId="269">
    <w:name w:val="2-2ji"/>
    <w:basedOn w:val="3"/>
    <w:qFormat/>
    <w:uiPriority w:val="0"/>
    <w:pPr>
      <w:spacing w:before="0" w:after="0" w:line="360" w:lineRule="auto"/>
      <w:jc w:val="center"/>
    </w:pPr>
    <w:rPr>
      <w:rFonts w:ascii="宋体" w:hAnsi="宋体" w:eastAsia="宋体"/>
      <w:bCs w:val="0"/>
      <w:sz w:val="36"/>
    </w:rPr>
  </w:style>
  <w:style w:type="paragraph" w:customStyle="1" w:styleId="270">
    <w:name w:val="Default Paragraph Font Para Char"/>
    <w:basedOn w:val="1"/>
    <w:qFormat/>
    <w:uiPriority w:val="0"/>
    <w:pPr>
      <w:widowControl/>
      <w:spacing w:after="160" w:line="240" w:lineRule="exact"/>
      <w:jc w:val="left"/>
    </w:pPr>
    <w:rPr>
      <w:rFonts w:ascii="Verdana" w:hAnsi="Verdana"/>
      <w:sz w:val="20"/>
      <w:szCs w:val="20"/>
      <w:lang w:eastAsia="en-US"/>
    </w:rPr>
  </w:style>
  <w:style w:type="paragraph" w:customStyle="1" w:styleId="271">
    <w:name w:val="1ji"/>
    <w:basedOn w:val="2"/>
    <w:link w:val="309"/>
    <w:qFormat/>
    <w:uiPriority w:val="0"/>
    <w:pPr>
      <w:keepLines w:val="0"/>
      <w:widowControl/>
      <w:spacing w:before="0" w:after="0" w:line="240" w:lineRule="auto"/>
      <w:jc w:val="center"/>
    </w:pPr>
    <w:rPr>
      <w:rFonts w:ascii="宋体" w:hAnsi="宋体"/>
      <w:sz w:val="36"/>
    </w:rPr>
  </w:style>
  <w:style w:type="paragraph" w:customStyle="1" w:styleId="272">
    <w:name w:val="正文段"/>
    <w:basedOn w:val="1"/>
    <w:qFormat/>
    <w:uiPriority w:val="0"/>
    <w:pPr>
      <w:widowControl/>
      <w:spacing w:after="156"/>
      <w:ind w:firstLine="200"/>
    </w:pPr>
    <w:rPr>
      <w:sz w:val="24"/>
      <w:szCs w:val="20"/>
    </w:rPr>
  </w:style>
  <w:style w:type="paragraph" w:customStyle="1" w:styleId="273">
    <w:name w:val="样式1"/>
    <w:basedOn w:val="1"/>
    <w:qFormat/>
    <w:uiPriority w:val="0"/>
    <w:pPr>
      <w:spacing w:before="120" w:after="120" w:line="300" w:lineRule="auto"/>
    </w:pPr>
    <w:rPr>
      <w:rFonts w:ascii="宋体" w:hAnsi="宋体"/>
      <w:b/>
      <w:sz w:val="24"/>
      <w:szCs w:val="20"/>
    </w:rPr>
  </w:style>
  <w:style w:type="paragraph" w:customStyle="1" w:styleId="27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75">
    <w:name w:val="图"/>
    <w:basedOn w:val="1"/>
    <w:qFormat/>
    <w:uiPriority w:val="0"/>
    <w:pPr>
      <w:keepNext/>
      <w:spacing w:before="60" w:after="60" w:line="300" w:lineRule="auto"/>
      <w:jc w:val="center"/>
    </w:pPr>
    <w:rPr>
      <w:spacing w:val="20"/>
      <w:sz w:val="24"/>
      <w:szCs w:val="20"/>
    </w:rPr>
  </w:style>
  <w:style w:type="paragraph" w:customStyle="1" w:styleId="276">
    <w:name w:val="F2"/>
    <w:basedOn w:val="1"/>
    <w:qFormat/>
    <w:uiPriority w:val="0"/>
    <w:pPr>
      <w:ind w:firstLine="601"/>
    </w:pPr>
    <w:rPr>
      <w:sz w:val="24"/>
      <w:szCs w:val="20"/>
    </w:rPr>
  </w:style>
  <w:style w:type="paragraph" w:customStyle="1" w:styleId="277">
    <w:name w:val="_Style 110"/>
    <w:basedOn w:val="1"/>
    <w:next w:val="1"/>
    <w:link w:val="326"/>
    <w:qFormat/>
    <w:uiPriority w:val="0"/>
    <w:pPr>
      <w:pBdr>
        <w:bottom w:val="single" w:color="000000" w:sz="6" w:space="1"/>
      </w:pBdr>
      <w:jc w:val="center"/>
    </w:pPr>
    <w:rPr>
      <w:rFonts w:ascii="Arial"/>
      <w:vanish/>
      <w:sz w:val="16"/>
    </w:rPr>
  </w:style>
  <w:style w:type="paragraph" w:customStyle="1" w:styleId="278">
    <w:name w:val="Char Char Char Char Char Char1 Char1"/>
    <w:basedOn w:val="1"/>
    <w:qFormat/>
    <w:uiPriority w:val="0"/>
    <w:pPr>
      <w:widowControl/>
      <w:spacing w:after="160" w:line="240" w:lineRule="exact"/>
      <w:jc w:val="left"/>
    </w:pPr>
    <w:rPr>
      <w:rFonts w:ascii="Arial" w:hAnsi="Arial" w:eastAsia="Times New Roman" w:cs="Verdana"/>
      <w:b/>
      <w:sz w:val="24"/>
      <w:szCs w:val="20"/>
      <w:lang w:eastAsia="en-US"/>
    </w:rPr>
  </w:style>
  <w:style w:type="paragraph" w:customStyle="1" w:styleId="279">
    <w:name w:val="缺省文本"/>
    <w:basedOn w:val="1"/>
    <w:qFormat/>
    <w:uiPriority w:val="0"/>
    <w:pPr>
      <w:spacing w:line="360" w:lineRule="auto"/>
      <w:jc w:val="left"/>
    </w:pPr>
    <w:rPr>
      <w:sz w:val="24"/>
      <w:szCs w:val="20"/>
    </w:rPr>
  </w:style>
  <w:style w:type="paragraph" w:customStyle="1" w:styleId="280">
    <w:name w:val="_Style 113"/>
    <w:unhideWhenUsed/>
    <w:qFormat/>
    <w:uiPriority w:val="99"/>
    <w:rPr>
      <w:rFonts w:hint="default" w:ascii="Times New Roman" w:hAnsi="Times New Roman" w:eastAsia="宋体" w:cs="Times New Roman"/>
      <w:sz w:val="21"/>
      <w:szCs w:val="24"/>
      <w:lang w:val="en-US" w:eastAsia="zh-CN" w:bidi="ar-SA"/>
    </w:rPr>
  </w:style>
  <w:style w:type="paragraph" w:customStyle="1" w:styleId="281">
    <w:name w:val="xl31"/>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szCs w:val="21"/>
    </w:rPr>
  </w:style>
  <w:style w:type="paragraph" w:customStyle="1" w:styleId="282">
    <w:name w:val="Char Char Char Char Char Char Char Char Char Char Char Char Char1"/>
    <w:basedOn w:val="17"/>
    <w:qFormat/>
    <w:uiPriority w:val="0"/>
    <w:pPr>
      <w:spacing w:line="240" w:lineRule="auto"/>
    </w:pPr>
    <w:rPr>
      <w:rFonts w:ascii="Tahoma" w:hAnsi="Tahoma"/>
      <w:sz w:val="24"/>
      <w:szCs w:val="24"/>
    </w:rPr>
  </w:style>
  <w:style w:type="paragraph" w:customStyle="1" w:styleId="283">
    <w:name w:val="Char4"/>
    <w:basedOn w:val="1"/>
    <w:qFormat/>
    <w:uiPriority w:val="0"/>
    <w:pPr>
      <w:tabs>
        <w:tab w:val="left" w:pos="360"/>
      </w:tabs>
      <w:ind w:left="252" w:hanging="252"/>
    </w:pPr>
    <w:rPr>
      <w:rFonts w:ascii="宋体"/>
      <w:sz w:val="18"/>
      <w:szCs w:val="18"/>
    </w:rPr>
  </w:style>
  <w:style w:type="paragraph" w:customStyle="1" w:styleId="284">
    <w:name w:val="a9"/>
    <w:basedOn w:val="1"/>
    <w:qFormat/>
    <w:uiPriority w:val="0"/>
    <w:pPr>
      <w:widowControl/>
      <w:spacing w:before="100" w:beforeAutospacing="1" w:after="100" w:afterAutospacing="1"/>
      <w:jc w:val="left"/>
    </w:pPr>
    <w:rPr>
      <w:rFonts w:ascii="宋体" w:hAnsi="宋体" w:cs="宋体"/>
      <w:sz w:val="24"/>
    </w:rPr>
  </w:style>
  <w:style w:type="character" w:customStyle="1" w:styleId="285">
    <w:name w:val="f151"/>
    <w:qFormat/>
    <w:uiPriority w:val="0"/>
    <w:rPr>
      <w:sz w:val="23"/>
      <w:szCs w:val="23"/>
    </w:rPr>
  </w:style>
  <w:style w:type="character" w:customStyle="1" w:styleId="286">
    <w:name w:val="纯文本 字符"/>
    <w:link w:val="27"/>
    <w:qFormat/>
    <w:uiPriority w:val="99"/>
    <w:rPr>
      <w:rFonts w:ascii="宋体" w:hAnsi="Courier New" w:eastAsia="宋体" w:cs="Courier New"/>
      <w:sz w:val="21"/>
      <w:szCs w:val="21"/>
      <w:lang w:val="en-US" w:eastAsia="zh-CN" w:bidi="ar-SA"/>
    </w:rPr>
  </w:style>
  <w:style w:type="character" w:customStyle="1" w:styleId="287">
    <w:name w:val="062"/>
    <w:qFormat/>
    <w:uiPriority w:val="0"/>
    <w:rPr>
      <w:rFonts w:ascii="宋体" w:hAnsi="宋体"/>
      <w:b/>
      <w:bCs/>
      <w:sz w:val="32"/>
    </w:rPr>
  </w:style>
  <w:style w:type="character" w:customStyle="1" w:styleId="288">
    <w:name w:val="标题 5 字符"/>
    <w:link w:val="6"/>
    <w:qFormat/>
    <w:uiPriority w:val="0"/>
    <w:rPr>
      <w:b/>
      <w:sz w:val="28"/>
      <w:szCs w:val="24"/>
    </w:rPr>
  </w:style>
  <w:style w:type="character" w:customStyle="1" w:styleId="289">
    <w:name w:val="正文文本缩进 2 字符"/>
    <w:link w:val="30"/>
    <w:qFormat/>
    <w:uiPriority w:val="0"/>
    <w:rPr>
      <w:sz w:val="32"/>
    </w:rPr>
  </w:style>
  <w:style w:type="character" w:customStyle="1" w:styleId="290">
    <w:name w:val="纯文本 Char1"/>
    <w:qFormat/>
    <w:uiPriority w:val="0"/>
    <w:rPr>
      <w:rFonts w:ascii="宋体" w:hAnsi="Courier New" w:eastAsia="宋体" w:cs="Courier New"/>
      <w:sz w:val="21"/>
      <w:szCs w:val="21"/>
      <w:lang w:val="en-US" w:eastAsia="zh-CN" w:bidi="ar-SA"/>
    </w:rPr>
  </w:style>
  <w:style w:type="character" w:customStyle="1" w:styleId="291">
    <w:name w:val="正文文本缩进 字符"/>
    <w:link w:val="21"/>
    <w:qFormat/>
    <w:uiPriority w:val="99"/>
    <w:rPr>
      <w:rFonts w:ascii="仿宋_GB2312" w:eastAsia="仿宋_GB2312"/>
      <w:sz w:val="32"/>
    </w:rPr>
  </w:style>
  <w:style w:type="character" w:customStyle="1" w:styleId="292">
    <w:name w:val="正文文本 3 字符"/>
    <w:link w:val="19"/>
    <w:qFormat/>
    <w:uiPriority w:val="0"/>
    <w:rPr>
      <w:b/>
      <w:bCs/>
      <w:sz w:val="24"/>
      <w:szCs w:val="24"/>
    </w:rPr>
  </w:style>
  <w:style w:type="character" w:customStyle="1" w:styleId="293">
    <w:name w:val="HTML 预设格式 字符"/>
    <w:link w:val="49"/>
    <w:qFormat/>
    <w:uiPriority w:val="0"/>
    <w:rPr>
      <w:rFonts w:ascii="黑体" w:hAnsi="Courier New" w:eastAsia="黑体" w:cs="Courier New"/>
    </w:rPr>
  </w:style>
  <w:style w:type="character" w:customStyle="1" w:styleId="294">
    <w:name w:val="页眉 字符"/>
    <w:link w:val="34"/>
    <w:qFormat/>
    <w:uiPriority w:val="99"/>
    <w:rPr>
      <w:sz w:val="18"/>
      <w:szCs w:val="18"/>
    </w:rPr>
  </w:style>
  <w:style w:type="character" w:customStyle="1" w:styleId="295">
    <w:name w:val="unnamed3"/>
    <w:basedOn w:val="58"/>
    <w:qFormat/>
    <w:uiPriority w:val="0"/>
  </w:style>
  <w:style w:type="character" w:customStyle="1" w:styleId="296">
    <w:name w:val="apple-converted-space"/>
    <w:qFormat/>
    <w:uiPriority w:val="0"/>
  </w:style>
  <w:style w:type="character" w:customStyle="1" w:styleId="297">
    <w:name w:val="mark8"/>
    <w:qFormat/>
    <w:uiPriority w:val="0"/>
    <w:rPr>
      <w:b/>
      <w:bCs/>
      <w:sz w:val="21"/>
      <w:szCs w:val="21"/>
    </w:rPr>
  </w:style>
  <w:style w:type="character" w:customStyle="1" w:styleId="298">
    <w:name w:val="_Style 131"/>
    <w:unhideWhenUsed/>
    <w:qFormat/>
    <w:uiPriority w:val="99"/>
    <w:rPr>
      <w:color w:val="605E5C"/>
      <w:shd w:val="clear" w:color="auto" w:fill="E1DFDD"/>
    </w:rPr>
  </w:style>
  <w:style w:type="character" w:customStyle="1" w:styleId="299">
    <w:name w:val="标题 8 字符"/>
    <w:link w:val="10"/>
    <w:qFormat/>
    <w:uiPriority w:val="0"/>
    <w:rPr>
      <w:rFonts w:ascii="Arial" w:hAnsi="Arial" w:eastAsia="黑体"/>
      <w:sz w:val="24"/>
      <w:szCs w:val="24"/>
    </w:rPr>
  </w:style>
  <w:style w:type="character" w:customStyle="1" w:styleId="300">
    <w:name w:val="标题 7 字符"/>
    <w:link w:val="9"/>
    <w:qFormat/>
    <w:uiPriority w:val="0"/>
    <w:rPr>
      <w:b/>
      <w:sz w:val="24"/>
      <w:szCs w:val="24"/>
    </w:rPr>
  </w:style>
  <w:style w:type="character" w:customStyle="1" w:styleId="301">
    <w:name w:val="small"/>
    <w:basedOn w:val="58"/>
    <w:qFormat/>
    <w:uiPriority w:val="0"/>
  </w:style>
  <w:style w:type="character" w:customStyle="1" w:styleId="302">
    <w:name w:val="short_text1"/>
    <w:qFormat/>
    <w:uiPriority w:val="0"/>
    <w:rPr>
      <w:sz w:val="26"/>
    </w:rPr>
  </w:style>
  <w:style w:type="character" w:customStyle="1" w:styleId="303">
    <w:name w:val="标题 4 字符"/>
    <w:link w:val="5"/>
    <w:qFormat/>
    <w:uiPriority w:val="0"/>
    <w:rPr>
      <w:rFonts w:ascii="Arial" w:hAnsi="Arial" w:eastAsia="黑体"/>
      <w:sz w:val="28"/>
    </w:rPr>
  </w:style>
  <w:style w:type="character" w:customStyle="1" w:styleId="304">
    <w:name w:val="white"/>
    <w:basedOn w:val="58"/>
    <w:qFormat/>
    <w:uiPriority w:val="0"/>
  </w:style>
  <w:style w:type="character" w:customStyle="1" w:styleId="305">
    <w:name w:val="正文-2字符首行缩进 Char"/>
    <w:link w:val="241"/>
    <w:qFormat/>
    <w:uiPriority w:val="0"/>
    <w:rPr>
      <w:rFonts w:ascii="仿宋_GB2312" w:hAnsi="Calibri" w:eastAsia="仿宋_GB2312"/>
      <w:sz w:val="28"/>
      <w:szCs w:val="22"/>
    </w:rPr>
  </w:style>
  <w:style w:type="character" w:customStyle="1" w:styleId="306">
    <w:name w:val="style21"/>
    <w:qFormat/>
    <w:uiPriority w:val="0"/>
    <w:rPr>
      <w:sz w:val="17"/>
      <w:szCs w:val="17"/>
    </w:rPr>
  </w:style>
  <w:style w:type="character" w:customStyle="1" w:styleId="307">
    <w:name w:val="批注文字 字符"/>
    <w:link w:val="18"/>
    <w:qFormat/>
    <w:uiPriority w:val="0"/>
    <w:rPr>
      <w:sz w:val="21"/>
      <w:szCs w:val="24"/>
    </w:rPr>
  </w:style>
  <w:style w:type="character" w:customStyle="1" w:styleId="308">
    <w:name w:val="纯文本 字符1"/>
    <w:qFormat/>
    <w:uiPriority w:val="99"/>
    <w:rPr>
      <w:rFonts w:ascii="宋体" w:hAnsi="Courier New" w:eastAsia="宋体" w:cs="Courier New"/>
      <w:sz w:val="21"/>
      <w:szCs w:val="21"/>
      <w:lang w:val="en-US" w:eastAsia="zh-CN" w:bidi="ar-SA"/>
    </w:rPr>
  </w:style>
  <w:style w:type="character" w:customStyle="1" w:styleId="309">
    <w:name w:val="1ji Char"/>
    <w:link w:val="271"/>
    <w:qFormat/>
    <w:uiPriority w:val="0"/>
    <w:rPr>
      <w:rFonts w:ascii="宋体" w:hAnsi="宋体" w:eastAsia="宋体"/>
      <w:b/>
      <w:bCs/>
      <w:sz w:val="36"/>
      <w:szCs w:val="44"/>
      <w:lang w:val="en-US" w:eastAsia="zh-CN" w:bidi="ar-SA"/>
    </w:rPr>
  </w:style>
  <w:style w:type="character" w:customStyle="1" w:styleId="310">
    <w:name w:val="case31"/>
    <w:qFormat/>
    <w:uiPriority w:val="0"/>
    <w:rPr>
      <w:rFonts w:hint="default" w:ascii="_x000B__x000C_" w:hAnsi="_x000B__x000C_"/>
      <w:sz w:val="21"/>
      <w:szCs w:val="21"/>
    </w:rPr>
  </w:style>
  <w:style w:type="character" w:customStyle="1" w:styleId="311">
    <w:name w:val="正文文本缩进 3 字符"/>
    <w:link w:val="42"/>
    <w:qFormat/>
    <w:uiPriority w:val="0"/>
    <w:rPr>
      <w:sz w:val="16"/>
      <w:szCs w:val="16"/>
    </w:rPr>
  </w:style>
  <w:style w:type="character" w:customStyle="1" w:styleId="312">
    <w:name w:val="正文文本 字符1"/>
    <w:qFormat/>
    <w:uiPriority w:val="99"/>
    <w:rPr>
      <w:sz w:val="24"/>
      <w:szCs w:val="24"/>
    </w:rPr>
  </w:style>
  <w:style w:type="character" w:customStyle="1" w:styleId="313">
    <w:name w:val="正文文本首行缩进 字符1"/>
    <w:qFormat/>
    <w:uiPriority w:val="0"/>
    <w:rPr>
      <w:sz w:val="21"/>
      <w:szCs w:val="24"/>
    </w:rPr>
  </w:style>
  <w:style w:type="character" w:customStyle="1" w:styleId="314">
    <w:name w:val="标题 字符"/>
    <w:link w:val="52"/>
    <w:qFormat/>
    <w:uiPriority w:val="0"/>
    <w:rPr>
      <w:sz w:val="30"/>
      <w:szCs w:val="24"/>
    </w:rPr>
  </w:style>
  <w:style w:type="character" w:customStyle="1" w:styleId="315">
    <w:name w:val="页脚 字符"/>
    <w:link w:val="33"/>
    <w:qFormat/>
    <w:uiPriority w:val="0"/>
    <w:rPr>
      <w:sz w:val="18"/>
      <w:szCs w:val="18"/>
    </w:rPr>
  </w:style>
  <w:style w:type="character" w:customStyle="1" w:styleId="316">
    <w:name w:val="正文文本 2 字符"/>
    <w:link w:val="46"/>
    <w:qFormat/>
    <w:uiPriority w:val="0"/>
    <w:rPr>
      <w:sz w:val="21"/>
      <w:szCs w:val="24"/>
    </w:rPr>
  </w:style>
  <w:style w:type="character" w:customStyle="1" w:styleId="317">
    <w:name w:val="批注文字 字符1"/>
    <w:qFormat/>
    <w:uiPriority w:val="0"/>
    <w:rPr>
      <w:sz w:val="21"/>
      <w:szCs w:val="24"/>
    </w:rPr>
  </w:style>
  <w:style w:type="character" w:customStyle="1" w:styleId="318">
    <w:name w:val="font01"/>
    <w:basedOn w:val="58"/>
    <w:qFormat/>
    <w:uiPriority w:val="0"/>
    <w:rPr>
      <w:rFonts w:hint="eastAsia" w:ascii="宋体" w:hAnsi="宋体" w:eastAsia="宋体"/>
      <w:color w:val="000000"/>
      <w:sz w:val="22"/>
      <w:szCs w:val="22"/>
      <w:u w:val="none"/>
    </w:rPr>
  </w:style>
  <w:style w:type="character" w:customStyle="1" w:styleId="319">
    <w:name w:val="标题 6 字符"/>
    <w:link w:val="8"/>
    <w:qFormat/>
    <w:uiPriority w:val="0"/>
    <w:rPr>
      <w:rFonts w:ascii="Arial" w:hAnsi="Arial" w:eastAsia="黑体"/>
      <w:b/>
      <w:sz w:val="24"/>
      <w:szCs w:val="24"/>
    </w:rPr>
  </w:style>
  <w:style w:type="character" w:customStyle="1" w:styleId="320">
    <w:name w:val="正文文本首行缩进 字符"/>
    <w:link w:val="54"/>
    <w:qFormat/>
    <w:uiPriority w:val="0"/>
    <w:rPr>
      <w:sz w:val="21"/>
      <w:szCs w:val="24"/>
    </w:rPr>
  </w:style>
  <w:style w:type="character" w:customStyle="1" w:styleId="321">
    <w:name w:val="批注主题 字符"/>
    <w:link w:val="53"/>
    <w:qFormat/>
    <w:uiPriority w:val="0"/>
    <w:rPr>
      <w:b/>
      <w:bCs/>
      <w:sz w:val="21"/>
      <w:szCs w:val="24"/>
    </w:rPr>
  </w:style>
  <w:style w:type="character" w:customStyle="1" w:styleId="322">
    <w:name w:val="gray12"/>
    <w:basedOn w:val="58"/>
    <w:qFormat/>
    <w:uiPriority w:val="0"/>
  </w:style>
  <w:style w:type="character" w:customStyle="1" w:styleId="323">
    <w:name w:val="标题 2 字符"/>
    <w:link w:val="3"/>
    <w:qFormat/>
    <w:uiPriority w:val="0"/>
    <w:rPr>
      <w:rFonts w:ascii="Arial" w:hAnsi="Arial" w:eastAsia="黑体"/>
      <w:b/>
      <w:bCs/>
      <w:sz w:val="32"/>
      <w:szCs w:val="32"/>
    </w:rPr>
  </w:style>
  <w:style w:type="character" w:customStyle="1" w:styleId="324">
    <w:name w:val="正文文本首行缩进 2 字符"/>
    <w:link w:val="55"/>
    <w:qFormat/>
    <w:uiPriority w:val="0"/>
    <w:rPr>
      <w:sz w:val="21"/>
      <w:szCs w:val="24"/>
    </w:rPr>
  </w:style>
  <w:style w:type="character" w:customStyle="1" w:styleId="325">
    <w:name w:val="标题 9 字符"/>
    <w:link w:val="11"/>
    <w:qFormat/>
    <w:uiPriority w:val="0"/>
    <w:rPr>
      <w:rFonts w:ascii="Arial" w:hAnsi="Arial" w:eastAsia="黑体"/>
      <w:sz w:val="21"/>
      <w:szCs w:val="24"/>
    </w:rPr>
  </w:style>
  <w:style w:type="character" w:customStyle="1" w:styleId="326">
    <w:name w:val="z-窗体顶端 Char"/>
    <w:link w:val="277"/>
    <w:qFormat/>
    <w:uiPriority w:val="0"/>
    <w:rPr>
      <w:rFonts w:ascii="Arial"/>
      <w:vanish/>
      <w:sz w:val="16"/>
      <w:szCs w:val="24"/>
    </w:rPr>
  </w:style>
  <w:style w:type="character" w:customStyle="1" w:styleId="327">
    <w:name w:val="graytext1"/>
    <w:qFormat/>
    <w:uiPriority w:val="0"/>
    <w:rPr>
      <w:color w:val="666666"/>
    </w:rPr>
  </w:style>
  <w:style w:type="character" w:customStyle="1" w:styleId="328">
    <w:name w:val="text11"/>
    <w:qFormat/>
    <w:uiPriority w:val="0"/>
    <w:rPr>
      <w:rFonts w:hint="default" w:ascii="Verdana" w:hAnsi="Verdana"/>
      <w:color w:val="4E4E4E"/>
      <w:sz w:val="18"/>
      <w:szCs w:val="18"/>
    </w:rPr>
  </w:style>
  <w:style w:type="character" w:customStyle="1" w:styleId="329">
    <w:name w:val="正文文本 字符"/>
    <w:link w:val="20"/>
    <w:qFormat/>
    <w:uiPriority w:val="99"/>
    <w:rPr>
      <w:sz w:val="24"/>
      <w:szCs w:val="24"/>
    </w:rPr>
  </w:style>
  <w:style w:type="character" w:customStyle="1" w:styleId="330">
    <w:name w:val="日期 字符"/>
    <w:link w:val="29"/>
    <w:qFormat/>
    <w:uiPriority w:val="0"/>
    <w:rPr>
      <w:rFonts w:ascii="宋体" w:hAnsi="Courier New" w:cs="Courier New"/>
      <w:sz w:val="21"/>
      <w:szCs w:val="21"/>
    </w:rPr>
  </w:style>
  <w:style w:type="character" w:customStyle="1" w:styleId="331">
    <w:name w:val="标题3 Char"/>
    <w:link w:val="234"/>
    <w:qFormat/>
    <w:uiPriority w:val="0"/>
    <w:rPr>
      <w:rFonts w:ascii="宋体" w:hAnsi="宋体"/>
      <w:b/>
      <w:bCs/>
      <w:sz w:val="24"/>
      <w:szCs w:val="24"/>
    </w:rPr>
  </w:style>
  <w:style w:type="character" w:customStyle="1" w:styleId="332">
    <w:name w:val="批注框文本 字符"/>
    <w:link w:val="32"/>
    <w:qFormat/>
    <w:uiPriority w:val="0"/>
    <w:rPr>
      <w:sz w:val="18"/>
      <w:szCs w:val="18"/>
    </w:rPr>
  </w:style>
  <w:style w:type="character" w:customStyle="1" w:styleId="333">
    <w:name w:val="标题 3 字符"/>
    <w:link w:val="4"/>
    <w:qFormat/>
    <w:uiPriority w:val="0"/>
    <w:rPr>
      <w:b/>
      <w:bCs/>
      <w:sz w:val="32"/>
      <w:szCs w:val="32"/>
    </w:rPr>
  </w:style>
  <w:style w:type="character" w:customStyle="1" w:styleId="334">
    <w:name w:val="标题 1 字符"/>
    <w:link w:val="2"/>
    <w:qFormat/>
    <w:uiPriority w:val="9"/>
    <w:rPr>
      <w:rFonts w:eastAsia="宋体"/>
      <w:b/>
      <w:bCs/>
      <w:sz w:val="44"/>
      <w:szCs w:val="44"/>
      <w:lang w:val="en-US" w:eastAsia="zh-CN" w:bidi="ar-SA"/>
    </w:rPr>
  </w:style>
  <w:style w:type="character" w:customStyle="1" w:styleId="335">
    <w:name w:val="content2"/>
    <w:basedOn w:val="58"/>
    <w:qFormat/>
    <w:uiPriority w:val="0"/>
  </w:style>
  <w:style w:type="character" w:customStyle="1" w:styleId="336">
    <w:name w:val="批注文字 Char2"/>
    <w:qFormat/>
    <w:uiPriority w:val="0"/>
    <w:rPr>
      <w:sz w:val="21"/>
      <w:szCs w:val="24"/>
      <w:lang w:bidi="ar-SA"/>
    </w:rPr>
  </w:style>
  <w:style w:type="character" w:customStyle="1" w:styleId="337">
    <w:name w:val="文档结构图 字符"/>
    <w:link w:val="17"/>
    <w:qFormat/>
    <w:uiPriority w:val="0"/>
    <w:rPr>
      <w:sz w:val="21"/>
      <w:shd w:val="clear" w:color="auto" w:fill="000080"/>
    </w:rPr>
  </w:style>
  <w:style w:type="character" w:customStyle="1" w:styleId="338">
    <w:name w:val="style11"/>
    <w:qFormat/>
    <w:uiPriority w:val="0"/>
    <w:rPr>
      <w:rFonts w:hint="default" w:ascii="Arial" w:hAnsi="Arial" w:cs="Arial"/>
    </w:rPr>
  </w:style>
  <w:style w:type="character" w:customStyle="1" w:styleId="339">
    <w:name w:val="1051"/>
    <w:qFormat/>
    <w:uiPriority w:val="0"/>
    <w:rPr>
      <w:sz w:val="21"/>
      <w:szCs w:val="21"/>
    </w:rPr>
  </w:style>
  <w:style w:type="character" w:customStyle="1" w:styleId="340">
    <w:name w:val="正文首行缩进 Char"/>
    <w:link w:val="341"/>
    <w:qFormat/>
    <w:uiPriority w:val="0"/>
    <w:rPr>
      <w:sz w:val="21"/>
      <w:szCs w:val="24"/>
    </w:rPr>
  </w:style>
  <w:style w:type="paragraph" w:customStyle="1" w:styleId="341">
    <w:name w:val="_Style 174"/>
    <w:basedOn w:val="20"/>
    <w:next w:val="54"/>
    <w:link w:val="340"/>
    <w:qFormat/>
    <w:uiPriority w:val="0"/>
    <w:pPr>
      <w:spacing w:after="120" w:line="240" w:lineRule="auto"/>
      <w:ind w:firstLine="420"/>
    </w:pPr>
    <w:rPr>
      <w:sz w:val="21"/>
    </w:rPr>
  </w:style>
  <w:style w:type="paragraph" w:customStyle="1" w:styleId="342">
    <w:name w:val="Normal_1_0"/>
    <w:qFormat/>
    <w:uiPriority w:val="0"/>
    <w:pPr>
      <w:widowControl w:val="0"/>
      <w:jc w:val="both"/>
    </w:pPr>
    <w:rPr>
      <w:rFonts w:hint="default" w:ascii="Calibri" w:hAnsi="Calibri" w:eastAsia="宋体" w:cs="Times New Roman"/>
      <w:lang w:val="en-US" w:eastAsia="zh-CN" w:bidi="ar-SA"/>
    </w:rPr>
  </w:style>
  <w:style w:type="character" w:customStyle="1" w:styleId="343">
    <w:name w:val="ant-select-tree-iconele"/>
    <w:basedOn w:val="58"/>
    <w:qFormat/>
    <w:uiPriority w:val="0"/>
  </w:style>
  <w:style w:type="character" w:customStyle="1" w:styleId="344">
    <w:name w:val="ant-select-tree-switcher"/>
    <w:basedOn w:val="58"/>
    <w:qFormat/>
    <w:uiPriority w:val="0"/>
  </w:style>
  <w:style w:type="character" w:customStyle="1" w:styleId="345">
    <w:name w:val="info-label"/>
    <w:basedOn w:val="58"/>
    <w:qFormat/>
    <w:uiPriority w:val="0"/>
    <w:rPr>
      <w:b/>
      <w:bCs/>
    </w:rPr>
  </w:style>
  <w:style w:type="character" w:customStyle="1" w:styleId="346">
    <w:name w:val="info-content"/>
    <w:basedOn w:val="58"/>
    <w:qFormat/>
    <w:uiPriority w:val="0"/>
    <w:rPr>
      <w:color w:val="808080"/>
    </w:rPr>
  </w:style>
  <w:style w:type="character" w:customStyle="1" w:styleId="347">
    <w:name w:val="current"/>
    <w:basedOn w:val="58"/>
    <w:qFormat/>
    <w:uiPriority w:val="0"/>
    <w:rPr>
      <w:color w:val="00C1DE"/>
    </w:rPr>
  </w:style>
  <w:style w:type="character" w:customStyle="1" w:styleId="348">
    <w:name w:val="current1"/>
    <w:basedOn w:val="58"/>
    <w:qFormat/>
    <w:uiPriority w:val="0"/>
    <w:rPr>
      <w:color w:val="00C1DE"/>
    </w:rPr>
  </w:style>
  <w:style w:type="character" w:customStyle="1" w:styleId="349">
    <w:name w:val="last-span"/>
    <w:basedOn w:val="58"/>
    <w:qFormat/>
    <w:uiPriority w:val="0"/>
  </w:style>
  <w:style w:type="character" w:customStyle="1" w:styleId="350">
    <w:name w:val="first-child1"/>
    <w:basedOn w:val="58"/>
    <w:qFormat/>
    <w:uiPriority w:val="0"/>
  </w:style>
  <w:style w:type="character" w:customStyle="1" w:styleId="351">
    <w:name w:val="last-child"/>
    <w:basedOn w:val="58"/>
    <w:qFormat/>
    <w:uiPriority w:val="0"/>
  </w:style>
  <w:style w:type="character" w:customStyle="1" w:styleId="352">
    <w:name w:val="ant-input30"/>
    <w:basedOn w:val="58"/>
    <w:qFormat/>
    <w:uiPriority w:val="0"/>
  </w:style>
  <w:style w:type="character" w:customStyle="1" w:styleId="353">
    <w:name w:val="tag-type"/>
    <w:basedOn w:val="58"/>
    <w:qFormat/>
    <w:uiPriority w:val="0"/>
    <w:rPr>
      <w:color w:val="FFFFFF"/>
      <w:sz w:val="18"/>
      <w:szCs w:val="18"/>
      <w:shd w:val="clear" w:color="auto" w:fill="317FFD"/>
    </w:rPr>
  </w:style>
  <w:style w:type="character" w:customStyle="1" w:styleId="354">
    <w:name w:val="tag-type1"/>
    <w:basedOn w:val="58"/>
    <w:qFormat/>
    <w:uiPriority w:val="0"/>
    <w:rPr>
      <w:color w:val="FFFFFF"/>
      <w:sz w:val="18"/>
      <w:szCs w:val="18"/>
      <w:shd w:val="clear" w:color="auto" w:fill="317FFD"/>
    </w:rPr>
  </w:style>
  <w:style w:type="character" w:customStyle="1" w:styleId="355">
    <w:name w:val="ant-radio+*"/>
    <w:basedOn w:val="58"/>
    <w:qFormat/>
    <w:uiPriority w:val="0"/>
  </w:style>
  <w:style w:type="character" w:customStyle="1" w:styleId="356">
    <w:name w:val="ant-radio+*1"/>
    <w:basedOn w:val="58"/>
    <w:qFormat/>
    <w:uiPriority w:val="0"/>
  </w:style>
  <w:style w:type="character" w:customStyle="1" w:styleId="357">
    <w:name w:val="ant-select-tree-checkbox2"/>
    <w:basedOn w:val="58"/>
    <w:qFormat/>
    <w:uiPriority w:val="0"/>
  </w:style>
  <w:style w:type="character" w:customStyle="1" w:styleId="358">
    <w:name w:val="nc-lang-cnt"/>
    <w:basedOn w:val="58"/>
    <w:qFormat/>
    <w:uiPriority w:val="0"/>
    <w:rPr>
      <w:rFonts w:hint="cs"/>
      <w:rtl/>
    </w:rPr>
  </w:style>
  <w:style w:type="character" w:customStyle="1" w:styleId="359">
    <w:name w:val="nc-lang-cnt1"/>
    <w:basedOn w:val="58"/>
    <w:qFormat/>
    <w:uiPriority w:val="0"/>
  </w:style>
  <w:style w:type="character" w:customStyle="1" w:styleId="360">
    <w:name w:val="nc-lang-cnt2"/>
    <w:basedOn w:val="58"/>
    <w:qFormat/>
    <w:uiPriority w:val="0"/>
  </w:style>
  <w:style w:type="character" w:customStyle="1" w:styleId="361">
    <w:name w:val="nc-lang-cnt3"/>
    <w:basedOn w:val="58"/>
    <w:qFormat/>
    <w:uiPriority w:val="0"/>
    <w:rPr>
      <w:rFonts w:hint="cs"/>
      <w:rtl/>
    </w:rPr>
  </w:style>
  <w:style w:type="character" w:customStyle="1" w:styleId="362">
    <w:name w:val="nc-lang-cnt4"/>
    <w:basedOn w:val="58"/>
    <w:qFormat/>
    <w:uiPriority w:val="0"/>
    <w:rPr>
      <w:rFonts w:hint="cs"/>
      <w:rtl/>
    </w:rPr>
  </w:style>
  <w:style w:type="character" w:customStyle="1" w:styleId="363">
    <w:name w:val="nc-lang-cnt5"/>
    <w:basedOn w:val="58"/>
    <w:qFormat/>
    <w:uiPriority w:val="0"/>
    <w:rPr>
      <w:rFonts w:hint="cs"/>
      <w:rtl/>
    </w:rPr>
  </w:style>
  <w:style w:type="character" w:customStyle="1" w:styleId="364">
    <w:name w:val="nc-lang-cnt6"/>
    <w:basedOn w:val="58"/>
    <w:qFormat/>
    <w:uiPriority w:val="0"/>
  </w:style>
  <w:style w:type="character" w:customStyle="1" w:styleId="365">
    <w:name w:val="first-child"/>
    <w:basedOn w:val="58"/>
    <w:qFormat/>
    <w:uiPriority w:val="0"/>
  </w:style>
  <w:style w:type="character" w:customStyle="1" w:styleId="366">
    <w:name w:val="desc4"/>
    <w:basedOn w:val="58"/>
    <w:qFormat/>
    <w:uiPriority w:val="0"/>
  </w:style>
  <w:style w:type="character" w:customStyle="1" w:styleId="367">
    <w:name w:val="ant-select-tree-checkbox"/>
    <w:basedOn w:val="58"/>
    <w:qFormat/>
    <w:uiPriority w:val="0"/>
  </w:style>
  <w:style w:type="character" w:customStyle="1" w:styleId="368">
    <w:name w:val="ant-input24"/>
    <w:basedOn w:val="58"/>
    <w:qFormat/>
    <w:uiPriority w:val="0"/>
  </w:style>
  <w:style w:type="character" w:customStyle="1" w:styleId="369">
    <w:name w:val="large"/>
    <w:basedOn w:val="58"/>
    <w:qFormat/>
    <w:uiPriority w:val="0"/>
    <w:rPr>
      <w:color w:val="197AFF"/>
      <w:sz w:val="24"/>
      <w:szCs w:val="24"/>
    </w:rPr>
  </w:style>
  <w:style w:type="character" w:customStyle="1" w:styleId="370">
    <w:name w:val="small1"/>
    <w:basedOn w:val="58"/>
    <w:qFormat/>
    <w:uiPriority w:val="0"/>
    <w:rPr>
      <w:sz w:val="18"/>
      <w:szCs w:val="18"/>
    </w:rPr>
  </w:style>
  <w:style w:type="character" w:customStyle="1" w:styleId="371">
    <w:name w:val="small2"/>
    <w:basedOn w:val="58"/>
    <w:qFormat/>
    <w:uiPriority w:val="0"/>
    <w:rPr>
      <w:sz w:val="21"/>
      <w:szCs w:val="21"/>
    </w:rPr>
  </w:style>
  <w:style w:type="character" w:customStyle="1" w:styleId="372">
    <w:name w:val="year"/>
    <w:basedOn w:val="58"/>
    <w:qFormat/>
    <w:uiPriority w:val="0"/>
  </w:style>
  <w:style w:type="character" w:customStyle="1" w:styleId="373">
    <w:name w:val="href-title"/>
    <w:basedOn w:val="58"/>
    <w:qFormat/>
    <w:uiPriority w:val="0"/>
  </w:style>
  <w:style w:type="character" w:customStyle="1" w:styleId="374">
    <w:name w:val="right"/>
    <w:basedOn w:val="58"/>
    <w:qFormat/>
    <w:uiPriority w:val="0"/>
    <w:rPr>
      <w:sz w:val="18"/>
      <w:szCs w:val="18"/>
    </w:rPr>
  </w:style>
  <w:style w:type="character" w:customStyle="1" w:styleId="375">
    <w:name w:val="ant-input23"/>
    <w:basedOn w:val="58"/>
    <w:qFormat/>
    <w:uiPriority w:val="0"/>
  </w:style>
  <w:style w:type="character" w:customStyle="1" w:styleId="376">
    <w:name w:val="ant-input21"/>
    <w:basedOn w:val="58"/>
    <w:qFormat/>
    <w:uiPriority w:val="0"/>
  </w:style>
  <w:style w:type="character" w:customStyle="1" w:styleId="377">
    <w:name w:val="desc"/>
    <w:basedOn w:val="58"/>
    <w:qFormat/>
    <w:uiPriority w:val="0"/>
  </w:style>
  <w:style w:type="character" w:customStyle="1" w:styleId="378">
    <w:name w:val="ant-input19"/>
    <w:basedOn w:val="58"/>
    <w:qFormat/>
    <w:uiPriority w:val="0"/>
  </w:style>
  <w:style w:type="character" w:customStyle="1" w:styleId="379">
    <w:name w:val="font11"/>
    <w:basedOn w:val="58"/>
    <w:qFormat/>
    <w:uiPriority w:val="0"/>
    <w:rPr>
      <w:rFonts w:hint="eastAsia" w:ascii="仿宋" w:hAnsi="仿宋" w:eastAsia="仿宋" w:cs="仿宋"/>
      <w:color w:val="000000"/>
      <w:sz w:val="24"/>
      <w:szCs w:val="24"/>
      <w:u w:val="none"/>
    </w:rPr>
  </w:style>
  <w:style w:type="character" w:customStyle="1" w:styleId="380">
    <w:name w:val="font21"/>
    <w:basedOn w:val="58"/>
    <w:qFormat/>
    <w:uiPriority w:val="0"/>
    <w:rPr>
      <w:rFonts w:hint="eastAsia" w:ascii="仿宋" w:hAnsi="仿宋" w:eastAsia="仿宋" w:cs="仿宋"/>
      <w:b/>
      <w:bCs/>
      <w:color w:val="000000"/>
      <w:sz w:val="24"/>
      <w:szCs w:val="24"/>
      <w:u w:val="none"/>
    </w:rPr>
  </w:style>
  <w:style w:type="character" w:customStyle="1" w:styleId="381">
    <w:name w:val="font31"/>
    <w:basedOn w:val="58"/>
    <w:qFormat/>
    <w:uiPriority w:val="0"/>
    <w:rPr>
      <w:rFonts w:hint="default" w:ascii="Segoe UI" w:hAnsi="Segoe UI" w:eastAsia="Segoe UI" w:cs="Segoe UI"/>
      <w:color w:val="05073B"/>
      <w:sz w:val="22"/>
      <w:szCs w:val="22"/>
      <w:u w:val="none"/>
    </w:rPr>
  </w:style>
  <w:style w:type="paragraph" w:customStyle="1" w:styleId="382">
    <w:name w:val="Table Text"/>
    <w:basedOn w:val="1"/>
    <w:semiHidden/>
    <w:qFormat/>
    <w:uiPriority w:val="0"/>
    <w:pPr>
      <w:spacing w:before="68"/>
    </w:pPr>
    <w:rPr>
      <w:rFonts w:ascii="宋体" w:hAnsi="宋体" w:cs="宋体"/>
      <w:szCs w:val="21"/>
      <w:lang w:eastAsia="en-US"/>
    </w:rPr>
  </w:style>
  <w:style w:type="character" w:customStyle="1" w:styleId="383">
    <w:name w:val="NormalCharacter"/>
    <w:semiHidden/>
    <w:qFormat/>
    <w:uiPriority w:val="0"/>
  </w:style>
  <w:style w:type="character" w:customStyle="1" w:styleId="384">
    <w:name w:val="UserStyle_0"/>
    <w:semiHidden/>
    <w:qFormat/>
    <w:uiPriority w:val="0"/>
  </w:style>
  <w:style w:type="table" w:customStyle="1" w:styleId="385">
    <w:name w:val="Table Normal"/>
    <w:semiHidden/>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86">
    <w:name w:val="正文1"/>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sz w:val="21"/>
      <w:szCs w:val="20"/>
      <w:lang w:val="en-US" w:eastAsia="zh-CN" w:bidi="ar"/>
    </w:rPr>
  </w:style>
  <w:style w:type="paragraph" w:customStyle="1" w:styleId="387">
    <w:name w:val="*正文"/>
    <w:basedOn w:val="1"/>
    <w:qFormat/>
    <w:uiPriority w:val="0"/>
    <w:pPr>
      <w:spacing w:line="360" w:lineRule="auto"/>
      <w:ind w:firstLine="482"/>
      <w:jc w:val="left"/>
    </w:pPr>
    <w:rPr>
      <w:rFonts w:ascii="宋体" w:hAnsi="宋体"/>
      <w:sz w:val="24"/>
      <w:szCs w:val="20"/>
    </w:rPr>
  </w:style>
  <w:style w:type="character" w:customStyle="1" w:styleId="388">
    <w:name w:val="fontstyle01"/>
    <w:qFormat/>
    <w:uiPriority w:val="0"/>
    <w:rPr>
      <w:rFonts w:hint="eastAsia" w:ascii="仿宋_GB2312" w:eastAsia="仿宋_GB2312"/>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0" Type="http://schemas.microsoft.com/office/2011/relationships/people" Target="people.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4.sv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3d58bd75-4b4f-4d11-aabc-49f1eeab2f47</errorID>
      <errorWord>(</errorWord>
      <group>L1_Format</group>
      <groupName>格式问题</groupName>
      <ability>L2_HalfPunc</ability>
      <abilityName>全半角检查</abilityName>
      <candidateList>
        <item>（</item>
      </candidateList>
      <explain>文本全半角错误。</explain>
      <paraID>4153AF57</paraID>
      <start>35</start>
      <end>36</end>
      <status>modified</status>
      <modifiedWord>（</modifiedWord>
      <trackRevisions>false</trackRevisions>
    </reviewItem>
    <reviewItem>
      <errorID>18adecc0-65f6-47e9-9db1-5d38b1082120</errorID>
      <errorWord>)</errorWord>
      <group>L1_Format</group>
      <groupName>格式问题</groupName>
      <ability>L2_HalfPunc</ability>
      <abilityName>全半角检查</abilityName>
      <candidateList>
        <item>）</item>
      </candidateList>
      <explain>文本全半角错误。</explain>
      <paraID>4153AF57</paraID>
      <start>64</start>
      <end>65</end>
      <status>modified</status>
      <modifiedWord>）</modifiedWord>
      <trackRevisions>false</trackRevisions>
    </reviewItem>
    <reviewItem>
      <errorID>03e47375-efca-47f3-8cc2-7f16263e670b</errorID>
      <errorWord>(</errorWord>
      <group>L1_Format</group>
      <groupName>格式问题</groupName>
      <ability>L2_HalfPunc</ability>
      <abilityName>全半角检查</abilityName>
      <candidateList>
        <item>（</item>
      </candidateList>
      <explain>文本全半角错误。</explain>
      <paraID>4153AF57</paraID>
      <start>71</start>
      <end>72</end>
      <status>modified</status>
      <modifiedWord>（</modifiedWord>
      <trackRevisions>false</trackRevisions>
    </reviewItem>
    <reviewItem>
      <errorID>f8034225-20af-4b99-8ce8-e71114164494</errorID>
      <errorWord>日至2026年</errorWord>
      <group>L1_Word</group>
      <groupName>字词问题</groupName>
      <ability>L2_Typo</ability>
      <abilityName>字词错误</abilityName>
      <candidateList>
        <item>日起至2026年</item>
      </candidateList>
      <explain/>
      <paraID>6F20A2D0</paraID>
      <start>15</start>
      <end>22</end>
      <status>unmodified</status>
      <modifiedWord/>
      <trackRevisions>false</trackRevisions>
    </reviewItem>
    <reviewItem>
      <errorID>474fb8df-8ef4-47fb-9b2a-061c247b1133</errorID>
      <errorWord>上午00:00</errorWord>
      <group>L1_Knowledge</group>
      <groupName>知识性问题</groupName>
      <ability>L2_Time</ability>
      <abilityName>日期时间</abilityName>
      <candidateList/>
      <explain>时间与前缀不匹配，可能的时间前缀有“下午、晚上、凌晨、午夜”。</explain>
      <paraID>6F20A2D0</paraID>
      <start>34</start>
      <end>41</end>
      <status>unmodified</status>
      <modifiedWord/>
      <trackRevisions>false</trackRevisions>
    </reviewItem>
    <reviewItem>
      <errorID>7cba7e4b-c66e-4d6d-8bc5-7f94837689c6</errorID>
      <errorWord>-</errorWord>
      <group>L1_Format</group>
      <groupName>格式问题</groupName>
      <ability>L2_HalfPunc</ability>
      <abilityName>全半角检查</abilityName>
      <candidateList>
        <item>－</item>
      </candidateList>
      <explain>文本全半角错误。</explain>
      <paraID>4167B852</paraID>
      <start>134</start>
      <end>135</end>
      <status>unmodified</status>
      <modifiedWord/>
      <trackRevisions>false</trackRevisions>
    </reviewItem>
    <reviewItem>
      <errorID>b968a7fe-6183-4096-843e-79876e89b8a0</errorID>
      <errorWord>(</errorWord>
      <group>L1_Format</group>
      <groupName>格式问题</groupName>
      <ability>L2_HalfPunc</ability>
      <abilityName>全半角检查</abilityName>
      <candidateList>
        <item>（</item>
      </candidateList>
      <explain>文本全半角错误。</explain>
      <paraID>5FE23143</paraID>
      <start>98</start>
      <end>99</end>
      <status>modified</status>
      <modifiedWord>（</modifiedWord>
      <trackRevisions>false</trackRevisions>
    </reviewItem>
    <reviewItem>
      <errorID>dccef71d-dc7e-4c72-adf2-6f4fb2c23895</errorID>
      <errorWord>.</errorWord>
      <group>L1_Format</group>
      <groupName>格式问题</groupName>
      <ability>L2_HalfPunc</ability>
      <abilityName>全半角检查</abilityName>
      <candidateList>
        <item>。</item>
      </candidateList>
      <explain>文本全半角错误。</explain>
      <paraID>5FE23143</paraID>
      <start>101</start>
      <end>102</end>
      <status>unmodified</status>
      <modifiedWord/>
      <trackRevisions>false</trackRevisions>
    </reviewItem>
    <reviewItem>
      <errorID>c1818b18-3aea-4656-8387-937038915e3b</errorID>
      <errorWord>)</errorWord>
      <group>L1_Format</group>
      <groupName>格式问题</groupName>
      <ability>L2_HalfPunc</ability>
      <abilityName>全半角检查</abilityName>
      <candidateList>
        <item>）</item>
      </candidateList>
      <explain>文本全半角错误。</explain>
      <paraID>5FE23143</paraID>
      <start>104</start>
      <end>105</end>
      <status>modified</status>
      <modifiedWord>）</modifiedWord>
      <trackRevisions>false</trackRevisions>
    </reviewItem>
    <reviewItem>
      <errorID>bc73d3a3-dc60-4433-8372-4ac0fd469306</errorID>
      <errorWord>操作合</errorWord>
      <group>L1_Word</group>
      <groupName>字词问题</groupName>
      <ability>L2_Typo</ability>
      <abilityName>字词错误</abilityName>
      <candidateList>
        <item>操作台</item>
      </candidateList>
      <explain/>
      <paraID>6ACF1D57</paraID>
      <start>8</start>
      <end>11</end>
      <status>unmodified</status>
      <modifiedWord/>
      <trackRevisions>false</trackRevisions>
    </reviewItem>
    <reviewItem>
      <errorID>5b96752e-f7fc-4bec-b77b-e6f04be7c112</errorID>
      <errorWord>：/</errorWord>
      <group>L1_Punc</group>
      <groupName>标点问题</groupName>
      <ability>L2_Punc</ability>
      <abilityName>标点符号检查</abilityName>
      <candidateList>
        <item>：</item>
      </candidateList>
      <explain/>
      <paraID>4F0B4591</paraID>
      <start>12</start>
      <end>14</end>
      <status>unmodified</status>
      <modifiedWord/>
      <trackRevisions>false</trackRevisions>
    </reviewItem>
    <reviewItem>
      <errorID>927df6a0-fabe-4e4c-999d-589a611df15b</errorID>
      <errorWord>：/</errorWord>
      <group>L1_Punc</group>
      <groupName>标点问题</groupName>
      <ability>L2_Punc</ability>
      <abilityName>标点符号检查</abilityName>
      <candidateList>
        <item>：</item>
      </candidateList>
      <explain/>
      <paraID>7FA5FF42</paraID>
      <start>12</start>
      <end>14</end>
      <status>unmodified</status>
      <modifiedWord/>
      <trackRevisions>false</trackRevisions>
    </reviewItem>
    <reviewItem>
      <errorID>8cf8205c-6066-40ea-bf5a-4ff3641c3c40</errorID>
      <errorWord>连机</errorWord>
      <group>L1_Word</group>
      <groupName>字词问题</groupName>
      <ability>L2_Typo</ability>
      <abilityName>字词错误</abilityName>
      <candidateList>
        <item>联机</item>
      </candidateList>
      <explain>存在发音相同字词的误用。</explain>
      <paraID>2C815974</paraID>
      <start>34</start>
      <end>36</end>
      <status>unmodified</status>
      <modifiedWord/>
      <trackRevisions>false</trackRevisions>
    </reviewItem>
    <reviewItem>
      <errorID>2eaf8459-ddd4-4582-9959-53afe7e3caa9</errorID>
      <errorWord>成份</errorWord>
      <group>L1_Word</group>
      <groupName>字词问题</groupName>
      <ability>L2_Typo</ability>
      <abilityName>字词错误</abilityName>
      <candidateList>
        <item>成分</item>
      </candidateList>
      <explain/>
      <paraID> 8C4B626</paraID>
      <start>16</start>
      <end>18</end>
      <status>unmodified</status>
      <modifiedWord/>
      <trackRevisions>false</trackRevisions>
    </reviewItem>
    <reviewItem>
      <errorID>9bf934ff-a3c3-402f-8687-56bd2011810f</errorID>
      <errorWord>,</errorWord>
      <group>L1_Format</group>
      <groupName>格式问题</groupName>
      <ability>L2_HalfPunc</ability>
      <abilityName>全半角检查</abilityName>
      <candidateList>
        <item>，</item>
      </candidateList>
      <explain>文本全半角错误。</explain>
      <paraID>26BDA6EB</paraID>
      <start>23</start>
      <end>24</end>
      <status>unmodified</status>
      <modifiedWord/>
      <trackRevisions>false</trackRevisions>
    </reviewItem>
    <reviewItem>
      <errorID>e1344241-4dcc-4502-a73a-2fd88c760513</errorID>
      <errorWord>(</errorWord>
      <group>L1_Format</group>
      <groupName>格式问题</groupName>
      <ability>L2_HalfPunc</ability>
      <abilityName>全半角检查</abilityName>
      <candidateList>
        <item>（</item>
      </candidateList>
      <explain>文本全半角错误。</explain>
      <paraID>3C583585</paraID>
      <start>27</start>
      <end>28</end>
      <status>unmodified</status>
      <modifiedWord/>
      <trackRevisions>false</trackRevisions>
    </reviewItem>
    <reviewItem>
      <errorID>dfa6d148-c00a-4e04-a1c1-9ae5587d9120</errorID>
      <errorWord>)</errorWord>
      <group>L1_Format</group>
      <groupName>格式问题</groupName>
      <ability>L2_HalfPunc</ability>
      <abilityName>全半角检查</abilityName>
      <candidateList>
        <item>）</item>
      </candidateList>
      <explain>文本全半角错误。</explain>
      <paraID>3C583585</paraID>
      <start>37</start>
      <end>38</end>
      <status>unmodified</status>
      <modifiedWord/>
      <trackRevisions>false</trackRevisions>
    </reviewItem>
    <reviewItem>
      <errorID>eed987cd-f773-416d-9678-b77b427e8839</errorID>
      <errorWord>连</errorWord>
      <group>L1_Word</group>
      <groupName>字词问题</groupName>
      <ability>L2_Typo</ability>
      <abilityName>字词错误</abilityName>
      <candidateList>
        <item>联</item>
      </candidateList>
      <explain>存在发音相同字词的误用。</explain>
      <paraID>23B85389</paraID>
      <start>9</start>
      <end>10</end>
      <status>unmodified</status>
      <modifiedWord/>
      <trackRevisions>false</trackRevisions>
    </reviewItem>
    <reviewItem>
      <errorID>ba3fc51f-7b4c-47a3-891c-b98ccc67a9d4</errorID>
      <errorWord>:</errorWord>
      <group>L1_Format</group>
      <groupName>格式问题</groupName>
      <ability>L2_HalfPunc</ability>
      <abilityName>全半角检查</abilityName>
      <candidateList>
        <item>：</item>
      </candidateList>
      <explain>文本全半角错误。</explain>
      <paraID>5D316A7A</paraID>
      <start>8</start>
      <end>9</end>
      <status>unmodified</status>
      <modifiedWord/>
      <trackRevisions>false</trackRevisions>
    </reviewItem>
    <reviewItem>
      <errorID>b7550755-ef79-478a-97dc-49172d1df6ed</errorID>
      <errorWord>广西省</errorWord>
      <group>L1_Knowledge</group>
      <groupName>知识性问题</groupName>
      <ability>L2_Location</ability>
      <abilityName>地名检查</abilityName>
      <candidateList>
        <item>广西壮族自治区</item>
      </candidateList>
      <explain>自治区州县缩写不规范。《地名管理条例》第十八条规定，标识牌、公共平台发布的信息、各类公文证件、学习类公开出版物、地图、法律法规规定等场景范围内必须使用标准地名。</explain>
      <paraID>12B8B191</paraID>
      <start>9</start>
      <end>12</end>
      <status>unmodified</status>
      <modifiedWord/>
      <trackRevisions>false</trackRevisions>
    </reviewItem>
    <reviewItem>
      <errorID>8ef3583b-b75f-40cc-a6b4-7923fa29baa1</errorID>
      <errorWord>广西省</errorWord>
      <group>L1_Knowledge</group>
      <groupName>知识性问题</groupName>
      <ability>L2_Location</ability>
      <abilityName>地名检查</abilityName>
      <candidateList>
        <item>广西壮族自治区</item>
      </candidateList>
      <explain>自治区州县缩写不规范。《地名管理条例》第十八条规定，标识牌、公共平台发布的信息、各类公文证件、学习类公开出版物、地图、法律法规规定等场景范围内必须使用标准地名。</explain>
      <paraID>5875C20D</paraID>
      <start>11</start>
      <end>14</end>
      <status>unmodified</status>
      <modifiedWord/>
      <trackRevisions>false</trackRevisions>
    </reviewItem>
    <reviewItem>
      <errorID>e793b336-5cc7-4812-b2b8-6d8e78492331</errorID>
      <errorWord>广西省</errorWord>
      <group>L1_Knowledge</group>
      <groupName>知识性问题</groupName>
      <ability>L2_Location</ability>
      <abilityName>地名检查</abilityName>
      <candidateList>
        <item>广西壮族自治区</item>
      </candidateList>
      <explain>自治区州县缩写不规范。《地名管理条例》第十八条规定，标识牌、公共平台发布的信息、各类公文证件、学习类公开出版物、地图、法律法规规定等场景范围内必须使用标准地名。</explain>
      <paraID>73F7A371</paraID>
      <start>11</start>
      <end>14</end>
      <status>unmodified</status>
      <modifiedWord/>
      <trackRevisions>false</trackRevisions>
    </reviewItem>
    <reviewItem>
      <errorID>52be4f48-62ae-4bd0-ab97-460eca500573</errorID>
      <errorWord>:</errorWord>
      <group>L1_Format</group>
      <groupName>格式问题</groupName>
      <ability>L2_HalfPunc</ability>
      <abilityName>全半角检查</abilityName>
      <candidateList>
        <item>：</item>
      </candidateList>
      <explain>文本全半角错误。</explain>
      <paraID>6FC26E26</paraID>
      <start>25</start>
      <end>26</end>
      <status>unmodified</status>
      <modifiedWord/>
      <trackRevisions>false</trackRevisions>
    </reviewItem>
    <reviewItem>
      <errorID>5269c101-2b89-4585-9c6c-854f1c63cb55</errorID>
      <errorWord>广西省</errorWord>
      <group>L1_Knowledge</group>
      <groupName>知识性问题</groupName>
      <ability>L2_Location</ability>
      <abilityName>地名检查</abilityName>
      <candidateList>
        <item>广西壮族自治区</item>
      </candidateList>
      <explain>自治区州县缩写不规范。《地名管理条例》第十八条规定，标识牌、公共平台发布的信息、各类公文证件、学习类公开出版物、地图、法律法规规定等场景范围内必须使用标准地名。</explain>
      <paraID>4E425639</paraID>
      <start>52</start>
      <end>55</end>
      <status>unmodified</status>
      <modifiedWord/>
      <trackRevisions>false</trackRevisions>
    </reviewItem>
    <reviewItem>
      <errorID>9f649584-a0eb-4264-be34-967c44f14aa6</errorID>
      <errorWord>其它</errorWord>
      <group>L1_Word</group>
      <groupName>字词问题</groupName>
      <ability>L2_Alias</ability>
      <abilityName>也作/曾用词</abilityName>
      <candidateList>
        <item>其他</item>
      </candidateList>
      <explain>词汇[其它]为不规范表述或旧称，其规范书面表述为[其他]。</explain>
      <paraID>55367D77</paraID>
      <start>43</start>
      <end>45</end>
      <status>unmodified</status>
      <modifiedWord/>
      <trackRevisions>false</trackRevisions>
    </reviewItem>
    <reviewItem>
      <errorID>0bd565fd-8e75-4c80-aab5-912dee05c85f</errorID>
      <errorWord>(</errorWord>
      <group>L1_Format</group>
      <groupName>格式问题</groupName>
      <ability>L2_HalfPunc</ability>
      <abilityName>全半角检查</abilityName>
      <candidateList>
        <item>（</item>
      </candidateList>
      <explain>文本全半角错误。</explain>
      <paraID>4C85F308</paraID>
      <start>22</start>
      <end>23</end>
      <status>unmodified</status>
      <modifiedWord/>
      <trackRevisions>false</trackRevisions>
    </reviewItem>
    <reviewItem>
      <errorID>b2dcb216-e8ec-44d3-8f9c-d8ede0a8d421</errorID>
      <errorWord>)</errorWord>
      <group>L1_Format</group>
      <groupName>格式问题</groupName>
      <ability>L2_HalfPunc</ability>
      <abilityName>全半角检查</abilityName>
      <candidateList>
        <item>）</item>
      </candidateList>
      <explain>文本全半角错误。</explain>
      <paraID>4C85F308</paraID>
      <start>46</start>
      <end>47</end>
      <status>unmodified</status>
      <modifiedWord/>
      <trackRevisions>false</trackRevisions>
    </reviewItem>
    <reviewItem>
      <errorID>9965c581-7c17-496b-9014-e3e8bc5bbb1b</errorID>
      <errorWord>(</errorWord>
      <group>L1_Format</group>
      <groupName>格式问题</groupName>
      <ability>L2_HalfPunc</ability>
      <abilityName>全半角检查</abilityName>
      <candidateList>
        <item>（</item>
      </candidateList>
      <explain>文本全半角错误。</explain>
      <paraID>2A1109AA</paraID>
      <start>19</start>
      <end>20</end>
      <status>unmodified</status>
      <modifiedWord/>
      <trackRevisions>false</trackRevisions>
    </reviewItem>
    <reviewItem>
      <errorID>68c25599-33ec-4bb6-ae55-0d78dddf02c9</errorID>
      <errorWord>)</errorWord>
      <group>L1_Format</group>
      <groupName>格式问题</groupName>
      <ability>L2_HalfPunc</ability>
      <abilityName>全半角检查</abilityName>
      <candidateList>
        <item>）</item>
      </candidateList>
      <explain>文本全半角错误。</explain>
      <paraID>2A1109AA</paraID>
      <start>40</start>
      <end>41</end>
      <status>unmodified</status>
      <modifiedWord/>
      <trackRevisions>false</trackRevisions>
    </reviewItem>
    <reviewItem>
      <errorID>f0dee97d-94c0-4ddd-9719-a3df4897ef0c</errorID>
      <errorWord>导入到</errorWord>
      <group>L1_Word</group>
      <groupName>字词问题</groupName>
      <ability>L2_Typo</ability>
      <abilityName>字词错误</abilityName>
      <candidateList>
        <item>导入</item>
      </candidateList>
      <explain/>
      <paraID>714454EA</paraID>
      <start>34</start>
      <end>37</end>
      <status>unmodified</status>
      <modifiedWord/>
      <trackRevisions>false</trackRevisions>
    </reviewItem>
    <reviewItem>
      <errorID>e5322209-0661-4c6c-aee7-a65c727b2421</errorID>
      <errorWord>架式</errorWord>
      <group>L1_Word</group>
      <groupName>字词问题</groupName>
      <ability>L2_Variant</ability>
      <abilityName>异形词</abilityName>
      <candidateList>
        <item>架势</item>
      </candidateList>
      <explain>词汇[架式]的规范词形写作[架势]。</explain>
      <paraID>5BDD899E</paraID>
      <start>6</start>
      <end>8</end>
      <status>unmodified</status>
      <modifiedWord/>
      <trackRevisions>false</trackRevisions>
    </reviewItem>
    <reviewItem>
      <errorID>6ee31ce4-0f46-417b-a409-19aec6ce430d</errorID>
      <errorWord>广西省</errorWord>
      <group>L1_Knowledge</group>
      <groupName>知识性问题</groupName>
      <ability>L2_Location</ability>
      <abilityName>地名检查</abilityName>
      <candidateList>
        <item>广西壮族自治区</item>
      </candidateList>
      <explain>自治区州县缩写不规范。《地名管理条例》第十八条规定，标识牌、公共平台发布的信息、各类公文证件、学习类公开出版物、地图、法律法规规定等场景范围内必须使用标准地名。</explain>
      <paraID>2C12564F</paraID>
      <start>15</start>
      <end>18</end>
      <status>unmodified</status>
      <modifiedWord/>
      <trackRevisions>false</trackRevisions>
    </reviewItem>
    <reviewItem>
      <errorID>1c9f3664-59ba-434b-aa74-dd050eedcf70</errorID>
      <errorWord>Kg</errorWord>
      <group>L1_Word</group>
      <groupName>字词问题</groupName>
      <ability>L2_Typo</ability>
      <abilityName>字词错误</abilityName>
      <candidateList>
        <item>kg</item>
      </candidateList>
      <explain/>
      <paraID> 85A2B75</paraID>
      <start>14</start>
      <end>16</end>
      <status>unmodified</status>
      <modifiedWord/>
      <trackRevisions>false</trackRevisions>
    </reviewItem>
    <reviewItem>
      <errorID>9083c279-9c14-4a3b-8d48-891e45ad85d6</errorID>
      <errorWord>:</errorWord>
      <group>L1_Format</group>
      <groupName>格式问题</groupName>
      <ability>L2_HalfPunc</ability>
      <abilityName>全半角检查</abilityName>
      <candidateList>
        <item>：</item>
      </candidateList>
      <explain>文本全半角错误。</explain>
      <paraID>777A5CB0</paraID>
      <start>4</start>
      <end>5</end>
      <status>unmodified</status>
      <modifiedWord/>
      <trackRevisions>false</trackRevisions>
    </reviewItem>
    <reviewItem>
      <errorID>69e9a2c9-251d-4957-8425-911ece96b7d1</errorID>
      <errorWord>（</errorWord>
      <group>L1_Punc</group>
      <groupName>标点问题</groupName>
      <ability>L2_Punc</ability>
      <abilityName>标点符号检查</abilityName>
      <candidateList/>
      <explain>同一形式括号套用。</explain>
      <paraID>153FE9BC</paraID>
      <start>78</start>
      <end>79</end>
      <status>unmodified</status>
      <modifiedWord/>
      <trackRevisions>false</trackRevisions>
    </reviewItem>
    <reviewItem>
      <errorID>79159027-9f64-4473-859c-078212e971c5</errorID>
      <errorWord>）</errorWord>
      <group>L1_Punc</group>
      <groupName>标点问题</groupName>
      <ability>L2_Punc</ability>
      <abilityName>标点符号检查</abilityName>
      <candidateList/>
      <explain>同一形式括号套用。</explain>
      <paraID>153FE9BC</paraID>
      <start>81</start>
      <end>82</end>
      <status>unmodified</status>
      <modifiedWord/>
      <trackRevisions>false</trackRevisions>
    </reviewItem>
    <reviewItem>
      <errorID>21320f79-b660-4ae5-91c0-6c42d95c3b40</errorID>
      <errorWord>（</errorWord>
      <group>L1_Punc</group>
      <groupName>标点问题</groupName>
      <ability>L2_Punc</ability>
      <abilityName>标点符号检查</abilityName>
      <candidateList/>
      <explain>同一形式括号套用。</explain>
      <paraID>153FE9BC</paraID>
      <start>89</start>
      <end>90</end>
      <status>unmodified</status>
      <modifiedWord/>
      <trackRevisions>false</trackRevisions>
    </reviewItem>
    <reviewItem>
      <errorID>b3645e6c-eaed-4fd6-bf1d-a254a78e7c96</errorID>
      <errorWord>）</errorWord>
      <group>L1_Punc</group>
      <groupName>标点问题</groupName>
      <ability>L2_Punc</ability>
      <abilityName>标点符号检查</abilityName>
      <candidateList/>
      <explain>同一形式括号套用。</explain>
      <paraID>153FE9BC</paraID>
      <start>92</start>
      <end>93</end>
      <status>unmodified</status>
      <modifiedWord/>
      <trackRevisions>false</trackRevisions>
    </reviewItem>
    <reviewItem>
      <errorID>73be360e-c0b8-4ff0-8d29-a3594f5d00ea</errorID>
      <errorWord>折点</errorWord>
      <group>L1_Word</group>
      <groupName>字词问题</groupName>
      <ability>L2_Typo</ability>
      <abilityName>字词错误</abilityName>
      <candidateList>
        <item>靶点</item>
      </candidateList>
      <explain/>
      <paraID>1E2BCA23</paraID>
      <start>22</start>
      <end>24</end>
      <status>unmodified</status>
      <modifiedWord/>
      <trackRevisions>false</trackRevisions>
    </reviewItem>
    <reviewItem>
      <errorID>893d7b4f-1e43-4fbe-b384-1e92682e26cf</errorID>
      <errorWord>血</errorWord>
      <group>L1_Word</group>
      <groupName>字词问题</groupName>
      <ability>L2_Typo</ability>
      <abilityName>字词错误</abilityName>
      <candidateList>
        <item>血性</item>
      </candidateList>
      <explain/>
      <paraID>44BD47E2</paraID>
      <start>37</start>
      <end>38</end>
      <status>unmodified</status>
      <modifiedWord/>
      <trackRevisions>false</trackRevisions>
    </reviewItem>
    <reviewItem>
      <errorID>d79332c6-a78e-45d1-b0a6-4d1b9db46fb0</errorID>
      <errorWord>,</errorWord>
      <group>L1_Format</group>
      <groupName>格式问题</groupName>
      <ability>L2_HalfPunc</ability>
      <abilityName>全半角检查</abilityName>
      <candidateList>
        <item>，</item>
      </candidateList>
      <explain>文本全半角错误。</explain>
      <paraID>313CFADE</paraID>
      <start>21</start>
      <end>22</end>
      <status>unmodified</status>
      <modifiedWord/>
      <trackRevisions>false</trackRevisions>
    </reviewItem>
    <reviewItem>
      <errorID>53eb8953-9988-41c6-9244-b2d69c703c82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7F9174A</paraID>
      <start>102</start>
      <end>103</end>
      <status>unmodified</status>
      <modifiedWord/>
      <trackRevisions>false</trackRevisions>
    </reviewItem>
    <reviewItem>
      <errorID>92e54073-c8bf-4a5a-ab18-dc3489ea638d</errorID>
      <errorWord>、</errorWord>
      <group>L1_Word</group>
      <groupName>字词问题</groupName>
      <ability>L2_Typo</ability>
      <abilityName>字词错误</abilityName>
      <candidateList>
        <item>、全</item>
      </candidateList>
      <explain/>
      <paraID>493FC81C</paraID>
      <start>34</start>
      <end>35</end>
      <status>unmodified</status>
      <modifiedWord/>
      <trackRevisions>false</trackRevisions>
    </reviewItem>
    <reviewItem>
      <errorID>f98c7fa1-1a1e-4ee4-9e8e-09e8cdafc61e</errorID>
      <errorWord>广西省</errorWord>
      <group>L1_Knowledge</group>
      <groupName>知识性问题</groupName>
      <ability>L2_Location</ability>
      <abilityName>地名检查</abilityName>
      <candidateList>
        <item>广西壮族自治区</item>
      </candidateList>
      <explain>自治区州县缩写不规范。《地名管理条例》第十八条规定，标识牌、公共平台发布的信息、各类公文证件、学习类公开出版物、地图、法律法规规定等场景范围内必须使用标准地名。</explain>
      <paraID> 4D1C131</paraID>
      <start>27</start>
      <end>30</end>
      <status>unmodified</status>
      <modifiedWord/>
      <trackRevisions>false</trackRevisions>
    </reviewItem>
    <reviewItem>
      <errorID>e164b028-e556-4ac7-b3c2-c1fd7f950a67</errorID>
      <errorWord>营养成份</errorWord>
      <group>L1_Word</group>
      <groupName>字词问题</groupName>
      <ability>L2_Variant</ability>
      <abilityName>异形词</abilityName>
      <candidateList>
        <item>营养成分</item>
      </candidateList>
      <explain>词汇[营养成份]的规范词形写作[营养成分]。</explain>
      <paraID>6C5D60A1</paraID>
      <start>3</start>
      <end>7</end>
      <status>unmodified</status>
      <modifiedWord/>
      <trackRevisions>false</trackRevisions>
    </reviewItem>
    <reviewItem>
      <errorID>7ba22cfa-0117-44e1-a2ab-ab148b01d702</errorID>
      <errorWord>windws</errorWord>
      <group>L1_English</group>
      <groupName>英文问题</groupName>
      <ability>L2_Spell</ability>
      <abilityName>拼写问题</abilityName>
      <candidateList>
        <item>Windows</item>
      </candidateList>
      <explain>疑似单词拼写有误，建议将windws修改为Windows</explain>
      <paraID>494486E3</paraID>
      <start>29</start>
      <end>35</end>
      <status>unmodified</status>
      <modifiedWord/>
      <trackRevisions>false</trackRevisions>
    </reviewItem>
    <reviewItem>
      <errorID>176415b6-30db-4452-a328-d8f2379fdeef</errorID>
      <errorWord>况</errorWord>
      <group>L1_Word</group>
      <groupName>字词问题</groupName>
      <ability>L2_Typo</ability>
      <abilityName>字词错误</abilityName>
      <candidateList>
        <item>况下</item>
      </candidateList>
      <explain/>
      <paraID>6BF36716</paraID>
      <start>19</start>
      <end>20</end>
      <status>unmodified</status>
      <modifiedWord/>
      <trackRevisions>false</trackRevisions>
    </reviewItem>
    <reviewItem>
      <errorID>7f6202cf-fc13-4b40-9049-4e0b4c376703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843CBC1</paraID>
      <start>0</start>
      <end>2</end>
      <status>unmodified</status>
      <modifiedWord/>
      <trackRevisions>false</trackRevisions>
    </reviewItem>
    <reviewItem>
      <errorID>5fca7547-471b-44dc-9cd2-a0c78b9e4bbe</errorID>
      <errorWord>“/</errorWord>
      <group>L1_Punc</group>
      <groupName>标点问题</groupName>
      <ability>L2_Punc</ability>
      <abilityName>标点符号检查</abilityName>
      <candidateList>
        <item>“</item>
      </candidateList>
      <explain/>
      <paraID> 843CBC1</paraID>
      <start>8</start>
      <end>10</end>
      <status>unmodified</status>
      <modifiedWord/>
      <trackRevisions>false</trackRevisions>
    </reviewItem>
    <reviewItem>
      <errorID>07748ccc-eca5-456b-bcd3-33dfc1e9f59c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605E8873</paraID>
      <start>0</start>
      <end>2</end>
      <status>unmodified</status>
      <modifiedWord/>
      <trackRevisions>false</trackRevisions>
    </reviewItem>
    <reviewItem>
      <errorID>70c4dd89-5cc6-462f-ae94-f8697a6b9410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798456B3</paraID>
      <start>0</start>
      <end>2</end>
      <status>unmodified</status>
      <modifiedWord/>
      <trackRevisions>false</trackRevisions>
    </reviewItem>
    <reviewItem>
      <errorID>116e780c-e460-466a-839c-9fa100265e82</errorID>
      <errorWord>:</errorWord>
      <group>L1_Format</group>
      <groupName>格式问题</groupName>
      <ability>L2_HalfPunc</ability>
      <abilityName>全半角检查</abilityName>
      <candidateList>
        <item>：</item>
      </candidateList>
      <explain>文本全半角错误。</explain>
      <paraID>4A4610A4</paraID>
      <start>6</start>
      <end>7</end>
      <status>unmodified</status>
      <modifiedWord/>
      <trackRevisions>false</trackRevisions>
    </reviewItem>
    <reviewItem>
      <errorID>a68b016e-8914-41b6-a4a3-37478b0d1534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27A2D180</paraID>
      <start>0</start>
      <end>3</end>
      <status>unmodified</status>
      <modifiedWord/>
      <trackRevisions>false</trackRevisions>
    </reviewItem>
    <reviewItem>
      <errorID>f2ebd3d6-a709-4e26-b9dc-28c2925939b7</errorID>
      <errorWord>:</errorWord>
      <group>L1_Format</group>
      <groupName>格式问题</groupName>
      <ability>L2_HalfPunc</ability>
      <abilityName>全半角检查</abilityName>
      <candidateList>
        <item>：</item>
      </candidateList>
      <explain>文本全半角错误。</explain>
      <paraID>27A2D180</paraID>
      <start>6</start>
      <end>7</end>
      <status>unmodified</status>
      <modifiedWord/>
      <trackRevisions>false</trackRevisions>
    </reviewItem>
    <reviewItem>
      <errorID>d3e0cda2-6afc-464c-b6bc-515f149087ac</errorID>
      <errorWord>:</errorWord>
      <group>L1_Format</group>
      <groupName>格式问题</groupName>
      <ability>L2_HalfPunc</ability>
      <abilityName>全半角检查</abilityName>
      <candidateList>
        <item>：</item>
      </candidateList>
      <explain>文本全半角错误。</explain>
      <paraID>27A2D180</paraID>
      <start>47</start>
      <end>48</end>
      <status>unmodified</status>
      <modifiedWord/>
      <trackRevisions>false</trackRevisions>
    </reviewItem>
    <reviewItem>
      <errorID>1bbfbfb6-3f38-42ab-a3a5-defbe9bcf988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5D32EC41</paraID>
      <start>0</start>
      <end>3</end>
      <status>unmodified</status>
      <modifiedWord/>
      <trackRevisions>false</trackRevisions>
    </reviewItem>
    <reviewItem>
      <errorID>4e358ce1-536a-48ca-a7e8-2e27e680d2e8</errorID>
      <errorWord>:</errorWord>
      <group>L1_Format</group>
      <groupName>格式问题</groupName>
      <ability>L2_HalfPunc</ability>
      <abilityName>全半角检查</abilityName>
      <candidateList>
        <item>：</item>
      </candidateList>
      <explain>文本全半角错误。</explain>
      <paraID>5D32EC41</paraID>
      <start>6</start>
      <end>7</end>
      <status>unmodified</status>
      <modifiedWord/>
      <trackRevisions>false</trackRevisions>
    </reviewItem>
    <reviewItem>
      <errorID>c577c788-32ef-4857-bb3a-8ffef70f7a12</errorID>
      <errorWord>)</errorWord>
      <group>L1_Format</group>
      <groupName>格式问题</groupName>
      <ability>L2_HalfPunc</ability>
      <abilityName>全半角检查</abilityName>
      <candidateList>
        <item>）</item>
      </candidateList>
      <explain>文本全半角错误。</explain>
      <paraID>5D32EC41</paraID>
      <start>73</start>
      <end>74</end>
      <status>unmodified</status>
      <modifiedWord/>
      <trackRevisions>false</trackRevisions>
    </reviewItem>
    <reviewItem>
      <errorID>de1e9ca9-e32d-467b-a443-f1cf34233048</errorID>
      <errorWord>法律、法规</errorWord>
      <group>L1_Word</group>
      <groupName>字词问题</groupName>
      <ability>L2_Typo</ability>
      <abilityName>字词错误</abilityName>
      <candidateList>
        <item>法律法规</item>
      </candidateList>
      <explain/>
      <paraID> 19DFDD5</paraID>
      <start>6</start>
      <end>11</end>
      <status>unmodified</status>
      <modifiedWord/>
      <trackRevisions>false</trackRevisions>
    </reviewItem>
    <reviewItem>
      <errorID>b119a7ee-64a7-4d0e-914f-21a2881cdac2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4059C43C</paraID>
      <start>0</start>
      <end>2</end>
      <status>unmodified</status>
      <modifiedWord/>
      <trackRevisions>false</trackRevisions>
    </reviewItem>
    <reviewItem>
      <errorID>974bb039-2e29-4a8f-90d1-99d1ecf1cd1e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4059C43C</paraID>
      <start>17</start>
      <end>18</end>
      <status>unmodified</status>
      <modifiedWord/>
      <trackRevisions>false</trackRevisions>
    </reviewItem>
    <reviewItem>
      <errorID>d70b8da3-591d-4651-a478-bb8e1d4f45f7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6E162EEE</paraID>
      <start>0</start>
      <end>2</end>
      <status>unmodified</status>
      <modifiedWord/>
      <trackRevisions>false</trackRevisions>
    </reviewItem>
    <reviewItem>
      <errorID>98f40763-80bd-4002-9373-ff7063c917f6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454F7C16</paraID>
      <start>0</start>
      <end>2</end>
      <status>unmodified</status>
      <modifiedWord/>
      <trackRevisions>false</trackRevisions>
    </reviewItem>
    <reviewItem>
      <errorID>0d30e9fc-88fb-4da2-b14c-2a1b56e74527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E58A4EE</paraID>
      <start>0</start>
      <end>2</end>
      <status>unmodified</status>
      <modifiedWord/>
      <trackRevisions>false</trackRevisions>
    </reviewItem>
    <reviewItem>
      <errorID>3dfabdf5-31d7-4571-9f71-69b05ac7b861</errorID>
      <errorWord>：/</errorWord>
      <group>L1_Punc</group>
      <groupName>标点问题</groupName>
      <ability>L2_Punc</ability>
      <abilityName>标点符号检查</abilityName>
      <candidateList>
        <item>：</item>
      </candidateList>
      <explain/>
      <paraID>6BDB9975</paraID>
      <start>12</start>
      <end>14</end>
      <status>unmodified</status>
      <modifiedWord/>
      <trackRevisions>false</trackRevisions>
    </reviewItem>
    <reviewItem>
      <errorID>ac12ba47-8a16-411b-8acd-d5b3cc71810c</errorID>
      <errorWord>：/</errorWord>
      <group>L1_Punc</group>
      <groupName>标点问题</groupName>
      <ability>L2_Punc</ability>
      <abilityName>标点符号检查</abilityName>
      <candidateList>
        <item>：</item>
      </candidateList>
      <explain/>
      <paraID>629304B4</paraID>
      <start>12</start>
      <end>14</end>
      <status>unmodified</status>
      <modifiedWord/>
      <trackRevisions>false</trackRevisions>
    </reviewItem>
    <reviewItem>
      <errorID>705484af-1d47-4148-91f9-e51ea69fe6fb</errorID>
      <errorWord>15-95%</errorWord>
      <group>L1_Knowledge</group>
      <groupName>知识性问题</groupName>
      <ability>L2_Knowledge</ability>
      <abilityName>其他知识</abilityName>
      <candidateList>
        <item>15%—95%</item>
      </candidateList>
      <explain>1. “15-95%”中的单位“%”仅出现在后一个数字上，容易引起歧义；根据《现代汉语标点符号数字用法规范手册》，数字表示范围两边需要使用统一的格式。2. 根据标点国标 4.13 中的规则，数字、时间或地域连接符应使用（视觉上更长的）“—”或“～”。</explain>
      <paraID> 9955155</paraID>
      <start>24</start>
      <end>30</end>
      <status>unmodified</status>
      <modifiedWord/>
      <trackRevisions>false</trackRevisions>
    </reviewItem>
    <reviewItem>
      <errorID>cfc90d63-d897-47ce-90fd-462d54585bda</errorID>
      <errorWord>,</errorWord>
      <group>L1_Format</group>
      <groupName>格式问题</groupName>
      <ability>L2_HalfPunc</ability>
      <abilityName>全半角检查</abilityName>
      <candidateList>
        <item>，</item>
      </candidateList>
      <explain>文本全半角错误。</explain>
      <paraID>457CC725</paraID>
      <start>25</start>
      <end>26</end>
      <status>unmodified</status>
      <modifiedWord/>
      <trackRevisions>false</trackRevisions>
    </reviewItem>
    <reviewItem>
      <errorID>13fe850a-6ac0-41b7-b9c3-c73bd3939c6d</errorID>
      <errorWord>网路</errorWord>
      <group>L1_Word</group>
      <groupName>字词问题</groupName>
      <ability>L2_Alias</ability>
      <abilityName>也作/曾用词</abilityName>
      <candidateList>
        <item>网络</item>
      </candidateList>
      <explain>词汇[网路]为不规范表述或旧称，其规范书面表述为[网络]。</explain>
      <paraID>457CC725</paraID>
      <start>68</start>
      <end>70</end>
      <status>unmodified</status>
      <modifiedWord/>
      <trackRevisions>false</trackRevisions>
    </reviewItem>
    <reviewItem>
      <errorID>1bc79a2e-cc6b-4a9f-8db1-5684c6e24c64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BDA390A</paraID>
      <start>14</start>
      <end>15</end>
      <status>unmodified</status>
      <modifiedWord/>
      <trackRevisions>false</trackRevisions>
    </reviewItem>
    <reviewItem>
      <errorID>924c0688-afcc-42c4-818e-96a3bae4b517</errorID>
      <errorWord>(</errorWord>
      <group>L1_Format</group>
      <groupName>格式问题</groupName>
      <ability>L2_HalfPunc</ability>
      <abilityName>全半角检查</abilityName>
      <candidateList>
        <item>（</item>
      </candidateList>
      <explain>文本全半角错误。</explain>
      <paraID>36D2E201</paraID>
      <start>11</start>
      <end>12</end>
      <status>unmodified</status>
      <modifiedWord/>
      <trackRevisions>false</trackRevisions>
    </reviewItem>
    <reviewItem>
      <errorID>602c54f1-d2c4-4dc5-be4a-cd4b51479960</errorID>
      <errorWord>)</errorWord>
      <group>L1_Format</group>
      <groupName>格式问题</groupName>
      <ability>L2_HalfPunc</ability>
      <abilityName>全半角检查</abilityName>
      <candidateList>
        <item>）</item>
      </candidateList>
      <explain>文本全半角错误。</explain>
      <paraID>36D2E201</paraID>
      <start>24</start>
      <end>25</end>
      <status>unmodified</status>
      <modifiedWord/>
      <trackRevisions>false</trackRevisions>
    </reviewItem>
    <reviewItem>
      <errorID>4c7c53e8-9896-4c90-bf9b-10a6aa345b2f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36D2E201</paraID>
      <start>26</start>
      <end>27</end>
      <status>unmodified</status>
      <modifiedWord/>
      <trackRevisions>false</trackRevisions>
    </reviewItem>
    <reviewItem>
      <errorID>9053f848-d26d-41e1-8eb5-60dead4b2ac5</errorID>
      <errorWord>(</errorWord>
      <group>L1_Format</group>
      <groupName>格式问题</groupName>
      <ability>L2_HalfPunc</ability>
      <abilityName>全半角检查</abilityName>
      <candidateList>
        <item>（</item>
      </candidateList>
      <explain>文本全半角错误。</explain>
      <paraID>36D2E201</paraID>
      <start>72</start>
      <end>73</end>
      <status>unmodified</status>
      <modifiedWord/>
      <trackRevisions>false</trackRevisions>
    </reviewItem>
    <reviewItem>
      <errorID>cfe388b1-588e-4630-b7de-4f377e627901</errorID>
      <errorWord>)</errorWord>
      <group>L1_Format</group>
      <groupName>格式问题</groupName>
      <ability>L2_HalfPunc</ability>
      <abilityName>全半角检查</abilityName>
      <candidateList>
        <item>）</item>
      </candidateList>
      <explain>文本全半角错误。</explain>
      <paraID>36D2E201</paraID>
      <start>79</start>
      <end>80</end>
      <status>unmodified</status>
      <modifiedWord/>
      <trackRevisions>false</trackRevisions>
    </reviewItem>
    <reviewItem>
      <errorID>a69fb973-c295-4264-bd54-b28069831db2</errorID>
      <errorWord>(</errorWord>
      <group>L1_Format</group>
      <groupName>格式问题</groupName>
      <ability>L2_HalfPunc</ability>
      <abilityName>全半角检查</abilityName>
      <candidateList>
        <item>（</item>
      </candidateList>
      <explain>文本全半角错误。</explain>
      <paraID>36D2E201</paraID>
      <start>92</start>
      <end>93</end>
      <status>unmodified</status>
      <modifiedWord/>
      <trackRevisions>false</trackRevisions>
    </reviewItem>
    <reviewItem>
      <errorID>9cdfc8e5-ffaf-486a-b64c-870a300c1f87</errorID>
      <errorWord>)</errorWord>
      <group>L1_Format</group>
      <groupName>格式问题</groupName>
      <ability>L2_HalfPunc</ability>
      <abilityName>全半角检查</abilityName>
      <candidateList>
        <item>）</item>
      </candidateList>
      <explain>文本全半角错误。</explain>
      <paraID>36D2E201</paraID>
      <start>99</start>
      <end>100</end>
      <status>unmodified</status>
      <modifiedWord/>
      <trackRevisions>false</trackRevisions>
    </reviewItem>
    <reviewItem>
      <errorID>ef192b4e-158c-406c-9287-38e23048732e</errorID>
      <errorWord>21~100%</errorWord>
      <group>L1_Knowledge</group>
      <groupName>知识性问题</groupName>
      <ability>L2_Knowledge</ability>
      <abilityName>其他知识</abilityName>
      <candidateList>
        <item>21%～100%</item>
      </candidateList>
      <explain>1. “21~100%”中的单位“%”仅出现在后一个数字上，容易引起歧义；根据《现代汉语标点符号数字用法规范手册》，数字表示范围两边需要使用统一的格式。2. 根据标点国标 4.13 中的规则，数字、时间或地域连接符应使用（视觉上更长的）“—”或“～”。</explain>
      <paraID> 46A34E9</paraID>
      <start>61</start>
      <end>68</end>
      <status>unmodified</status>
      <modifiedWord/>
      <trackRevisions>false</trackRevisions>
    </reviewItem>
    <reviewItem>
      <errorID>0cf971e2-8ac2-4bfb-b9e8-3561729121e4</errorID>
      <errorWord>(</errorWord>
      <group>L1_Format</group>
      <groupName>格式问题</groupName>
      <ability>L2_HalfPunc</ability>
      <abilityName>全半角检查</abilityName>
      <candidateList>
        <item>（</item>
      </candidateList>
      <explain>文本全半角错误。</explain>
      <paraID>63373005</paraID>
      <start>33</start>
      <end>34</end>
      <status>unmodified</status>
      <modifiedWord/>
      <trackRevisions>false</trackRevisions>
    </reviewItem>
    <reviewItem>
      <errorID>c9924454-facc-40f8-9b24-eb1a589ce688</errorID>
      <errorWord>)</errorWord>
      <group>L1_Format</group>
      <groupName>格式问题</groupName>
      <ability>L2_HalfPunc</ability>
      <abilityName>全半角检查</abilityName>
      <candidateList>
        <item>）</item>
      </candidateList>
      <explain>文本全半角错误。</explain>
      <paraID>63373005</paraID>
      <start>41</start>
      <end>42</end>
      <status>unmodified</status>
      <modifiedWord/>
      <trackRevisions>false</trackRevisions>
    </reviewItem>
    <reviewItem>
      <errorID>0e8f6dae-8ae8-4c5b-9ee7-8d0ef4d546bf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38FF1572</paraID>
      <start>11</start>
      <end>12</end>
      <status>unmodified</status>
      <modifiedWord/>
      <trackRevisions>false</trackRevisions>
    </reviewItem>
    <reviewItem>
      <errorID>b1ce14f6-6790-4318-aa39-d0868e6b1b8f</errorID>
      <errorWord>对于</errorWord>
      <group>L1_Word</group>
      <groupName>字词问题</groupName>
      <ability>L2_Typo</ability>
      <abilityName>字词错误</abilityName>
      <candidateList>
        <item>对</item>
      </candidateList>
      <explain/>
      <paraID> C344F93</paraID>
      <start>19</start>
      <end>21</end>
      <status>unmodified</status>
      <modifiedWord/>
      <trackRevisions>false</trackRevisions>
    </reviewItem>
    <reviewItem>
      <errorID>f5a25b27-52d6-4590-83d6-e79a1a36edce</errorID>
      <errorWord>给于</errorWord>
      <group>L1_Word</group>
      <groupName>字词问题</groupName>
      <ability>L2_Typo</ability>
      <abilityName>字词错误</abilityName>
      <candidateList>
        <item>给予</item>
      </candidateList>
      <explain/>
      <paraID>60B7B47A</paraID>
      <start>19</start>
      <end>21</end>
      <status>unmodified</status>
      <modifiedWord/>
      <trackRevisions>false</trackRevisions>
    </reviewItem>
    <reviewItem>
      <errorID>0e928579-c651-446a-8124-2dab809a116e</errorID>
      <errorWord>围术期</errorWord>
      <group>L1_Word</group>
      <groupName>字词问题</groupName>
      <ability>L2_Typo</ability>
      <abilityName>字词错误</abilityName>
      <candidateList>
        <item>围手术期</item>
      </candidateList>
      <explain/>
      <paraID>691AF7B1</paraID>
      <start>75</start>
      <end>78</end>
      <status>unmodified</status>
      <modifiedWord/>
      <trackRevisions>false</trackRevisions>
    </reviewItem>
    <reviewItem>
      <errorID>cab2e624-74e0-46b8-8bba-234a5477dd1c</errorID>
      <errorWord>(</errorWord>
      <group>L1_Format</group>
      <groupName>格式问题</groupName>
      <ability>L2_HalfPunc</ability>
      <abilityName>全半角检查</abilityName>
      <candidateList>
        <item>（</item>
      </candidateList>
      <explain>文本全半角错误。</explain>
      <paraID>6D07A67D</paraID>
      <start>0</start>
      <end>1</end>
      <status>unmodified</status>
      <modifiedWord/>
      <trackRevisions>false</trackRevisions>
    </reviewItem>
    <reviewItem>
      <errorID>8d013442-dadf-4feb-a4ec-d4ea148c6a0b</errorID>
      <errorWord>的</errorWord>
      <group>L1_Word</group>
      <groupName>字词问题</groupName>
      <ability>L2_DDD</ability>
      <abilityName>的地得用法</abilityName>
      <candidateList>
        <item>地</item>
      </candidateList>
      <explain/>
      <paraID> 5113E6E</paraID>
      <start>34</start>
      <end>35</end>
      <status>unmodified</status>
      <modifiedWord/>
      <trackRevisions>false</trackRevisions>
    </reviewItem>
    <reviewItem>
      <errorID>264c0084-81c4-4da1-96b5-acbac1504d30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15A48D1A</paraID>
      <start>34</start>
      <end>35</end>
      <status>unmodified</status>
      <modifiedWord/>
      <trackRevisions>false</trackRevisions>
    </reviewItem>
    <reviewItem>
      <errorID>93d3b202-cd26-404c-a9aa-e86f09f616e3</errorID>
      <errorWord>,</errorWord>
      <group>L1_Format</group>
      <groupName>格式问题</groupName>
      <ability>L2_HalfPunc</ability>
      <abilityName>全半角检查</abilityName>
      <candidateList>
        <item>，</item>
      </candidateList>
      <explain>文本全半角错误。</explain>
      <paraID>733E8095</paraID>
      <start>36</start>
      <end>37</end>
      <status>unmodified</status>
      <modifiedWord/>
      <trackRevisions>false</trackRevisions>
    </reviewItem>
    <reviewItem>
      <errorID>7791c03f-4a1b-4e7b-af11-26527faa67f2</errorID>
      <errorWord>总流量机</errorWord>
      <group>L1_Word</group>
      <groupName>字词问题</groupName>
      <ability>L2_Typo</ability>
      <abilityName>字词错误</abilityName>
      <candidateList>
        <item>总流量</item>
      </candidateList>
      <explain/>
      <paraID>  B1BE26</paraID>
      <start>6</start>
      <end>10</end>
      <status>unmodified</status>
      <modifiedWord/>
      <trackRevisions>false</trackRevisions>
    </reviewItem>
    <reviewItem>
      <errorID>840f0ee4-ed37-4861-9915-7bde6b824eee</errorID>
      <errorWord>5%~60%</errorWord>
      <group>L1_Knowledge</group>
      <groupName>知识性问题</groupName>
      <ability>L2_Knowledge</ability>
      <abilityName>其他知识</abilityName>
      <candidateList>
        <item>5%～60%</item>
      </candidateList>
      <explain>1. “5%~60%”中的单位“%”仅出现在后一个数字上，容易引起歧义；根据《现代汉语标点符号数字用法规范手册》，数字表示范围两边需要使用统一的格式。2. 根据标点国标 4.13 中的规则，数字、时间或地域连接符应使用（视觉上更长的）“—”或“～”。</explain>
      <paraID> E328082</paraID>
      <start>17</start>
      <end>23</end>
      <status>unmodified</status>
      <modifiedWord/>
      <trackRevisions>false</trackRevisions>
    </reviewItem>
    <reviewItem>
      <errorID>9b0d1a9a-3a84-406d-9853-42b46d675542</errorID>
      <errorWord>;</errorWord>
      <group>L1_Format</group>
      <groupName>格式问题</groupName>
      <ability>L2_HalfPunc</ability>
      <abilityName>全半角检查</abilityName>
      <candidateList>
        <item>；</item>
      </candidateList>
      <explain>文本全半角错误。</explain>
      <paraID>5D2B56CD</paraID>
      <start>38</start>
      <end>39</end>
      <status>unmodified</status>
      <modifiedWord/>
      <trackRevisions>false</trackRevisions>
    </reviewItem>
    <reviewItem>
      <errorID>fd13c4b0-f334-463f-9f80-7d20693dc737</errorID>
      <errorWord>,</errorWord>
      <group>L1_Format</group>
      <groupName>格式问题</groupName>
      <ability>L2_HalfPunc</ability>
      <abilityName>全半角检查</abilityName>
      <candidateList>
        <item>，</item>
      </candidateList>
      <explain>文本全半角错误。</explain>
      <paraID>785676BC</paraID>
      <start>15</start>
      <end>16</end>
      <status>unmodified</status>
      <modifiedWord/>
      <trackRevisions>false</trackRevisions>
    </reviewItem>
    <reviewItem>
      <errorID>15c744a4-8c38-4705-98b9-b160067c2ea7</errorID>
      <errorWord>18%-100%</errorWord>
      <group>L1_Knowledge</group>
      <groupName>知识性问题</groupName>
      <ability>L2_Knowledge</ability>
      <abilityName>其他知识</abilityName>
      <candidateList>
        <item>18%—100%</item>
      </candidateList>
      <explain>1. “18%-100%”中的单位“%”仅出现在后一个数字上，容易引起歧义；根据《现代汉语标点符号数字用法规范手册》，数字表示范围两边需要使用统一的格式。2. 根据标点国标 4.13 中的规则，数字、时间或地域连接符应使用（视觉上更长的）“—”或“～”。</explain>
      <paraID>62459327</paraID>
      <start>11</start>
      <end>19</end>
      <status>unmodified</status>
      <modifiedWord/>
      <trackRevisions>false</trackRevisions>
    </reviewItem>
    <reviewItem>
      <errorID>7cb12107-1910-4dc2-9b52-1b60806d465c</errorID>
      <errorWord>-</errorWord>
      <group>L1_Format</group>
      <groupName>格式问题</groupName>
      <ability>L2_HalfPunc</ability>
      <abilityName>全半角检查</abilityName>
      <candidateList>
        <item>－</item>
      </candidateList>
      <explain>文本全半角错误。</explain>
      <paraID>336043A5</paraID>
      <start>15</start>
      <end>16</end>
      <status>unmodified</status>
      <modifiedWord/>
      <trackRevisions>false</trackRevisions>
    </reviewItem>
    <reviewItem>
      <errorID>9218ef02-8c92-425d-958a-783075ee9bbc</errorID>
      <errorWord>;</errorWord>
      <group>L1_Format</group>
      <groupName>格式问题</groupName>
      <ability>L2_HalfPunc</ability>
      <abilityName>全半角检查</abilityName>
      <candidateList>
        <item>；</item>
      </candidateList>
      <explain>文本全半角错误。</explain>
      <paraID>439B6A38</paraID>
      <start>31</start>
      <end>32</end>
      <status>unmodified</status>
      <modifiedWord/>
      <trackRevisions>false</trackRevisions>
    </reviewItem>
    <reviewItem>
      <errorID>37a7960e-1ddb-492e-a63b-06e43f5544b2</errorID>
      <errorWord>:</errorWord>
      <group>L1_Format</group>
      <groupName>格式问题</groupName>
      <ability>L2_HalfPunc</ability>
      <abilityName>全半角检查</abilityName>
      <candidateList>
        <item>：</item>
      </candidateList>
      <explain>文本全半角错误。</explain>
      <paraID>2451E325</paraID>
      <start>6</start>
      <end>7</end>
      <status>unmodified</status>
      <modifiedWord/>
      <trackRevisions>false</trackRevisions>
    </reviewItem>
    <reviewItem>
      <errorID>38e85129-1e04-4973-809d-5925634f4e41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126FCE73</paraID>
      <start>13</start>
      <end>14</end>
      <status>unmodified</status>
      <modifiedWord/>
      <trackRevisions>false</trackRevisions>
    </reviewItem>
    <reviewItem>
      <errorID>87ed26c3-97dc-4d81-ad41-aaf7fe125e34</errorID>
      <errorWord>泄露</errorWord>
      <group>L1_Word</group>
      <groupName>字词问题</groupName>
      <ability>L2_Typo</ability>
      <abilityName>字词错误</abilityName>
      <candidateList>
        <item>泄漏</item>
      </candidateList>
      <explain/>
      <paraID>6909D95B</paraID>
      <start>58</start>
      <end>60</end>
      <status>unmodified</status>
      <modifiedWord/>
      <trackRevisions>false</trackRevisions>
    </reviewItem>
    <reviewItem>
      <errorID>3e5916d0-8d4c-4371-bf0f-31c1d3652d5d</errorID>
      <errorWord>(</errorWord>
      <group>L1_Format</group>
      <groupName>格式问题</groupName>
      <ability>L2_HalfPunc</ability>
      <abilityName>全半角检查</abilityName>
      <candidateList>
        <item>（</item>
      </candidateList>
      <explain>文本全半角错误。</explain>
      <paraID>235AFE1D</paraID>
      <start>56</start>
      <end>57</end>
      <status>unmodified</status>
      <modifiedWord/>
      <trackRevisions>false</trackRevisions>
    </reviewItem>
    <reviewItem>
      <errorID>77002a4f-c1b8-4714-9f72-3432ef5b4fde</errorID>
      <errorWord>)</errorWord>
      <group>L1_Format</group>
      <groupName>格式问题</groupName>
      <ability>L2_HalfPunc</ability>
      <abilityName>全半角检查</abilityName>
      <candidateList>
        <item>）</item>
      </candidateList>
      <explain>文本全半角错误。</explain>
      <paraID>235AFE1D</paraID>
      <start>64</start>
      <end>65</end>
      <status>unmodified</status>
      <modifiedWord/>
      <trackRevisions>false</trackRevisions>
    </reviewItem>
    <reviewItem>
      <errorID>b2a174c9-8f70-4bde-8007-48fbaf772eb8</errorID>
      <errorWord>.</errorWord>
      <group>L1_Format</group>
      <groupName>格式问题</groupName>
      <ability>L2_HalfPunc</ability>
      <abilityName>全半角检查</abilityName>
      <candidateList>
        <item>。</item>
      </candidateList>
      <explain>文本全半角错误。</explain>
      <paraID>27C47C6E</paraID>
      <start>114</start>
      <end>115</end>
      <status>unmodified</status>
      <modifiedWord/>
      <trackRevisions>false</trackRevisions>
    </reviewItem>
    <reviewItem>
      <errorID>6de548c8-062c-47da-b3e1-8a33e8af9844</errorID>
      <errorWord>:</errorWord>
      <group>L1_Format</group>
      <groupName>格式问题</groupName>
      <ability>L2_HalfPunc</ability>
      <abilityName>全半角检查</abilityName>
      <candidateList>
        <item>：</item>
      </candidateList>
      <explain>文本全半角错误。</explain>
      <paraID>1B8ACD05</paraID>
      <start>21</start>
      <end>22</end>
      <status>unmodified</status>
      <modifiedWord/>
      <trackRevisions>false</trackRevisions>
    </reviewItem>
    <reviewItem>
      <errorID>bc940e20-5b8c-49f3-ae33-ca28af045fdd</errorID>
      <errorWord>:</errorWord>
      <group>L1_Format</group>
      <groupName>格式问题</groupName>
      <ability>L2_HalfPunc</ability>
      <abilityName>全半角检查</abilityName>
      <candidateList>
        <item>：</item>
      </candidateList>
      <explain>文本全半角错误。</explain>
      <paraID>7D69EADC</paraID>
      <start>22</start>
      <end>23</end>
      <status>unmodified</status>
      <modifiedWord/>
      <trackRevisions>false</trackRevisions>
    </reviewItem>
    <reviewItem>
      <errorID>cec8d132-2325-424c-a59d-110e4d1db4c8</errorID>
      <errorWord>:</errorWord>
      <group>L1_Format</group>
      <groupName>格式问题</groupName>
      <ability>L2_HalfPunc</ability>
      <abilityName>全半角检查</abilityName>
      <candidateList>
        <item>：</item>
      </candidateList>
      <explain>文本全半角错误。</explain>
      <paraID>7D69EADC</paraID>
      <start>42</start>
      <end>43</end>
      <status>unmodified</status>
      <modifiedWord/>
      <trackRevisions>false</trackRevisions>
    </reviewItem>
    <reviewItem>
      <errorID>8e8f8ae7-9869-460b-b52d-a649d88e4cf1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7D69EADC</paraID>
      <start>69</start>
      <end>70</end>
      <status>unmodified</status>
      <modifiedWord/>
      <trackRevisions>false</trackRevisions>
    </reviewItem>
    <reviewItem>
      <errorID>939269a3-29da-42a3-9b7b-6007268a2408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7D69EADC</paraID>
      <start>85</start>
      <end>86</end>
      <status>unmodified</status>
      <modifiedWord/>
      <trackRevisions>false</trackRevisions>
    </reviewItem>
    <reviewItem>
      <errorID>3df77639-4041-48b1-b423-e013b6b4a9f3</errorID>
      <errorWord>5%-60%</errorWord>
      <group>L1_Knowledge</group>
      <groupName>知识性问题</groupName>
      <ability>L2_Knowledge</ability>
      <abilityName>其他知识</abilityName>
      <candidateList>
        <item>5%—60%</item>
      </candidateList>
      <explain>1. “5%-60%”中的单位“%”仅出现在后一个数字上，容易引起歧义；根据《现代汉语标点符号数字用法规范手册》，数字表示范围两边需要使用统一的格式。2. 根据标点国标 4.13 中的规则，数字、时间或地域连接符应使用（视觉上更长的）“—”或“～”。</explain>
      <paraID>5828CEAF</paraID>
      <start>47</start>
      <end>53</end>
      <status>unmodified</status>
      <modifiedWord/>
      <trackRevisions>false</trackRevisions>
    </reviewItem>
    <reviewItem>
      <errorID>90d62859-52f3-4b38-b3e5-9aac8c282bd3</errorID>
      <errorWord>5%-75%</errorWord>
      <group>L1_Knowledge</group>
      <groupName>知识性问题</groupName>
      <ability>L2_Knowledge</ability>
      <abilityName>其他知识</abilityName>
      <candidateList>
        <item>5%—75%</item>
      </candidateList>
      <explain>1. “5%-75%”中的单位“%”仅出现在后一个数字上，容易引起歧义；根据《现代汉语标点符号数字用法规范手册》，数字表示范围两边需要使用统一的格式。2. 根据标点国标 4.13 中的规则，数字、时间或地域连接符应使用（视觉上更长的）“—”或“～”。</explain>
      <paraID>5828CEAF</paraID>
      <start>63</start>
      <end>69</end>
      <status>unmodified</status>
      <modifiedWord/>
      <trackRevisions>false</trackRevisions>
    </reviewItem>
    <reviewItem>
      <errorID>18c1bbd1-5bd6-4b35-87d4-db4992d171d7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7D030F87</paraID>
      <start>29</start>
      <end>30</end>
      <status>unmodified</status>
      <modifiedWord/>
      <trackRevisions>false</trackRevisions>
    </reviewItem>
    <reviewItem>
      <errorID>df386e10-c543-408b-83bc-5e34bb8a50a5</errorID>
      <errorWord>-</errorWord>
      <group>L1_Format</group>
      <groupName>格式问题</groupName>
      <ability>L2_HalfPunc</ability>
      <abilityName>全半角检查</abilityName>
      <candidateList>
        <item>－</item>
      </candidateList>
      <explain>文本全半角错误。</explain>
      <paraID>26549BFD</paraID>
      <start>87</start>
      <end>88</end>
      <status>unmodified</status>
      <modifiedWord/>
      <trackRevisions>false</trackRevisions>
    </reviewItem>
    <reviewItem>
      <errorID>748822e8-05c4-4cca-962f-d08ccff5ed5d</errorID>
      <errorWord>在对</errorWord>
      <group>L1_Word</group>
      <groupName>字词问题</groupName>
      <ability>L2_Typo</ability>
      <abilityName>字词错误</abilityName>
      <candidateList>
        <item>在</item>
      </candidateList>
      <explain/>
      <paraID>1F838C8F</paraID>
      <start>121</start>
      <end>123</end>
      <status>unmodified</status>
      <modifiedWord/>
      <trackRevisions>false</trackRevisions>
    </reviewItem>
    <reviewItem>
      <errorID>a0f1af8a-212c-4d47-894c-bdcd149a7d35</errorID>
      <errorWord>:</errorWord>
      <group>L1_Format</group>
      <groupName>格式问题</groupName>
      <ability>L2_HalfPunc</ability>
      <abilityName>全半角检查</abilityName>
      <candidateList>
        <item>：</item>
      </candidateList>
      <explain>文本全半角错误。</explain>
      <paraID>613C4AA5</paraID>
      <start>10</start>
      <end>11</end>
      <status>unmodified</status>
      <modifiedWord/>
      <trackRevisions>false</trackRevisions>
    </reviewItem>
    <reviewItem>
      <errorID>7216625e-d1c2-4fdb-9107-aa60e652047e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613C4AA5</paraID>
      <start>12</start>
      <end>13</end>
      <status>unmodified</status>
      <modifiedWord/>
      <trackRevisions>false</trackRevisions>
    </reviewItem>
    <reviewItem>
      <errorID>d0dc1120-5a93-402b-a870-157041276aee</errorID>
      <errorWord>。。</errorWord>
      <group>L1_Punc</group>
      <groupName>标点问题</groupName>
      <ability>L2_Punc</ability>
      <abilityName>标点符号检查</abilityName>
      <candidateList>
        <item>。</item>
      </candidateList>
      <explain/>
      <paraID>1140B373</paraID>
      <start>66</start>
      <end>68</end>
      <status>unmodified</status>
      <modifiedWord/>
      <trackRevisions>false</trackRevisions>
    </reviewItem>
    <reviewItem>
      <errorID>ac109a66-78dc-47b0-853f-f6a060f00129</errorID>
      <errorWord>。.</errorWord>
      <group>L1_Punc</group>
      <groupName>标点问题</groupName>
      <ability>L2_Punc</ability>
      <abilityName>标点符号检查</abilityName>
      <candidateList>
        <item>。</item>
      </candidateList>
      <explain/>
      <paraID>77A33E41</paraID>
      <start>34</start>
      <end>36</end>
      <status>unmodified</status>
      <modifiedWord/>
      <trackRevisions>false</trackRevisions>
    </reviewItem>
    <reviewItem>
      <errorID>d3c02e83-cfdb-4e7f-a5fe-de0e910d0ef7</errorID>
      <errorWord>准</errorWord>
      <group>L1_Word</group>
      <groupName>字词问题</groupName>
      <ability>L2_Typo</ability>
      <abilityName>字词错误</abilityName>
      <candidateList>
        <item>准地</item>
      </candidateList>
      <explain/>
      <paraID>1A2664D5</paraID>
      <start>39</start>
      <end>40</end>
      <status>unmodified</status>
      <modifiedWord/>
      <trackRevisions>false</trackRevisions>
    </reviewItem>
    <reviewItem>
      <errorID>3ebba5ed-ab65-47d7-b9d8-b254b6cf015d</errorID>
      <errorWord>,</errorWord>
      <group>L1_Format</group>
      <groupName>格式问题</groupName>
      <ability>L2_HalfPunc</ability>
      <abilityName>全半角检查</abilityName>
      <candidateList>
        <item>，</item>
      </candidateList>
      <explain>文本全半角错误。</explain>
      <paraID>3482B346</paraID>
      <start>15</start>
      <end>16</end>
      <status>unmodified</status>
      <modifiedWord/>
      <trackRevisions>false</trackRevisions>
    </reviewItem>
    <reviewItem>
      <errorID>17211acf-43d8-4012-a6a7-0d639fccc4d4</errorID>
      <errorWord>,</errorWord>
      <group>L1_Format</group>
      <groupName>格式问题</groupName>
      <ability>L2_HalfPunc</ability>
      <abilityName>全半角检查</abilityName>
      <candidateList>
        <item>，</item>
      </candidateList>
      <explain>文本全半角错误。</explain>
      <paraID>4D8F812E</paraID>
      <start>49</start>
      <end>50</end>
      <status>unmodified</status>
      <modifiedWord/>
      <trackRevisions>false</trackRevisions>
    </reviewItem>
    <reviewItem>
      <errorID>a3c49e8c-84c1-4766-b23d-980e0db15917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37FDE144</paraID>
      <start>73</start>
      <end>74</end>
      <status>unmodified</status>
      <modifiedWord/>
      <trackRevisions>false</trackRevisions>
    </reviewItem>
    <reviewItem>
      <errorID>80caee2a-c139-4168-bd72-b0f87f1a2cb5</errorID>
      <errorWord>血液动力学</errorWord>
      <group>L1_Knowledge</group>
      <groupName>知识性问题</groupName>
      <ability>L2_Term</ability>
      <abilityName>专业术语</abilityName>
      <candidateList>
        <item>血流动力学</item>
      </candidateList>
      <explain>医学名词[血液动力学]为不规范表述或旧称，其规范书面表述为[血流动力学]。</explain>
      <paraID>505B87A5</paraID>
      <start>7</start>
      <end>12</end>
      <status>unmodified</status>
      <modifiedWord/>
      <trackRevisions>false</trackRevisions>
    </reviewItem>
    <reviewItem>
      <errorID>e74e2788-c760-490f-b7ea-11dfa9bf51dd</errorID>
      <errorWord>,</errorWord>
      <group>L1_Format</group>
      <groupName>格式问题</groupName>
      <ability>L2_HalfPunc</ability>
      <abilityName>全半角检查</abilityName>
      <candidateList>
        <item>，</item>
      </candidateList>
      <explain>文本全半角错误。</explain>
      <paraID>6FA2A1A7</paraID>
      <start>15</start>
      <end>16</end>
      <status>unmodified</status>
      <modifiedWord/>
      <trackRevisions>false</trackRevisions>
    </reviewItem>
    <reviewItem>
      <errorID>44d5a7d4-3358-4cc0-a5e6-1ed02b5e4a9d</errorID>
      <errorWord>,</errorWord>
      <group>L1_Format</group>
      <groupName>格式问题</groupName>
      <ability>L2_HalfPunc</ability>
      <abilityName>全半角检查</abilityName>
      <candidateList>
        <item>，</item>
      </candidateList>
      <explain>文本全半角错误。</explain>
      <paraID>65CF0CA8</paraID>
      <start>70</start>
      <end>71</end>
      <status>unmodified</status>
      <modifiedWord/>
      <trackRevisions>false</trackRevisions>
    </reviewItem>
    <reviewItem>
      <errorID>42fcc0ce-0fbe-4183-aea1-de41b66f3a39</errorID>
      <errorWord>,</errorWord>
      <group>L1_Format</group>
      <groupName>格式问题</groupName>
      <ability>L2_HalfPunc</ability>
      <abilityName>全半角检查</abilityName>
      <candidateList>
        <item>，</item>
      </candidateList>
      <explain>文本全半角错误。</explain>
      <paraID>32BD8B21</paraID>
      <start>49</start>
      <end>50</end>
      <status>unmodified</status>
      <modifiedWord/>
      <trackRevisions>false</trackRevisions>
    </reviewItem>
    <reviewItem>
      <errorID>91b37fee-4f6b-43cc-b920-7d36be86f803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267FA8A9</paraID>
      <start>73</start>
      <end>74</end>
      <status>unmodified</status>
      <modifiedWord/>
      <trackRevisions>false</trackRevisions>
    </reviewItem>
    <reviewItem>
      <errorID>fbf8158b-6261-44ee-8972-442ff586d221</errorID>
      <errorWord>血液动力学</errorWord>
      <group>L1_Knowledge</group>
      <groupName>知识性问题</groupName>
      <ability>L2_Term</ability>
      <abilityName>专业术语</abilityName>
      <candidateList>
        <item>血流动力学</item>
      </candidateList>
      <explain>医学名词[血液动力学]为不规范表述或旧称，其规范书面表述为[血流动力学]。</explain>
      <paraID>163C9489</paraID>
      <start>7</start>
      <end>12</end>
      <status>unmodified</status>
      <modifiedWord/>
      <trackRevisions>false</trackRevisions>
    </reviewItem>
    <reviewItem>
      <errorID>17035a63-4ee2-41ca-a61a-2a758fc31950</errorID>
      <errorWord>重诊</errorWord>
      <group>L1_Word</group>
      <groupName>字词问题</groupName>
      <ability>L2_Typo</ability>
      <abilityName>字词错误</abilityName>
      <candidateList>
        <item>重症</item>
      </candidateList>
      <explain>存在发音相近字词的误用。</explain>
      <paraID> 365171D</paraID>
      <start>28</start>
      <end>30</end>
      <status>unmodified</status>
      <modifiedWord/>
      <trackRevisions>false</trackRevisions>
    </reviewItem>
    <reviewItem>
      <errorID>e6cb799d-350a-4f87-a80b-5c2f4e131d3c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56BD2A5A</paraID>
      <start>18</start>
      <end>19</end>
      <status>unmodified</status>
      <modifiedWord/>
      <trackRevisions>false</trackRevisions>
    </reviewItem>
    <reviewItem>
      <errorID>3daab19d-d43e-4da7-b524-5f3a06b92f20</errorID>
      <errorWord>。。</errorWord>
      <group>L1_Punc</group>
      <groupName>标点问题</groupName>
      <ability>L2_Punc</ability>
      <abilityName>标点符号检查</abilityName>
      <candidateList>
        <item>。</item>
      </candidateList>
      <explain/>
      <paraID>56BD2A5A</paraID>
      <start>28</start>
      <end>30</end>
      <status>unmodified</status>
      <modifiedWord/>
      <trackRevisions>false</trackRevisions>
    </reviewItem>
    <reviewItem>
      <errorID>40be285c-07e7-42e3-b652-4d9de9e7854f</errorID>
      <errorWord>，</errorWord>
      <group>L1_Word</group>
      <groupName>字词问题</groupName>
      <ability>L2_Typo</ability>
      <abilityName>字词错误</abilityName>
      <candidateList>
        <item>，可</item>
      </candidateList>
      <explain/>
      <paraID>2739089F</paraID>
      <start>101</start>
      <end>102</end>
      <status>unmodified</status>
      <modifiedWord/>
      <trackRevisions>false</trackRevisions>
    </reviewItem>
    <reviewItem>
      <errorID>d6e2230f-890e-4228-a8db-59aebb84f5ed</errorID>
      <errorWord>)</errorWord>
      <group>L1_Format</group>
      <groupName>格式问题</groupName>
      <ability>L2_HalfPunc</ability>
      <abilityName>全半角检查</abilityName>
      <candidateList>
        <item>）</item>
      </candidateList>
      <explain>文本全半角错误。</explain>
      <paraID>4F0499DE</paraID>
      <start>35</start>
      <end>36</end>
      <status>unmodified</status>
      <modifiedWord/>
      <trackRevisions>false</trackRevisions>
    </reviewItem>
    <reviewItem>
      <errorID>0c14c7ef-7d0d-4b2e-86a1-6b725030eb08</errorID>
      <errorWord>)</errorWord>
      <group>L1_Format</group>
      <groupName>格式问题</groupName>
      <ability>L2_HalfPunc</ability>
      <abilityName>全半角检查</abilityName>
      <candidateList>
        <item>）</item>
      </candidateList>
      <explain>文本全半角错误。</explain>
      <paraID>4F0499DE</paraID>
      <start>41</start>
      <end>42</end>
      <status>unmodified</status>
      <modifiedWord/>
      <trackRevisions>false</trackRevisions>
    </reviewItem>
    <reviewItem>
      <errorID>b74853bf-f1a1-4626-a413-eae7572f48a0</errorID>
      <errorWord>)</errorWord>
      <group>L1_Format</group>
      <groupName>格式问题</groupName>
      <ability>L2_HalfPunc</ability>
      <abilityName>全半角检查</abilityName>
      <candidateList>
        <item>）</item>
      </candidateList>
      <explain>文本全半角错误。</explain>
      <paraID>4F0499DE</paraID>
      <start>47</start>
      <end>48</end>
      <status>unmodified</status>
      <modifiedWord/>
      <trackRevisions>false</trackRevisions>
    </reviewItem>
    <reviewItem>
      <errorID>f50c14ec-f083-4c2c-847f-cb64c7f53b2f</errorID>
      <errorWord>)</errorWord>
      <group>L1_Format</group>
      <groupName>格式问题</groupName>
      <ability>L2_HalfPunc</ability>
      <abilityName>全半角检查</abilityName>
      <candidateList>
        <item>）</item>
      </candidateList>
      <explain>文本全半角错误。</explain>
      <paraID>4F0499DE</paraID>
      <start>62</start>
      <end>63</end>
      <status>unmodified</status>
      <modifiedWord/>
      <trackRevisions>false</trackRevisions>
    </reviewItem>
    <reviewItem>
      <errorID>a896c66f-eea1-4fdf-9e79-b7f2a23dcde1</errorID>
      <errorWord>)</errorWord>
      <group>L1_Format</group>
      <groupName>格式问题</groupName>
      <ability>L2_HalfPunc</ability>
      <abilityName>全半角检查</abilityName>
      <candidateList>
        <item>）</item>
      </candidateList>
      <explain>文本全半角错误。</explain>
      <paraID>4F0499DE</paraID>
      <start>113</start>
      <end>114</end>
      <status>unmodified</status>
      <modifiedWord/>
      <trackRevisions>false</trackRevisions>
    </reviewItem>
    <reviewItem>
      <errorID>fe896ae4-d03e-43d2-b9b6-f2f80a94ab16</errorID>
      <errorWord>)</errorWord>
      <group>L1_Format</group>
      <groupName>格式问题</groupName>
      <ability>L2_HalfPunc</ability>
      <abilityName>全半角检查</abilityName>
      <candidateList>
        <item>）</item>
      </candidateList>
      <explain>文本全半角错误。</explain>
      <paraID>4F0499DE</paraID>
      <start>120</start>
      <end>121</end>
      <status>unmodified</status>
      <modifiedWord/>
      <trackRevisions>false</trackRevisions>
    </reviewItem>
    <reviewItem>
      <errorID>96f4fd37-8b5b-41dd-beeb-66b6840c3ce9</errorID>
      <errorWord>)</errorWord>
      <group>L1_Format</group>
      <groupName>格式问题</groupName>
      <ability>L2_HalfPunc</ability>
      <abilityName>全半角检查</abilityName>
      <candidateList>
        <item>）</item>
      </candidateList>
      <explain>文本全半角错误。</explain>
      <paraID>4F0499DE</paraID>
      <start>132</start>
      <end>133</end>
      <status>unmodified</status>
      <modifiedWord/>
      <trackRevisions>false</trackRevisions>
    </reviewItem>
    <reviewItem>
      <errorID>0a22b1d6-faea-4883-b953-6bc9b2f6abaf</errorID>
      <errorWord>)</errorWord>
      <group>L1_Format</group>
      <groupName>格式问题</groupName>
      <ability>L2_HalfPunc</ability>
      <abilityName>全半角检查</abilityName>
      <candidateList>
        <item>）</item>
      </candidateList>
      <explain>文本全半角错误。</explain>
      <paraID>4F0499DE</paraID>
      <start>144</start>
      <end>145</end>
      <status>unmodified</status>
      <modifiedWord/>
      <trackRevisions>false</trackRevisions>
    </reviewItem>
    <reviewItem>
      <errorID>f90978a0-64aa-475e-9021-82bd6b343546</errorID>
      <errorWord>)</errorWord>
      <group>L1_Format</group>
      <groupName>格式问题</groupName>
      <ability>L2_HalfPunc</ability>
      <abilityName>全半角检查</abilityName>
      <candidateList>
        <item>）</item>
      </candidateList>
      <explain>文本全半角错误。</explain>
      <paraID>4F0499DE</paraID>
      <start>177</start>
      <end>178</end>
      <status>unmodified</status>
      <modifiedWord/>
      <trackRevisions>false</trackRevisions>
    </reviewItem>
    <reviewItem>
      <errorID>ac9ed7ab-ee2f-460d-97c1-9d1b5567d305</errorID>
      <errorWord>)</errorWord>
      <group>L1_Format</group>
      <groupName>格式问题</groupName>
      <ability>L2_HalfPunc</ability>
      <abilityName>全半角检查</abilityName>
      <candidateList>
        <item>）</item>
      </candidateList>
      <explain>文本全半角错误。</explain>
      <paraID>4F0499DE</paraID>
      <start>189</start>
      <end>190</end>
      <status>unmodified</status>
      <modifiedWord/>
      <trackRevisions>false</trackRevisions>
    </reviewItem>
    <reviewItem>
      <errorID>3022d61d-dff4-4ac2-a1dd-4a7897462b59</errorID>
      <errorWord>,</errorWord>
      <group>L1_Format</group>
      <groupName>格式问题</groupName>
      <ability>L2_HalfPunc</ability>
      <abilityName>全半角检查</abilityName>
      <candidateList>
        <item>，</item>
      </candidateList>
      <explain>文本全半角错误。</explain>
      <paraID>6EAD3238</paraID>
      <start>14</start>
      <end>15</end>
      <status>unmodified</status>
      <modifiedWord/>
      <trackRevisions>false</trackRevisions>
    </reviewItem>
    <reviewItem>
      <errorID>7a2d1d5f-e588-4519-87cb-cb2d9a22be29</errorID>
      <errorWord>链接</errorWord>
      <group>L1_Word</group>
      <groupName>字词问题</groupName>
      <ability>L2_Typo</ability>
      <abilityName>字词错误</abilityName>
      <candidateList>
        <item>连接</item>
      </candidateList>
      <explain>存在发音相同字词的误用。</explain>
      <paraID>78D37A12</paraID>
      <start>59</start>
      <end>61</end>
      <status>unmodified</status>
      <modifiedWord/>
      <trackRevisions>false</trackRevisions>
    </reviewItem>
    <reviewItem>
      <errorID>0ff27562-7f83-4008-91fa-27075cf4ae02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37356B76</paraID>
      <start>11</start>
      <end>12</end>
      <status>unmodified</status>
      <modifiedWord/>
      <trackRevisions>false</trackRevisions>
    </reviewItem>
    <reviewItem>
      <errorID>b8e111a1-ef41-4080-8b62-896f809c3016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7A849E38</paraID>
      <start>14</start>
      <end>15</end>
      <status>unmodified</status>
      <modifiedWord/>
      <trackRevisions>false</trackRevisions>
    </reviewItem>
    <reviewItem>
      <errorID>ab7546dc-478e-41d3-897c-e2a347ff89bc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3CF5CCE2</paraID>
      <start>13</start>
      <end>14</end>
      <status>unmodified</status>
      <modifiedWord/>
      <trackRevisions>false</trackRevisions>
    </reviewItem>
    <reviewItem>
      <errorID>1cff6ce8-e706-4559-9d6f-fd19a9e7638a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67892D1E</paraID>
      <start>0</start>
      <end>2</end>
      <status>unmodified</status>
      <modifiedWord/>
      <trackRevisions>false</trackRevisions>
    </reviewItem>
    <reviewItem>
      <errorID>d236de29-4f74-4dbc-b1ca-6acc8aeb1c6a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5CF73BBA</paraID>
      <start>0</start>
      <end>2</end>
      <status>unmodified</status>
      <modifiedWord/>
      <trackRevisions>false</trackRevisions>
    </reviewItem>
    <reviewItem>
      <errorID>52c2090c-24ac-4698-b28e-929ec39bd000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6E070826</paraID>
      <start>0</start>
      <end>2</end>
      <status>unmodified</status>
      <modifiedWord/>
      <trackRevisions>false</trackRevisions>
    </reviewItem>
    <reviewItem>
      <errorID>ee2fa47c-633b-4b56-b383-b23f78ba27ff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47D4911A</paraID>
      <start>15</start>
      <end>16</end>
      <status>unmodified</status>
      <modifiedWord/>
      <trackRevisions>false</trackRevisions>
    </reviewItem>
    <reviewItem>
      <errorID>ff65f644-900b-462b-9c46-fee6de82fc12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428CA03B</paraID>
      <start>16</start>
      <end>17</end>
      <status>unmodified</status>
      <modifiedWord/>
      <trackRevisions>false</trackRevisions>
    </reviewItem>
    <reviewItem>
      <errorID>c7d9e9f7-b19c-46f9-8611-904d557d6254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17A9C4AA</paraID>
      <start>0</start>
      <end>2</end>
      <status>unmodified</status>
      <modifiedWord/>
      <trackRevisions>false</trackRevisions>
    </reviewItem>
    <reviewItem>
      <errorID>2a03ed21-b5f3-458e-ae58-a1a833899b41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23D4A1C7</paraID>
      <start>11</start>
      <end>12</end>
      <status>unmodified</status>
      <modifiedWord/>
      <trackRevisions>false</trackRevisions>
    </reviewItem>
    <reviewItem>
      <errorID>2b318452-6167-4246-b275-d93331595898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6E96C7E6</paraID>
      <start>16</start>
      <end>17</end>
      <status>unmodified</status>
      <modifiedWord/>
      <trackRevisions>false</trackRevisions>
    </reviewItem>
    <reviewItem>
      <errorID>9ae07628-eae9-4a67-a148-f89cbffdec5c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1A80E90D</paraID>
      <start>14</start>
      <end>15</end>
      <status>unmodified</status>
      <modifiedWord/>
      <trackRevisions>false</trackRevisions>
    </reviewItem>
    <reviewItem>
      <errorID>da8f825b-af70-4e8f-a3d6-f41b82e96253</errorID>
      <errorWord>：</errorWord>
      <group>L1_Format</group>
      <groupName>格式问题</groupName>
      <ability>L2_HalfPunc</ability>
      <abilityName>全半角检查</abilityName>
      <candidateList>
        <item>:</item>
      </candidateList>
      <explain>文本全半角错误。</explain>
      <paraID>4B16A90A</paraID>
      <start>8</start>
      <end>9</end>
      <status>unmodified</status>
      <modifiedWord/>
      <trackRevisions>false</trackRevisions>
    </reviewItem>
    <reviewItem>
      <errorID>2897b25f-2bdb-4cf2-83c9-6000d76735f1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4B16A90A</paraID>
      <start>13</start>
      <end>14</end>
      <status>unmodified</status>
      <modifiedWord/>
      <trackRevisions>false</trackRevisions>
    </reviewItem>
    <reviewItem>
      <errorID>3848af4a-b346-4456-8497-12ac7131f902</errorID>
      <errorWord>；</errorWord>
      <group>L1_Format</group>
      <groupName>格式问题</groupName>
      <ability>L2_HalfPunc</ability>
      <abilityName>全半角检查</abilityName>
      <candidateList>
        <item>;</item>
      </candidateList>
      <explain>文本全半角错误。</explain>
      <paraID>4B16A90A</paraID>
      <start>19</start>
      <end>20</end>
      <status>unmodified</status>
      <modifiedWord/>
      <trackRevisions>false</trackRevisions>
    </reviewItem>
    <reviewItem>
      <errorID>49ad069b-68d3-4952-8626-83475bb1b97f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644DF7E7</paraID>
      <start>0</start>
      <end>2</end>
      <status>unmodified</status>
      <modifiedWord/>
      <trackRevisions>false</trackRevisions>
    </reviewItem>
    <reviewItem>
      <errorID>4ece394e-d0ec-4de5-9c2c-5f05c6e5ea40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35B2E758</paraID>
      <start>11</start>
      <end>12</end>
      <status>unmodified</status>
      <modifiedWord/>
      <trackRevisions>false</trackRevisions>
    </reviewItem>
    <reviewItem>
      <errorID>9b342eb5-f16d-45fe-94e5-0cbd7f5b3921</errorID>
      <errorWord>,</errorWord>
      <group>L1_Format</group>
      <groupName>格式问题</groupName>
      <ability>L2_HalfPunc</ability>
      <abilityName>全半角检查</abilityName>
      <candidateList>
        <item>，</item>
      </candidateList>
      <explain>文本全半角错误。</explain>
      <paraID>1952E738</paraID>
      <start>22</start>
      <end>23</end>
      <status>unmodified</status>
      <modifiedWord/>
      <trackRevisions>false</trackRevisions>
    </reviewItem>
    <reviewItem>
      <errorID>d13d0ceb-73b3-4d5f-90ae-6196e7ff4a50</errorID>
      <errorWord>Kg</errorWord>
      <group>L1_Word</group>
      <groupName>字词问题</groupName>
      <ability>L2_Typo</ability>
      <abilityName>字词错误</abilityName>
      <candidateList>
        <item>kg</item>
      </candidateList>
      <explain/>
      <paraID>6A02611E</paraID>
      <start>10</start>
      <end>12</end>
      <status>unmodified</status>
      <modifiedWord/>
      <trackRevisions>false</trackRevisions>
    </reviewItem>
    <reviewItem>
      <errorID>7153990a-06fc-455d-9547-a533d1b3e36c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5C8839F5</paraID>
      <start>11</start>
      <end>12</end>
      <status>unmodified</status>
      <modifiedWord/>
      <trackRevisions>false</trackRevisions>
    </reviewItem>
    <reviewItem>
      <errorID>381be941-6b5c-49f2-90f6-abe34ed5b698</errorID>
      <errorWord>:</errorWord>
      <group>L1_Format</group>
      <groupName>格式问题</groupName>
      <ability>L2_HalfPunc</ability>
      <abilityName>全半角检查</abilityName>
      <candidateList>
        <item>：</item>
      </candidateList>
      <explain>文本全半角错误。</explain>
      <paraID>4345199A</paraID>
      <start>14</start>
      <end>15</end>
      <status>unmodified</status>
      <modifiedWord/>
      <trackRevisions>false</trackRevisions>
    </reviewItem>
    <reviewItem>
      <errorID>d2b58a7d-1fd0-480b-adc7-9adb8310b0b4</errorID>
      <errorWord>~</errorWord>
      <group>L1_Format</group>
      <groupName>格式问题</groupName>
      <ability>L2_HalfPunc</ability>
      <abilityName>全半角检查</abilityName>
      <candidateList>
        <item>～</item>
      </candidateList>
      <explain>文本全半角错误。</explain>
      <paraID>658401F2</paraID>
      <start>17</start>
      <end>18</end>
      <status>unmodified</status>
      <modifiedWord/>
      <trackRevisions>false</trackRevisions>
    </reviewItem>
    <reviewItem>
      <errorID>1720b9ec-4fb8-44b9-b50a-dab7b8745083</errorID>
      <errorWord>:</errorWord>
      <group>L1_Format</group>
      <groupName>格式问题</groupName>
      <ability>L2_HalfPunc</ability>
      <abilityName>全半角检查</abilityName>
      <candidateList>
        <item>：</item>
      </candidateList>
      <explain>文本全半角错误。</explain>
      <paraID>163FD5F7</paraID>
      <start>9</start>
      <end>10</end>
      <status>unmodified</status>
      <modifiedWord/>
      <trackRevisions>false</trackRevisions>
    </reviewItem>
    <reviewItem>
      <errorID>7bfc3932-6e90-4852-85a0-1e5b4586b38a</errorID>
      <errorWord>：</errorWord>
      <group>L1_Format</group>
      <groupName>格式问题</groupName>
      <ability>L2_HalfPunc</ability>
      <abilityName>全半角检查</abilityName>
      <candidateList>
        <item>:</item>
      </candidateList>
      <explain>文本全半角错误。</explain>
      <paraID>7C0DB99F</paraID>
      <start>35</start>
      <end>36</end>
      <status>unmodified</status>
      <modifiedWord/>
      <trackRevisions>false</trackRevisions>
    </reviewItem>
    <reviewItem>
      <errorID>0e0ee77d-c539-45fb-bdaa-48c88760988f</errorID>
      <errorWord>需具备</errorWord>
      <group>L1_Word</group>
      <groupName>字词问题</groupName>
      <ability>L2_Typo</ability>
      <abilityName>字词错误</abilityName>
      <candidateList>
        <item>须具备</item>
      </candidateList>
      <explain/>
      <paraID>54ADB781</paraID>
      <start>8</start>
      <end>11</end>
      <status>unmodified</status>
      <modifiedWord/>
      <trackRevisions>false</trackRevisions>
    </reviewItem>
    <reviewItem>
      <errorID>7f0fded7-2e9c-47d1-8489-d01d28528f97</errorID>
      <errorWord>,</errorWord>
      <group>L1_Format</group>
      <groupName>格式问题</groupName>
      <ability>L2_HalfPunc</ability>
      <abilityName>全半角检查</abilityName>
      <candidateList>
        <item>，</item>
      </candidateList>
      <explain>文本全半角错误。</explain>
      <paraID>72D81CC0</paraID>
      <start>31</start>
      <end>32</end>
      <status>unmodified</status>
      <modifiedWord/>
      <trackRevisions>false</trackRevisions>
    </reviewItem>
    <reviewItem>
      <errorID>4aac222f-60be-4bb2-ae2a-ddfcaed0a5ae</errorID>
      <errorWord>,</errorWord>
      <group>L1_Format</group>
      <groupName>格式问题</groupName>
      <ability>L2_HalfPunc</ability>
      <abilityName>全半角检查</abilityName>
      <candidateList>
        <item>，</item>
      </candidateList>
      <explain>文本全半角错误。</explain>
      <paraID> D78C74C</paraID>
      <start>11</start>
      <end>12</end>
      <status>unmodified</status>
      <modifiedWord/>
      <trackRevisions>false</trackRevisions>
    </reviewItem>
    <reviewItem>
      <errorID>a3695369-5236-49d6-88d5-c36d34f3e02e</errorID>
      <errorWord>,</errorWord>
      <group>L1_Format</group>
      <groupName>格式问题</groupName>
      <ability>L2_HalfPunc</ability>
      <abilityName>全半角检查</abilityName>
      <candidateList>
        <item>，</item>
      </candidateList>
      <explain>文本全半角错误。</explain>
      <paraID>4A27E0D0</paraID>
      <start>14</start>
      <end>15</end>
      <status>unmodified</status>
      <modifiedWord/>
      <trackRevisions>false</trackRevisions>
    </reviewItem>
    <reviewItem>
      <errorID>b8e75382-f020-4c48-bb2b-6f454e7926d6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48086059</paraID>
      <start>0</start>
      <end>3</end>
      <status>unmodified</status>
      <modifiedWord/>
      <trackRevisions>false</trackRevisions>
    </reviewItem>
    <reviewItem>
      <errorID>1c8ac5b1-2add-4b82-b358-48be4b0c239b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6A84AE1A</paraID>
      <start>0</start>
      <end>3</end>
      <status>unmodified</status>
      <modifiedWord/>
      <trackRevisions>false</trackRevisions>
    </reviewItem>
    <reviewItem>
      <errorID>394cb2ac-f305-44a1-a188-9716de730e70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2E235316</paraID>
      <start>0</start>
      <end>3</end>
      <status>unmodified</status>
      <modifiedWord/>
      <trackRevisions>false</trackRevisions>
    </reviewItem>
    <reviewItem>
      <errorID>9b370c0e-c1b8-4319-8ea6-ae21eb461577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7D2F658A</paraID>
      <start>0</start>
      <end>3</end>
      <status>unmodified</status>
      <modifiedWord/>
      <trackRevisions>false</trackRevisions>
    </reviewItem>
    <reviewItem>
      <errorID>a26206c5-9895-4843-b085-a8badacee098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380EF9E</paraID>
      <start>0</start>
      <end>3</end>
      <status>unmodified</status>
      <modifiedWord/>
      <trackRevisions>false</trackRevisions>
    </reviewItem>
    <reviewItem>
      <errorID>118ccdb8-33f3-4869-a55d-d76c603e8058</errorID>
      <errorWord>)</errorWord>
      <group>L1_Format</group>
      <groupName>格式问题</groupName>
      <ability>L2_HalfPunc</ability>
      <abilityName>全半角检查</abilityName>
      <candidateList>
        <item>）</item>
      </candidateList>
      <explain>文本全半角错误。</explain>
      <paraID> 99A6AE0</paraID>
      <start>3</start>
      <end>4</end>
      <status>unmodified</status>
      <modifiedWord/>
      <trackRevisions>false</trackRevisions>
    </reviewItem>
    <reviewItem>
      <errorID>cd2a743e-a8b1-489e-b0e4-052371fce9b9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5AE7D4D0</paraID>
      <start>0</start>
      <end>3</end>
      <status>unmodified</status>
      <modifiedWord/>
      <trackRevisions>false</trackRevisions>
    </reviewItem>
    <reviewItem>
      <errorID>377386ac-6438-4fb6-9559-5c55b89d887c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3846EA18</paraID>
      <start>0</start>
      <end>3</end>
      <status>unmodified</status>
      <modifiedWord/>
      <trackRevisions>false</trackRevisions>
    </reviewItem>
    <reviewItem>
      <errorID>8bbcfaff-1364-4316-b028-1f5807a98a97</errorID>
      <errorWord>,</errorWord>
      <group>L1_Format</group>
      <groupName>格式问题</groupName>
      <ability>L2_HalfPunc</ability>
      <abilityName>全半角检查</abilityName>
      <candidateList>
        <item>，</item>
      </candidateList>
      <explain>文本全半角错误。</explain>
      <paraID>3846EA18</paraID>
      <start>64</start>
      <end>65</end>
      <status>unmodified</status>
      <modifiedWord/>
      <trackRevisions>false</trackRevisions>
    </reviewItem>
    <reviewItem>
      <errorID>74579fc3-f86f-4896-b7e7-e6269b260c14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331BF4FB</paraID>
      <start>0</start>
      <end>3</end>
      <status>unmodified</status>
      <modifiedWord/>
      <trackRevisions>false</trackRevisions>
    </reviewItem>
    <reviewItem>
      <errorID>edcdc45b-37fb-4b49-ba86-36eee066fe93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3AC78144</paraID>
      <start>0</start>
      <end>3</end>
      <status>unmodified</status>
      <modifiedWord/>
      <trackRevisions>false</trackRevisions>
    </reviewItem>
    <reviewItem>
      <errorID>ad59a7d5-b3b5-40fc-a4a6-f8bf09550846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570242FC</paraID>
      <start>0</start>
      <end>3</end>
      <status>unmodified</status>
      <modifiedWord/>
      <trackRevisions>false</trackRevisions>
    </reviewItem>
    <reviewItem>
      <errorID>3768d8da-1db9-485c-b555-c7cf50ba5988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3C07F8E3</paraID>
      <start>0</start>
      <end>3</end>
      <status>unmodified</status>
      <modifiedWord/>
      <trackRevisions>false</trackRevisions>
    </reviewItem>
    <reviewItem>
      <errorID>cb3cf63a-9bcc-47f1-90af-743e0ca2dc64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4AC2D02C</paraID>
      <start>0</start>
      <end>3</end>
      <status>unmodified</status>
      <modifiedWord/>
      <trackRevisions>false</trackRevisions>
    </reviewItem>
    <reviewItem>
      <errorID>32abdb41-e50f-4af7-9267-84159ab8b634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1D8A7036</paraID>
      <start>0</start>
      <end>3</end>
      <status>unmodified</status>
      <modifiedWord/>
      <trackRevisions>false</trackRevisions>
    </reviewItem>
    <reviewItem>
      <errorID>2272ee1c-4c83-4572-b551-dd2ca96aa884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15F99C61</paraID>
      <start>0</start>
      <end>3</end>
      <status>unmodified</status>
      <modifiedWord/>
      <trackRevisions>false</trackRevisions>
    </reviewItem>
    <reviewItem>
      <errorID>a094c693-b154-4414-9b66-b494bfb6bcc3</errorID>
      <errorWord>、以及</errorWord>
      <group>L1_Punc</group>
      <groupName>标点问题</groupName>
      <ability>L2_Punc</ability>
      <abilityName>标点符号检查</abilityName>
      <candidateList>
        <item>，以及</item>
      </candidateList>
      <explain>连接词前后不宜使用顿号，建议使用逗号。</explain>
      <paraID>15F99C61</paraID>
      <start>54</start>
      <end>57</end>
      <status>unmodified</status>
      <modifiedWord/>
      <trackRevisions>false</trackRevisions>
    </reviewItem>
    <reviewItem>
      <errorID>a81aabbd-8c6b-4840-bb74-a77b6178917a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4713E809</paraID>
      <start>0</start>
      <end>3</end>
      <status>unmodified</status>
      <modifiedWord/>
      <trackRevisions>false</trackRevisions>
    </reviewItem>
    <reviewItem>
      <errorID>56124339-9be4-41c6-8d8e-50cae204da82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61CC5230</paraID>
      <start>0</start>
      <end>3</end>
      <status>unmodified</status>
      <modifiedWord/>
      <trackRevisions>false</trackRevisions>
    </reviewItem>
    <reviewItem>
      <errorID>264d590d-ad66-4442-8dc5-adf75036786a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5595C193</paraID>
      <start>0</start>
      <end>3</end>
      <status>unmodified</status>
      <modifiedWord/>
      <trackRevisions>false</trackRevisions>
    </reviewItem>
    <reviewItem>
      <errorID>7213f98c-06ba-4af6-ac7e-af9e90b32d37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35DD89DF</paraID>
      <start>0</start>
      <end>4</end>
      <status>unmodified</status>
      <modifiedWord/>
      <trackRevisions>false</trackRevisions>
    </reviewItem>
    <reviewItem>
      <errorID>6e2a4b7d-5d1f-41df-b63a-33c485fc9ce2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4D78395</paraID>
      <start>0</start>
      <end>4</end>
      <status>unmodified</status>
      <modifiedWord/>
      <trackRevisions>false</trackRevisions>
    </reviewItem>
    <reviewItem>
      <errorID>069bbda6-cbae-4feb-be2e-bed09e5f4133</errorID>
      <errorWord>分</errorWord>
      <group>L1_Word</group>
      <groupName>字词问题</groupName>
      <ability>L2_Typo</ability>
      <abilityName>字词错误</abilityName>
      <candidateList>
        <item>分为</item>
      </candidateList>
      <explain/>
      <paraID> 4D78395</paraID>
      <start>17</start>
      <end>18</end>
      <status>unmodified</status>
      <modifiedWord/>
      <trackRevisions>false</trackRevisions>
    </reviewItem>
    <reviewItem>
      <errorID>b4c0f7cd-aca8-4b2e-92ff-9f85067de98a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7B7B3600</paraID>
      <start>0</start>
      <end>4</end>
      <status>unmodified</status>
      <modifiedWord/>
      <trackRevisions>false</trackRevisions>
    </reviewItem>
    <reviewItem>
      <errorID>5f6a42c7-88a9-4f11-b0eb-e2bf2dfae5ab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A27CD46</paraID>
      <start>0</start>
      <end>4</end>
      <status>unmodified</status>
      <modifiedWord/>
      <trackRevisions>false</trackRevisions>
    </reviewItem>
    <reviewItem>
      <errorID>fc65ecf2-6650-4ebc-9e60-94fd02e1ec8f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4869CA76</paraID>
      <start>0</start>
      <end>4</end>
      <status>unmodified</status>
      <modifiedWord/>
      <trackRevisions>false</trackRevisions>
    </reviewItem>
    <reviewItem>
      <errorID>7f73efbd-a7a4-4c88-baab-5a1eba2e7d77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606C3179</paraID>
      <start>0</start>
      <end>4</end>
      <status>unmodified</status>
      <modifiedWord/>
      <trackRevisions>false</trackRevisions>
    </reviewItem>
    <reviewItem>
      <errorID>ffd348b3-d6d1-4c67-aa45-37dc1a3bb1ac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2BCF848D</paraID>
      <start>0</start>
      <end>4</end>
      <status>unmodified</status>
      <modifiedWord/>
      <trackRevisions>false</trackRevisions>
    </reviewItem>
    <reviewItem>
      <errorID>75456d0e-6e5e-4d01-9132-0b24af0ad237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6B9623C8</paraID>
      <start>0</start>
      <end>4</end>
      <status>unmodified</status>
      <modifiedWord/>
      <trackRevisions>false</trackRevisions>
    </reviewItem>
    <reviewItem>
      <errorID>75babd46-1d31-4144-bf07-9feac25fe24d</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31D8140D</paraID>
      <start>0</start>
      <end>4</end>
      <status>unmodified</status>
      <modifiedWord/>
      <trackRevisions>false</trackRevisions>
    </reviewItem>
    <reviewItem>
      <errorID>795a43fa-cfbf-49c4-924d-31f3345dbb3a</errorID>
      <errorWord>)</errorWord>
      <group>L1_Format</group>
      <groupName>格式问题</groupName>
      <ability>L2_HalfPunc</ability>
      <abilityName>全半角检查</abilityName>
      <candidateList>
        <item>）</item>
      </candidateList>
      <explain>文本全半角错误。</explain>
      <paraID>1EB7A906</paraID>
      <start>4</start>
      <end>5</end>
      <status>unmodified</status>
      <modifiedWord/>
      <trackRevisions>false</trackRevisions>
    </reviewItem>
    <reviewItem>
      <errorID>82c19943-51e6-425f-8ec9-433596a70e7a</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600749BD</paraID>
      <start>0</start>
      <end>4</end>
      <status>unmodified</status>
      <modifiedWord/>
      <trackRevisions>false</trackRevisions>
    </reviewItem>
    <reviewItem>
      <errorID>14781164-5b80-4414-8e15-78ec7f3b6f7e</errorID>
      <errorWord>，</errorWord>
      <group>L1_Word</group>
      <groupName>字词问题</groupName>
      <ability>L2_Typo</ability>
      <abilityName>字词错误</abilityName>
      <candidateList>
        <item>，在</item>
      </candidateList>
      <explain/>
      <paraID>600749BD</paraID>
      <start>15</start>
      <end>16</end>
      <status>unmodified</status>
      <modifiedWord/>
      <trackRevisions>false</trackRevisions>
    </reviewItem>
    <reviewItem>
      <errorID>21b855f6-684e-45d8-9188-019e42407bcf</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5E77162C</paraID>
      <start>0</start>
      <end>4</end>
      <status>unmodified</status>
      <modifiedWord/>
      <trackRevisions>false</trackRevisions>
    </reviewItem>
    <reviewItem>
      <errorID>da76aef6-5a7f-43c4-855e-7496eda243c0</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6689B217</paraID>
      <start>0</start>
      <end>4</end>
      <status>unmodified</status>
      <modifiedWord/>
      <trackRevisions>false</trackRevisions>
    </reviewItem>
    <reviewItem>
      <errorID>851f9d2e-247a-48ad-87a0-cf458f5cd3a5</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31218524</paraID>
      <start>0</start>
      <end>4</end>
      <status>unmodified</status>
      <modifiedWord/>
      <trackRevisions>false</trackRevisions>
    </reviewItem>
    <reviewItem>
      <errorID>4b0ac4d8-cbcf-4e0a-9ea2-423d237861dd</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14A1AC7A</paraID>
      <start>0</start>
      <end>4</end>
      <status>unmodified</status>
      <modifiedWord/>
      <trackRevisions>false</trackRevisions>
    </reviewItem>
    <reviewItem>
      <errorID>6dd3ca83-939c-4a77-8030-8daf9abd320b</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4663FBF7</paraID>
      <start>0</start>
      <end>4</end>
      <status>unmodified</status>
      <modifiedWord/>
      <trackRevisions>false</trackRevisions>
    </reviewItem>
    <reviewItem>
      <errorID>773304a3-5afe-4059-852b-0180c7d2bafe</errorID>
      <errorWord>)</errorWord>
      <group>L1_Format</group>
      <groupName>格式问题</groupName>
      <ability>L2_HalfPunc</ability>
      <abilityName>全半角检查</abilityName>
      <candidateList>
        <item>）</item>
      </candidateList>
      <explain>文本全半角错误。</explain>
      <paraID>53B1F8A1</paraID>
      <start>4</start>
      <end>5</end>
      <status>unmodified</status>
      <modifiedWord/>
      <trackRevisions>false</trackRevisions>
    </reviewItem>
    <reviewItem>
      <errorID>c8356b48-605c-4a11-a652-1e5b234ccb4a</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38432339</paraID>
      <start>0</start>
      <end>4</end>
      <status>unmodified</status>
      <modifiedWord/>
      <trackRevisions>false</trackRevisions>
    </reviewItem>
    <reviewItem>
      <errorID>8bd4acba-0846-41f3-bb28-fabb8754ba07</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1AFE193C</paraID>
      <start>0</start>
      <end>4</end>
      <status>unmodified</status>
      <modifiedWord/>
      <trackRevisions>false</trackRevisions>
    </reviewItem>
    <reviewItem>
      <errorID>5016f6b7-64af-4882-b243-d3b80345ab0f</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12748CD5</paraID>
      <start>0</start>
      <end>4</end>
      <status>unmodified</status>
      <modifiedWord/>
      <trackRevisions>false</trackRevisions>
    </reviewItem>
    <reviewItem>
      <errorID>b6e1893d-97d2-4ac9-a777-4e7b6f789fcc</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5C7B9E87</paraID>
      <start>0</start>
      <end>4</end>
      <status>unmodified</status>
      <modifiedWord/>
      <trackRevisions>false</trackRevisions>
    </reviewItem>
    <reviewItem>
      <errorID>1dfa6c75-c3bb-410a-a6eb-fc3ba3c20dc5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7D2A658</paraID>
      <start>0</start>
      <end>3</end>
      <status>unmodified</status>
      <modifiedWord/>
      <trackRevisions>false</trackRevisions>
    </reviewItem>
    <reviewItem>
      <errorID>c46503bb-15f0-4ed1-8daf-eb7c5ad91d2b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ED859D3</paraID>
      <start>0</start>
      <end>3</end>
      <status>unmodified</status>
      <modifiedWord/>
      <trackRevisions>false</trackRevisions>
    </reviewItem>
    <reviewItem>
      <errorID>11495c49-3cb4-4cca-b6c8-4be55221e392</errorID>
      <errorWord>围术期</errorWord>
      <group>L1_Word</group>
      <groupName>字词问题</groupName>
      <ability>L2_Typo</ability>
      <abilityName>字词错误</abilityName>
      <candidateList>
        <item>围手术期</item>
      </candidateList>
      <explain/>
      <paraID> ED859D3</paraID>
      <start>11</start>
      <end>14</end>
      <status>unmodified</status>
      <modifiedWord/>
      <trackRevisions>false</trackRevisions>
    </reviewItem>
    <reviewItem>
      <errorID>5d478c2c-e848-4f26-8cb6-214c83658331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542F0EF7</paraID>
      <start>0</start>
      <end>3</end>
      <status>unmodified</status>
      <modifiedWord/>
      <trackRevisions>false</trackRevisions>
    </reviewItem>
    <reviewItem>
      <errorID>b7c95d14-2a5c-4713-b500-2734b794fedf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663F7FF3</paraID>
      <start>0</start>
      <end>3</end>
      <status>unmodified</status>
      <modifiedWord/>
      <trackRevisions>false</trackRevisions>
    </reviewItem>
    <reviewItem>
      <errorID>b8230c79-9771-4128-af5f-a868e024be27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1A11747D</paraID>
      <start>0</start>
      <end>3</end>
      <status>unmodified</status>
      <modifiedWord/>
      <trackRevisions>false</trackRevisions>
    </reviewItem>
    <reviewItem>
      <errorID>44550e9b-482b-45cc-9f54-b00afb729928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72D7588F</paraID>
      <start>0</start>
      <end>3</end>
      <status>unmodified</status>
      <modifiedWord/>
      <trackRevisions>false</trackRevisions>
    </reviewItem>
    <reviewItem>
      <errorID>89cf3954-2001-48f9-8176-43ccf148eaf9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748B9D52</paraID>
      <start>0</start>
      <end>3</end>
      <status>unmodified</status>
      <modifiedWord/>
      <trackRevisions>false</trackRevisions>
    </reviewItem>
    <reviewItem>
      <errorID>0c1b683d-038e-4437-95a5-abad22a440c9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7BE8BC1A</paraID>
      <start>0</start>
      <end>3</end>
      <status>unmodified</status>
      <modifiedWord/>
      <trackRevisions>false</trackRevisions>
    </reviewItem>
    <reviewItem>
      <errorID>b4ef7670-618e-4121-ae1e-2b3d443ff75d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141228A</paraID>
      <start>0</start>
      <end>3</end>
      <status>unmodified</status>
      <modifiedWord/>
      <trackRevisions>false</trackRevisions>
    </reviewItem>
    <reviewItem>
      <errorID>9889528d-160b-414d-8fe7-daa086fcc45a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408A1322</paraID>
      <start>0</start>
      <end>4</end>
      <status>unmodified</status>
      <modifiedWord/>
      <trackRevisions>false</trackRevisions>
    </reviewItem>
    <reviewItem>
      <errorID>a809f688-4c90-4d66-b99d-eb6fdf72ae1d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3C8EA086</paraID>
      <start>0</start>
      <end>4</end>
      <status>unmodified</status>
      <modifiedWord/>
      <trackRevisions>false</trackRevisions>
    </reviewItem>
    <reviewItem>
      <errorID>cf79a657-ef20-4152-8666-210e7193f4c1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2D4689C8</paraID>
      <start>0</start>
      <end>4</end>
      <status>unmodified</status>
      <modifiedWord/>
      <trackRevisions>false</trackRevisions>
    </reviewItem>
    <reviewItem>
      <errorID>66b516b2-4fc9-4a77-9342-0f28d2746ff4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294CDFD8</paraID>
      <start>0</start>
      <end>4</end>
      <status>unmodified</status>
      <modifiedWord/>
      <trackRevisions>false</trackRevisions>
    </reviewItem>
    <reviewItem>
      <errorID>dc77ebe5-7449-4ad9-8138-8f1492c9727d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66A0D4E</paraID>
      <start>0</start>
      <end>4</end>
      <status>unmodified</status>
      <modifiedWord/>
      <trackRevisions>false</trackRevisions>
    </reviewItem>
    <reviewItem>
      <errorID>c5b5d1ec-558f-45eb-b97d-2e593d6bd10b</errorID>
      <errorWord>)</errorWord>
      <group>L1_Format</group>
      <groupName>格式问题</groupName>
      <ability>L2_HalfPunc</ability>
      <abilityName>全半角检查</abilityName>
      <candidateList>
        <item>）</item>
      </candidateList>
      <explain>文本全半角错误。</explain>
      <paraID>79615CAF</paraID>
      <start>4</start>
      <end>5</end>
      <status>unmodified</status>
      <modifiedWord/>
      <trackRevisions>false</trackRevisions>
    </reviewItem>
    <reviewItem>
      <errorID>8c1e2167-ae56-4013-83bf-5b25f6b476d0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4B876F98</paraID>
      <start>0</start>
      <end>4</end>
      <status>unmodified</status>
      <modifiedWord/>
      <trackRevisions>false</trackRevisions>
    </reviewItem>
    <reviewItem>
      <errorID>307cf0dd-c56d-46f0-b7dc-50190f096ae7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6BCEAA23</paraID>
      <start>0</start>
      <end>4</end>
      <status>unmodified</status>
      <modifiedWord/>
      <trackRevisions>false</trackRevisions>
    </reviewItem>
    <reviewItem>
      <errorID>7b91812b-0a56-4c24-86e9-aafeaabc854b</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4CBC7E00</paraID>
      <start>0</start>
      <end>4</end>
      <status>unmodified</status>
      <modifiedWord/>
      <trackRevisions>false</trackRevisions>
    </reviewItem>
    <reviewItem>
      <errorID>31448b8d-2e33-4553-9ae5-e6eb833ed132</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34E5F442</paraID>
      <start>0</start>
      <end>4</end>
      <status>unmodified</status>
      <modifiedWord/>
      <trackRevisions>false</trackRevisions>
    </reviewItem>
    <reviewItem>
      <errorID>32c70fa7-5d3b-4bc7-9a21-0f82445050e2</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10ECEC32</paraID>
      <start>0</start>
      <end>4</end>
      <status>unmodified</status>
      <modifiedWord/>
      <trackRevisions>false</trackRevisions>
    </reviewItem>
    <reviewItem>
      <errorID>e928f7bb-b06f-4d2f-b6f5-ac2d220ecaca</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17BD7841</paraID>
      <start>0</start>
      <end>4</end>
      <status>unmodified</status>
      <modifiedWord/>
      <trackRevisions>false</trackRevisions>
    </reviewItem>
    <reviewItem>
      <errorID>62ea6866-26af-4cf4-a4c5-315557e80466</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64F60690</paraID>
      <start>0</start>
      <end>4</end>
      <status>unmodified</status>
      <modifiedWord/>
      <trackRevisions>false</trackRevisions>
    </reviewItem>
    <reviewItem>
      <errorID>17318a92-f15e-429d-a837-dceb8f986454</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47276892</paraID>
      <start>0</start>
      <end>4</end>
      <status>unmodified</status>
      <modifiedWord/>
      <trackRevisions>false</trackRevisions>
    </reviewItem>
    <reviewItem>
      <errorID>00d6e5c4-470a-4193-8422-c2cc4ad6995e</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10954BC1</paraID>
      <start>0</start>
      <end>4</end>
      <status>unmodified</status>
      <modifiedWord/>
      <trackRevisions>false</trackRevisions>
    </reviewItem>
    <reviewItem>
      <errorID>0be93439-0085-47fc-aebd-f22d2d97ef35</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7447D6AE</paraID>
      <start>0</start>
      <end>4</end>
      <status>unmodified</status>
      <modifiedWord/>
      <trackRevisions>false</trackRevisions>
    </reviewItem>
    <reviewItem>
      <errorID>f43e7ad9-4a17-4b67-850e-06a31953f505</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28D0E0D5</paraID>
      <start>0</start>
      <end>4</end>
      <status>unmodified</status>
      <modifiedWord/>
      <trackRevisions>false</trackRevisions>
    </reviewItem>
    <reviewItem>
      <errorID>0882e903-3fdf-4189-93a6-2ca24380d28d</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69D79AAA</paraID>
      <start>0</start>
      <end>4</end>
      <status>unmodified</status>
      <modifiedWord/>
      <trackRevisions>false</trackRevisions>
    </reviewItem>
    <reviewItem>
      <errorID>bde5a0d0-fea5-405d-93b3-8e99ca0efefe</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4287AB64</paraID>
      <start>0</start>
      <end>4</end>
      <status>unmodified</status>
      <modifiedWord/>
      <trackRevisions>false</trackRevisions>
    </reviewItem>
    <reviewItem>
      <errorID>3c7e64e3-cfc8-431f-b833-533dd090691b</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6E1A7A82</paraID>
      <start>0</start>
      <end>4</end>
      <status>unmodified</status>
      <modifiedWord/>
      <trackRevisions>false</trackRevisions>
    </reviewItem>
    <reviewItem>
      <errorID>27edd54a-2793-4dae-8e85-8124b79e1422</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2DB3FFB9</paraID>
      <start>0</start>
      <end>4</end>
      <status>unmodified</status>
      <modifiedWord/>
      <trackRevisions>false</trackRevisions>
    </reviewItem>
    <reviewItem>
      <errorID>1c9e0da5-d175-4d57-878b-f7a4f1ccf6e7</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75E909CF</paraID>
      <start>0</start>
      <end>4</end>
      <status>unmodified</status>
      <modifiedWord/>
      <trackRevisions>false</trackRevisions>
    </reviewItem>
    <reviewItem>
      <errorID>f2697228-3a48-416b-8d97-8299f49777d7</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79E450C0</paraID>
      <start>0</start>
      <end>4</end>
      <status>unmodified</status>
      <modifiedWord/>
      <trackRevisions>false</trackRevisions>
    </reviewItem>
    <reviewItem>
      <errorID>a57e2891-47cc-45e6-a89a-799ba010b67a</errorID>
      <errorWord>)</errorWord>
      <group>L1_Format</group>
      <groupName>格式问题</groupName>
      <ability>L2_HalfPunc</ability>
      <abilityName>全半角检查</abilityName>
      <candidateList>
        <item>）</item>
      </candidateList>
      <explain>文本全半角错误。</explain>
      <paraID>4C28F3AD</paraID>
      <start>4</start>
      <end>5</end>
      <status>unmodified</status>
      <modifiedWord/>
      <trackRevisions>false</trackRevisions>
    </reviewItem>
    <reviewItem>
      <errorID>3992846c-407d-48b5-aa9e-b19f47396996</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6750098D</paraID>
      <start>0</start>
      <end>4</end>
      <status>unmodified</status>
      <modifiedWord/>
      <trackRevisions>false</trackRevisions>
    </reviewItem>
    <reviewItem>
      <errorID>4c8a15ef-d619-4f2f-86fa-29372bd8bdcb</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5CB4A6C9</paraID>
      <start>0</start>
      <end>4</end>
      <status>unmodified</status>
      <modifiedWord/>
      <trackRevisions>false</trackRevisions>
    </reviewItem>
    <reviewItem>
      <errorID>e72c9d78-ea5f-4c6c-86f8-c70992a3bb94</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5FEE7603</paraID>
      <start>0</start>
      <end>4</end>
      <status>unmodified</status>
      <modifiedWord/>
      <trackRevisions>false</trackRevisions>
    </reviewItem>
    <reviewItem>
      <errorID>ee506f89-6d01-4c1c-9798-3c59b5b9a087</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2D7601FE</paraID>
      <start>0</start>
      <end>4</end>
      <status>unmodified</status>
      <modifiedWord/>
      <trackRevisions>false</trackRevisions>
    </reviewItem>
    <reviewItem>
      <errorID>aae3cffb-3223-47c4-9f43-329fc40d540f</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45B27FF1</paraID>
      <start>0</start>
      <end>4</end>
      <status>unmodified</status>
      <modifiedWord/>
      <trackRevisions>false</trackRevisions>
    </reviewItem>
    <reviewItem>
      <errorID>05449101-7ee8-4364-9d38-6e3e9bb3ba69</errorID>
      <errorWord>中的</errorWord>
      <group>L1_Word</group>
      <groupName>字词问题</groupName>
      <ability>L2_Typo</ability>
      <abilityName>字词错误</abilityName>
      <candidateList>
        <item>中</item>
      </candidateList>
      <explain/>
      <paraID>45B27FF1</paraID>
      <start>13</start>
      <end>15</end>
      <status>unmodified</status>
      <modifiedWord/>
      <trackRevisions>false</trackRevisions>
    </reviewItem>
    <reviewItem>
      <errorID>343a86d4-98a3-42c8-aa31-11891fa2d68e</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6633F931</paraID>
      <start>0</start>
      <end>4</end>
      <status>unmodified</status>
      <modifiedWord/>
      <trackRevisions>false</trackRevisions>
    </reviewItem>
    <reviewItem>
      <errorID>d34e5c0d-993f-4e1c-af99-50805d00b825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7134249C</paraID>
      <start>0</start>
      <end>3</end>
      <status>unmodified</status>
      <modifiedWord/>
      <trackRevisions>false</trackRevisions>
    </reviewItem>
    <reviewItem>
      <errorID>473ce18f-5274-4166-bd0e-bcbb72eb3c4e</errorID>
      <errorWord>)</errorWord>
      <group>L1_Format</group>
      <groupName>格式问题</groupName>
      <ability>L2_HalfPunc</ability>
      <abilityName>全半角检查</abilityName>
      <candidateList>
        <item>）</item>
      </candidateList>
      <explain>文本全半角错误。</explain>
      <paraID>  55F49B</paraID>
      <start>3</start>
      <end>4</end>
      <status>unmodified</status>
      <modifiedWord/>
      <trackRevisions>false</trackRevisions>
    </reviewItem>
    <reviewItem>
      <errorID>895a3d06-abff-42f0-b620-fe2c4e2b3da4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7DDA8C90</paraID>
      <start>0</start>
      <end>3</end>
      <status>unmodified</status>
      <modifiedWord/>
      <trackRevisions>false</trackRevisions>
    </reviewItem>
    <reviewItem>
      <errorID>83180760-7c0c-4eb7-b451-1b22756f3599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47C18283</paraID>
      <start>0</start>
      <end>3</end>
      <status>unmodified</status>
      <modifiedWord/>
      <trackRevisions>false</trackRevisions>
    </reviewItem>
    <reviewItem>
      <errorID>c32a6093-26a9-44b6-a322-30cd8ee3dc65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47CF3D50</paraID>
      <start>0</start>
      <end>3</end>
      <status>unmodified</status>
      <modifiedWord/>
      <trackRevisions>false</trackRevisions>
    </reviewItem>
    <reviewItem>
      <errorID>0d8315bb-d7f3-430a-9916-c5ebe5790fb2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338DCB73</paraID>
      <start>0</start>
      <end>3</end>
      <status>unmodified</status>
      <modifiedWord/>
      <trackRevisions>false</trackRevisions>
    </reviewItem>
    <reviewItem>
      <errorID>684f0360-2ed0-42b7-b93c-ad16a2aeccdc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6FA68BB4</paraID>
      <start>0</start>
      <end>3</end>
      <status>unmodified</status>
      <modifiedWord/>
      <trackRevisions>false</trackRevisions>
    </reviewItem>
    <reviewItem>
      <errorID>4376082c-9d97-4011-987d-dd078f4814ef</errorID>
      <errorWord>可用</errorWord>
      <group>L1_Word</group>
      <groupName>字词问题</groupName>
      <ability>L2_Typo</ability>
      <abilityName>字词错误</abilityName>
      <candidateList>
        <item>可</item>
      </candidateList>
      <explain/>
      <paraID>6FA68BB4</paraID>
      <start>30</start>
      <end>32</end>
      <status>unmodified</status>
      <modifiedWord/>
      <trackRevisions>false</trackRevisions>
    </reviewItem>
    <reviewItem>
      <errorID>dedd38af-6cdd-4240-a7cb-293bf5fbae11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75904ABB</paraID>
      <start>0</start>
      <end>3</end>
      <status>unmodified</status>
      <modifiedWord/>
      <trackRevisions>false</trackRevisions>
    </reviewItem>
    <reviewItem>
      <errorID>946b03a7-1028-49bf-b7fb-f866e4bb44b9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5F756D3C</paraID>
      <start>0</start>
      <end>3</end>
      <status>unmodified</status>
      <modifiedWord/>
      <trackRevisions>false</trackRevisions>
    </reviewItem>
    <reviewItem>
      <errorID>f747596c-7636-4d37-b9e6-f07f26b17b60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6DBC1126</paraID>
      <start>0</start>
      <end>4</end>
      <status>unmodified</status>
      <modifiedWord/>
      <trackRevisions>false</trackRevisions>
    </reviewItem>
    <reviewItem>
      <errorID>32d535b8-c1c6-4ec6-9666-8e529cc9d8cb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4740681D</paraID>
      <start>0</start>
      <end>4</end>
      <status>unmodified</status>
      <modifiedWord/>
      <trackRevisions>false</trackRevisions>
    </reviewItem>
    <reviewItem>
      <errorID>16f62bc6-cec1-4b7e-bd15-31538126d5c7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572F3FA3</paraID>
      <start>0</start>
      <end>4</end>
      <status>unmodified</status>
      <modifiedWord/>
      <trackRevisions>false</trackRevisions>
    </reviewItem>
    <reviewItem>
      <errorID>f7966e0f-175b-4a84-9a45-693bd0ea09ec</errorID>
      <errorWord>:</errorWord>
      <group>L1_Format</group>
      <groupName>格式问题</groupName>
      <ability>L2_HalfPunc</ability>
      <abilityName>全半角检查</abilityName>
      <candidateList>
        <item>：</item>
      </candidateList>
      <explain>文本全半角错误。</explain>
      <paraID>66CA44ED</paraID>
      <start>12</start>
      <end>13</end>
      <status>unmodified</status>
      <modifiedWord/>
      <trackRevisions>false</trackRevisions>
    </reviewItem>
    <reviewItem>
      <errorID>056996ad-71b0-41d9-b33b-d6c42a7fdfd4</errorID>
      <errorWord>各</errorWord>
      <group>L1_Word</group>
      <groupName>字词问题</groupName>
      <ability>L2_Typo</ability>
      <abilityName>字词错误</abilityName>
      <candidateList>
        <item>各手</item>
      </candidateList>
      <explain/>
      <paraID>752A7E18</paraID>
      <start>22</start>
      <end>23</end>
      <status>unmodified</status>
      <modifiedWord/>
      <trackRevisions>false</trackRevisions>
    </reviewItem>
    <reviewItem>
      <errorID>530eb105-3db6-4c10-8d9d-f31cd50f0403</errorID>
      <errorWord>平局</errorWord>
      <group>L1_Word</group>
      <groupName>字词问题</groupName>
      <ability>L2_Typo</ability>
      <abilityName>字词错误</abilityName>
      <candidateList>
        <item>平均</item>
      </candidateList>
      <explain/>
      <paraID>752A7E18</paraID>
      <start>25</start>
      <end>27</end>
      <status>unmodified</status>
      <modifiedWord/>
      <trackRevisions>false</trackRevisions>
    </reviewItem>
    <reviewItem>
      <errorID>fae9055e-ffa9-4fc3-8965-30ae2cda6368</errorID>
      <errorWord>接受</errorWord>
      <group>L1_Word</group>
      <groupName>字词问题</groupName>
      <ability>L2_Typo</ability>
      <abilityName>字词错误</abilityName>
      <candidateList>
        <item>接收</item>
      </candidateList>
      <explain>存在发音相同字词的误用。</explain>
      <paraID> C3ED2D0</paraID>
      <start>4</start>
      <end>6</end>
      <status>unmodified</status>
      <modifiedWord/>
      <trackRevisions>false</trackRevisions>
    </reviewItem>
    <reviewItem>
      <errorID>b5e6ceb5-58d5-40f5-8df8-e15ece10846e</errorID>
      <errorWord>WiFi</errorWord>
      <group>L1_Punc</group>
      <groupName>标点问题</groupName>
      <ability>L2_Punc</ability>
      <abilityName>标点符号检查</abilityName>
      <candidateList>
        <item>Wi-Fi</item>
      </candidateList>
      <explain/>
      <paraID> 37FFB02</paraID>
      <start>30</start>
      <end>34</end>
      <status>unmodified</status>
      <modifiedWord/>
      <trackRevisions>false</trackRevisions>
    </reviewItem>
    <reviewItem>
      <errorID>d88c5806-19d2-4462-81c4-ae62b289b81d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34005B25</paraID>
      <start>0</start>
      <end>3</end>
      <status>unmodified</status>
      <modifiedWord/>
      <trackRevisions>false</trackRevisions>
    </reviewItem>
    <reviewItem>
      <errorID>18ba1fe5-defe-4b53-8756-f2aaa99d01bb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79E1F2F2</paraID>
      <start>0</start>
      <end>3</end>
      <status>unmodified</status>
      <modifiedWord/>
      <trackRevisions>false</trackRevisions>
    </reviewItem>
    <reviewItem>
      <errorID>99f60b98-ad29-4149-82e4-c9fea9fb530a</errorID>
      <errorWord>)</errorWord>
      <group>L1_Format</group>
      <groupName>格式问题</groupName>
      <ability>L2_HalfPunc</ability>
      <abilityName>全半角检查</abilityName>
      <candidateList>
        <item>）</item>
      </candidateList>
      <explain>文本全半角错误。</explain>
      <paraID>43C4307F</paraID>
      <start>3</start>
      <end>4</end>
      <status>unmodified</status>
      <modifiedWord/>
      <trackRevisions>false</trackRevisions>
    </reviewItem>
    <reviewItem>
      <errorID>2714f88d-eede-4699-b8f6-676475e85d92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4907018A</paraID>
      <start>0</start>
      <end>3</end>
      <status>unmodified</status>
      <modifiedWord/>
      <trackRevisions>false</trackRevisions>
    </reviewItem>
    <reviewItem>
      <errorID>e363ce91-78b7-4b28-ac56-c4acc78d1928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45F1D8A</paraID>
      <start>0</start>
      <end>3</end>
      <status>unmodified</status>
      <modifiedWord/>
      <trackRevisions>false</trackRevisions>
    </reviewItem>
    <reviewItem>
      <errorID>5ee77672-a571-4b63-be2c-edc41388b7f5</errorID>
      <errorWord>分</errorWord>
      <group>L1_Word</group>
      <groupName>字词问题</groupName>
      <ability>L2_Typo</ability>
      <abilityName>字词错误</abilityName>
      <candidateList>
        <item>分为</item>
      </candidateList>
      <explain/>
      <paraID>1ACAD019</paraID>
      <start>25</start>
      <end>26</end>
      <status>unmodified</status>
      <modifiedWord/>
      <trackRevisions>false</trackRevisions>
    </reviewItem>
    <reviewItem>
      <errorID>d1459beb-060d-4d80-b538-920136003a00</errorID>
      <errorWord>，</errorWord>
      <group>L1_Word</group>
      <groupName>字词问题</groupName>
      <ability>L2_Typo</ability>
      <abilityName>字词错误</abilityName>
      <candidateList>
        <item>，以</item>
      </candidateList>
      <explain/>
      <paraID>57469451</paraID>
      <start>11</start>
      <end>12</end>
      <status>unmodified</status>
      <modifiedWord/>
      <trackRevisions>false</trackRevisions>
    </reviewItem>
    <reviewItem>
      <errorID>d672f334-44ba-4d76-ba0e-f1911427d8e1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5CED041F</paraID>
      <start>0</start>
      <end>2</end>
      <status>unmodified</status>
      <modifiedWord/>
      <trackRevisions>false</trackRevisions>
    </reviewItem>
    <reviewItem>
      <errorID>30ac8e10-191c-4e5c-8893-d32b22f3e2af</errorID>
      <errorWord>WIFI</errorWord>
      <group>L1_Word</group>
      <groupName>字词问题</groupName>
      <ability>L2_Typo</ability>
      <abilityName>字词错误</abilityName>
      <candidateList>
        <item>Wi-Fi</item>
      </candidateList>
      <explain/>
      <paraID>4BF3AA7F</paraID>
      <start>134</start>
      <end>138</end>
      <status>unmodified</status>
      <modifiedWord/>
      <trackRevisions>false</trackRevisions>
    </reviewItem>
    <reviewItem>
      <errorID>81e0835f-31c9-408f-8100-a428f4f5c712</errorID>
      <errorWord>的</errorWord>
      <group>L1_Word</group>
      <groupName>字词问题</groupName>
      <ability>L2_DDD</ability>
      <abilityName>的地得用法</abilityName>
      <candidateList>
        <item>地</item>
      </candidateList>
      <explain/>
      <paraID>4BF3AA7F</paraID>
      <start>734</start>
      <end>735</end>
      <status>unmodified</status>
      <modifiedWord/>
      <trackRevisions>false</trackRevisions>
    </reviewItem>
    <reviewItem>
      <errorID>df42a938-ed77-4aef-a9f7-ac1920b73059</errorID>
      <errorWord>.</errorWord>
      <group>L1_Format</group>
      <groupName>格式问题</groupName>
      <ability>L2_HalfPunc</ability>
      <abilityName>全半角检查</abilityName>
      <candidateList>
        <item>。</item>
      </candidateList>
      <explain>文本全半角错误。</explain>
      <paraID>4BF3AA7F</paraID>
      <start>848</start>
      <end>849</end>
      <status>unmodified</status>
      <modifiedWord/>
      <trackRevisions>false</trackRevisions>
    </reviewItem>
    <reviewItem>
      <errorID>a75bde45-4236-4b0b-8181-296ca6661eca</errorID>
      <errorWord>(</errorWord>
      <group>L1_Format</group>
      <groupName>格式问题</groupName>
      <ability>L2_HalfPunc</ability>
      <abilityName>全半角检查</abilityName>
      <candidateList>
        <item>（</item>
      </candidateList>
      <explain>文本全半角错误。</explain>
      <paraID>4BF3AA7F</paraID>
      <start>914</start>
      <end>915</end>
      <status>unmodified</status>
      <modifiedWord/>
      <trackRevisions>false</trackRevisions>
    </reviewItem>
    <reviewItem>
      <errorID>78e5862c-9876-47af-9c7c-f9f5fd5eeea1</errorID>
      <errorWord>)</errorWord>
      <group>L1_Format</group>
      <groupName>格式问题</groupName>
      <ability>L2_HalfPunc</ability>
      <abilityName>全半角检查</abilityName>
      <candidateList>
        <item>）</item>
      </candidateList>
      <explain>文本全半角错误。</explain>
      <paraID>4BF3AA7F</paraID>
      <start>916</start>
      <end>917</end>
      <status>unmodified</status>
      <modifiedWord/>
      <trackRevisions>false</trackRevisions>
    </reviewItem>
    <reviewItem>
      <errorID>1c54abdb-f2ae-4ab8-8f0a-87c359974390</errorID>
      <errorWord>:</errorWord>
      <group>L1_Format</group>
      <groupName>格式问题</groupName>
      <ability>L2_HalfPunc</ability>
      <abilityName>全半角检查</abilityName>
      <candidateList>
        <item>：</item>
      </candidateList>
      <explain>文本全半角错误。</explain>
      <paraID>4BF3AA7F</paraID>
      <start>1018</start>
      <end>1019</end>
      <status>unmodified</status>
      <modifiedWord/>
      <trackRevisions>false</trackRevisions>
    </reviewItem>
    <reviewItem>
      <errorID>89d881e2-6dde-479e-a199-88d5cd54fe7e</errorID>
      <errorWord>(</errorWord>
      <group>L1_Format</group>
      <groupName>格式问题</groupName>
      <ability>L2_HalfPunc</ability>
      <abilityName>全半角检查</abilityName>
      <candidateList>
        <item>（</item>
      </candidateList>
      <explain>文本全半角错误。</explain>
      <paraID>4BF3AA7F</paraID>
      <start>1040</start>
      <end>1041</end>
      <status>unmodified</status>
      <modifiedWord/>
      <trackRevisions>false</trackRevisions>
    </reviewItem>
    <reviewItem>
      <errorID>32e7574a-1990-4102-ad5b-4c2641e75ece</errorID>
      <errorWord>)</errorWord>
      <group>L1_Format</group>
      <groupName>格式问题</groupName>
      <ability>L2_HalfPunc</ability>
      <abilityName>全半角检查</abilityName>
      <candidateList>
        <item>）</item>
      </candidateList>
      <explain>文本全半角错误。</explain>
      <paraID>4BF3AA7F</paraID>
      <start>1063</start>
      <end>1064</end>
      <status>unmodified</status>
      <modifiedWord/>
      <trackRevisions>false</trackRevisions>
    </reviewItem>
    <reviewItem>
      <errorID>7a6c0c13-7078-4dbf-88ca-1be824cbf417</errorID>
      <errorWord>，和</errorWord>
      <group>L1_Word</group>
      <groupName>字词问题</groupName>
      <ability>L2_Typo</ability>
      <abilityName>字词错误</abilityName>
      <candidateList>
        <item>，</item>
      </candidateList>
      <explain/>
      <paraID>4BF3AA7F</paraID>
      <start>1074</start>
      <end>1076</end>
      <status>unmodified</status>
      <modifiedWord/>
      <trackRevisions>false</trackRevisions>
    </reviewItem>
    <reviewItem>
      <errorID>9a9c5b68-b70e-402e-85b0-338434747a4a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424959E7</paraID>
      <start>0</start>
      <end>2</end>
      <status>unmodified</status>
      <modifiedWord/>
      <trackRevisions>false</trackRevisions>
    </reviewItem>
    <reviewItem>
      <errorID>99312413-4b2c-4c8c-91b2-a5ed3c011f11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5C06B970</paraID>
      <start>0</start>
      <end>2</end>
      <status>unmodified</status>
      <modifiedWord/>
      <trackRevisions>false</trackRevisions>
    </reviewItem>
    <reviewItem>
      <errorID>48deebec-81aa-4f7e-9052-c4549ab9b349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7249E32C</paraID>
      <start>0</start>
      <end>2</end>
      <status>unmodified</status>
      <modifiedWord/>
      <trackRevisions>false</trackRevisions>
    </reviewItem>
    <reviewItem>
      <errorID>d4365cbd-6e20-4aac-8cdf-9cca55a91e03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59CBAE3B</paraID>
      <start>0</start>
      <end>2</end>
      <status>unmodified</status>
      <modifiedWord/>
      <trackRevisions>false</trackRevisions>
    </reviewItem>
    <reviewItem>
      <errorID>a3489291-e97c-4eea-b9f6-9226888d39d4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5BEE411</paraID>
      <start>15</start>
      <end>16</end>
      <status>unmodified</status>
      <modifiedWord/>
      <trackRevisions>false</trackRevisions>
    </reviewItem>
    <reviewItem>
      <errorID>a59cacd5-9385-40e5-abbf-3a54b244b26b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757ABA2C</paraID>
      <start>10</start>
      <end>11</end>
      <status>unmodified</status>
      <modifiedWord/>
      <trackRevisions>false</trackRevisions>
    </reviewItem>
    <reviewItem>
      <errorID>1cef4b68-000b-482f-821c-069f75913755</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4FFCF610</paraID>
      <start>0</start>
      <end>3</end>
      <status>unmodified</status>
      <modifiedWord/>
      <trackRevisions>false</trackRevisions>
    </reviewItem>
    <reviewItem>
      <errorID>212f9eca-f03d-4a72-a46c-dbbe0419f049</errorID>
      <errorWord>少于</errorWord>
      <group>L1_Word</group>
      <groupName>字词问题</groupName>
      <ability>L2_Typo</ability>
      <abilityName>字词错误</abilityName>
      <candidateList>
        <item>小于</item>
      </candidateList>
      <explain>存在字形相近字词的误用。</explain>
      <paraID>25955F34</paraID>
      <start>40</start>
      <end>42</end>
      <status>unmodified</status>
      <modifiedWord/>
      <trackRevisions>false</trackRevisions>
    </reviewItem>
    <reviewItem>
      <errorID>d867b892-4178-4c92-ab7d-85886bcaa8e3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5EE808F5</paraID>
      <start>18</start>
      <end>19</end>
      <status>unmodified</status>
      <modifiedWord/>
      <trackRevisions>false</trackRevisions>
    </reviewItem>
    <reviewItem>
      <errorID>e6384036-8512-41e7-a283-97e6b572899d</errorID>
      <errorWord>需具备</errorWord>
      <group>L1_Word</group>
      <groupName>字词问题</groupName>
      <ability>L2_Typo</ability>
      <abilityName>字词错误</abilityName>
      <candidateList>
        <item>须具备</item>
      </candidateList>
      <explain/>
      <paraID>  86C34C</paraID>
      <start>15</start>
      <end>18</end>
      <status>unmodified</status>
      <modifiedWord/>
      <trackRevisions>false</trackRevisions>
    </reviewItem>
    <reviewItem>
      <errorID>39267b6a-3b64-4224-aa48-35525c00e094</errorID>
      <errorWord>。】</errorWord>
      <group>L1_Punc</group>
      <groupName>标点问题</groupName>
      <ability>L2_Punc</ability>
      <abilityName>标点符号检查</abilityName>
      <candidateList>
        <item>】</item>
      </candidateList>
      <explain/>
      <paraID>  86C34C</paraID>
      <start>160</start>
      <end>162</end>
      <status>unmodified</status>
      <modifiedWord/>
      <trackRevisions>false</trackRevisions>
    </reviewItem>
    <reviewItem>
      <errorID>a2227574-a209-41f0-a70b-5cb4b161e22c</errorID>
      <errorWord>接受器</errorWord>
      <group>L1_Word</group>
      <groupName>字词问题</groupName>
      <ability>L2_Typo</ability>
      <abilityName>字词错误</abilityName>
      <candidateList>
        <item>接收器</item>
      </candidateList>
      <explain>存在发音相同字词的误用。</explain>
      <paraID>625BAF09</paraID>
      <start>22</start>
      <end>25</end>
      <status>unmodified</status>
      <modifiedWord/>
      <trackRevisions>false</trackRevisions>
    </reviewItem>
    <reviewItem>
      <errorID>3a1599f3-98fa-47e6-87df-e3e0fc5542df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625BAF09</paraID>
      <start>84</start>
      <end>85</end>
      <status>unmodified</status>
      <modifiedWord/>
      <trackRevisions>false</trackRevisions>
    </reviewItem>
    <reviewItem>
      <errorID>eb459704-a3b4-4bf1-ba29-8ce02504d436</errorID>
      <errorWord>。】</errorWord>
      <group>L1_Punc</group>
      <groupName>标点问题</groupName>
      <ability>L2_Punc</ability>
      <abilityName>标点符号检查</abilityName>
      <candidateList>
        <item>】</item>
      </candidateList>
      <explain/>
      <paraID>42F6E5F4</paraID>
      <start>157</start>
      <end>159</end>
      <status>unmodified</status>
      <modifiedWord/>
      <trackRevisions>false</trackRevisions>
    </reviewItem>
    <reviewItem>
      <errorID>9d30aead-dca1-47ad-8d5d-8f9575ee0d0d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31E52F89</paraID>
      <start>34</start>
      <end>35</end>
      <status>unmodified</status>
      <modifiedWord/>
      <trackRevisions>false</trackRevisions>
    </reviewItem>
    <reviewItem>
      <errorID>1e9dd41f-f690-42b5-852b-0fb6e971c05e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5E6FCA09</paraID>
      <start>21</start>
      <end>22</end>
      <status>unmodified</status>
      <modifiedWord/>
      <trackRevisions>false</trackRevisions>
    </reviewItem>
    <reviewItem>
      <errorID>b01fd75d-0d3f-4e9e-a4bb-a4083e46ead2</errorID>
      <errorWord>需具备</errorWord>
      <group>L1_Word</group>
      <groupName>字词问题</groupName>
      <ability>L2_Typo</ability>
      <abilityName>字词错误</abilityName>
      <candidateList>
        <item>须具备</item>
      </candidateList>
      <explain/>
      <paraID>634DFCB3</paraID>
      <start>4</start>
      <end>7</end>
      <status>unmodified</status>
      <modifiedWord/>
      <trackRevisions>false</trackRevisions>
    </reviewItem>
    <reviewItem>
      <errorID>75098904-6ffa-4a02-8ea7-2284df1416aa</errorID>
      <errorWord>需具备</errorWord>
      <group>L1_Word</group>
      <groupName>字词问题</groupName>
      <ability>L2_Typo</ability>
      <abilityName>字词错误</abilityName>
      <candidateList>
        <item>须具备</item>
      </candidateList>
      <explain/>
      <paraID>5119A333</paraID>
      <start>31</start>
      <end>34</end>
      <status>unmodified</status>
      <modifiedWord/>
      <trackRevisions>false</trackRevisions>
    </reviewItem>
    <reviewItem>
      <errorID>0f4cbc86-7407-44d0-9bcd-a20288d3873c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4AA7B57</paraID>
      <start>0</start>
      <end>2</end>
      <status>unmodified</status>
      <modifiedWord/>
      <trackRevisions>false</trackRevisions>
    </reviewItem>
    <reviewItem>
      <errorID>d27447fc-449c-4600-8143-5a7deb960532</errorID>
      <errorWord>“/</errorWord>
      <group>L1_Punc</group>
      <groupName>标点问题</groupName>
      <ability>L2_Punc</ability>
      <abilityName>标点符号检查</abilityName>
      <candidateList>
        <item>“</item>
      </candidateList>
      <explain/>
      <paraID> 4AA7B57</paraID>
      <start>8</start>
      <end>10</end>
      <status>unmodified</status>
      <modifiedWord/>
      <trackRevisions>false</trackRevisions>
    </reviewItem>
    <reviewItem>
      <errorID>07a975bf-9620-4bca-9300-8ead0cd03579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43E5A9AF</paraID>
      <start>0</start>
      <end>2</end>
      <status>unmodified</status>
      <modifiedWord/>
      <trackRevisions>false</trackRevisions>
    </reviewItem>
    <reviewItem>
      <errorID>e8fb797d-5c3e-4a2e-aeb7-d4ecbb237f5c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3F3946E9</paraID>
      <start>0</start>
      <end>2</end>
      <status>unmodified</status>
      <modifiedWord/>
      <trackRevisions>false</trackRevisions>
    </reviewItem>
    <reviewItem>
      <errorID>2927eaf3-4c9d-40fe-82e9-79ff3803b99e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14E95880</paraID>
      <start>0</start>
      <end>3</end>
      <status>unmodified</status>
      <modifiedWord/>
      <trackRevisions>false</trackRevisions>
    </reviewItem>
    <reviewItem>
      <errorID>bf909a7c-04f6-419c-92c3-35c9e248e4d0</errorID>
      <errorWord>:</errorWord>
      <group>L1_Format</group>
      <groupName>格式问题</groupName>
      <ability>L2_HalfPunc</ability>
      <abilityName>全半角检查</abilityName>
      <candidateList>
        <item>：</item>
      </candidateList>
      <explain>文本全半角错误。</explain>
      <paraID>14E95880</paraID>
      <start>6</start>
      <end>7</end>
      <status>unmodified</status>
      <modifiedWord/>
      <trackRevisions>false</trackRevisions>
    </reviewItem>
    <reviewItem>
      <errorID>0a3e03e2-abb6-4c5d-94a9-7b25c1e6ae7e</errorID>
      <errorWord>:</errorWord>
      <group>L1_Format</group>
      <groupName>格式问题</groupName>
      <ability>L2_HalfPunc</ability>
      <abilityName>全半角检查</abilityName>
      <candidateList>
        <item>：</item>
      </candidateList>
      <explain>文本全半角错误。</explain>
      <paraID>14E95880</paraID>
      <start>47</start>
      <end>48</end>
      <status>unmodified</status>
      <modifiedWord/>
      <trackRevisions>false</trackRevisions>
    </reviewItem>
    <reviewItem>
      <errorID>13e16fc6-453d-4b75-a220-ac84edf39e6d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3ECF51F1</paraID>
      <start>0</start>
      <end>3</end>
      <status>unmodified</status>
      <modifiedWord/>
      <trackRevisions>false</trackRevisions>
    </reviewItem>
    <reviewItem>
      <errorID>21e420e9-3545-4bc6-8c91-63a6a2e177d2</errorID>
      <errorWord>:</errorWord>
      <group>L1_Format</group>
      <groupName>格式问题</groupName>
      <ability>L2_HalfPunc</ability>
      <abilityName>全半角检查</abilityName>
      <candidateList>
        <item>：</item>
      </candidateList>
      <explain>文本全半角错误。</explain>
      <paraID>3ECF51F1</paraID>
      <start>6</start>
      <end>7</end>
      <status>unmodified</status>
      <modifiedWord/>
      <trackRevisions>false</trackRevisions>
    </reviewItem>
    <reviewItem>
      <errorID>1b819a21-afe1-4ab3-8124-73ccb391ae9d</errorID>
      <errorWord>)</errorWord>
      <group>L1_Format</group>
      <groupName>格式问题</groupName>
      <ability>L2_HalfPunc</ability>
      <abilityName>全半角检查</abilityName>
      <candidateList>
        <item>）</item>
      </candidateList>
      <explain>文本全半角错误。</explain>
      <paraID>3ECF51F1</paraID>
      <start>73</start>
      <end>74</end>
      <status>unmodified</status>
      <modifiedWord/>
      <trackRevisions>false</trackRevisions>
    </reviewItem>
    <reviewItem>
      <errorID>5aa83709-7441-4dc3-b767-e6d0441c9a83</errorID>
      <errorWord>法律、法规</errorWord>
      <group>L1_Word</group>
      <groupName>字词问题</groupName>
      <ability>L2_Typo</ability>
      <abilityName>字词错误</abilityName>
      <candidateList>
        <item>法律法规</item>
      </candidateList>
      <explain/>
      <paraID>4D344C86</paraID>
      <start>6</start>
      <end>11</end>
      <status>unmodified</status>
      <modifiedWord/>
      <trackRevisions>false</trackRevisions>
    </reviewItem>
    <reviewItem>
      <errorID>6e730ae8-66f3-439f-a871-c7a6ab9bec2c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16539F5A</paraID>
      <start>0</start>
      <end>2</end>
      <status>unmodified</status>
      <modifiedWord/>
      <trackRevisions>false</trackRevisions>
    </reviewItem>
    <reviewItem>
      <errorID>30e7edd4-0861-48cc-b5f6-54205a65caa2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16539F5A</paraID>
      <start>17</start>
      <end>18</end>
      <status>unmodified</status>
      <modifiedWord/>
      <trackRevisions>false</trackRevisions>
    </reviewItem>
    <reviewItem>
      <errorID>71e96ee9-269b-4e8e-9e56-bf2b8cf424a1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17B1035</paraID>
      <start>0</start>
      <end>2</end>
      <status>unmodified</status>
      <modifiedWord/>
      <trackRevisions>false</trackRevisions>
    </reviewItem>
    <reviewItem>
      <errorID>f4450e0f-d43a-46ef-b5f0-1c5b69e60469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28CDAA40</paraID>
      <start>0</start>
      <end>2</end>
      <status>unmodified</status>
      <modifiedWord/>
      <trackRevisions>false</trackRevisions>
    </reviewItem>
    <reviewItem>
      <errorID>46ba23bc-2262-4b81-be47-52eb12893d46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43562607</paraID>
      <start>0</start>
      <end>2</end>
      <status>unmodified</status>
      <modifiedWord/>
      <trackRevisions>false</trackRevisions>
    </reviewItem>
    <reviewItem>
      <errorID>12f8ded7-17f3-4d54-b064-cef517b55d09</errorID>
      <errorWord>[2011]300号</errorWord>
      <group>L1_Knowledge</group>
      <groupName>知识性问题</groupName>
      <ability>L2_Knowledge</ability>
      <abilityName>其他知识</abilityName>
      <candidateList>
        <item>〔2011〕300号</item>
      </candidateList>
      <explain>发文字号格式错误。</explain>
      <paraID>1ACF8388</paraID>
      <start>35</start>
      <end>45</end>
      <status>unmodified</status>
      <modifiedWord/>
      <trackRevisions>false</trackRevisions>
    </reviewItem>
    <reviewItem>
      <errorID>b351d683-6293-4f5a-9800-6a39b1e28a6b</errorID>
      <errorWord>须</errorWord>
      <group>L1_Word</group>
      <groupName>字词问题</groupName>
      <ability>L2_Typo</ability>
      <abilityName>字词错误</abilityName>
      <candidateList>
        <item>需</item>
      </candidateList>
      <explain>存在发音相同字词的误用。</explain>
      <paraID>1ACF8388</paraID>
      <start>82</start>
      <end>83</end>
      <status>unmodified</status>
      <modifiedWord/>
      <trackRevisions>false</trackRevisions>
    </reviewItem>
    <reviewItem>
      <errorID>eedc114e-3437-4233-925f-cc35b8286c89</errorID>
      <errorWord>(</errorWord>
      <group>L1_Format</group>
      <groupName>格式问题</groupName>
      <ability>L2_HalfPunc</ability>
      <abilityName>全半角检查</abilityName>
      <candidateList>
        <item>（</item>
      </candidateList>
      <explain>文本全半角错误。</explain>
      <paraID>15E7DCF9</paraID>
      <start>9</start>
      <end>10</end>
      <status>unmodified</status>
      <modifiedWord/>
      <trackRevisions>false</trackRevisions>
    </reviewItem>
    <reviewItem>
      <errorID>498cada7-c8f5-4724-9322-72abfb090b3d</errorID>
      <errorWord>)</errorWord>
      <group>L1_Format</group>
      <groupName>格式问题</groupName>
      <ability>L2_HalfPunc</ability>
      <abilityName>全半角检查</abilityName>
      <candidateList>
        <item>）</item>
      </candidateList>
      <explain>文本全半角错误。</explain>
      <paraID>15E7DCF9</paraID>
      <start>20</start>
      <end>21</end>
      <status>unmodified</status>
      <modifiedWord/>
      <trackRevisions>false</trackRevisions>
    </reviewItem>
    <reviewItem>
      <errorID>078379ca-0422-4066-8cf4-bdcbaa6d78cb</errorID>
      <errorWord>(</errorWord>
      <group>L1_Format</group>
      <groupName>格式问题</groupName>
      <ability>L2_HalfPunc</ability>
      <abilityName>全半角检查</abilityName>
      <candidateList>
        <item>（</item>
      </candidateList>
      <explain>文本全半角错误。</explain>
      <paraID>3B94F785</paraID>
      <start>9</start>
      <end>10</end>
      <status>unmodified</status>
      <modifiedWord/>
      <trackRevisions>false</trackRevisions>
    </reviewItem>
    <reviewItem>
      <errorID>2ef1dc59-3e3c-48e8-9fe2-2dd1ec3edce6</errorID>
      <errorWord>)</errorWord>
      <group>L1_Format</group>
      <groupName>格式问题</groupName>
      <ability>L2_HalfPunc</ability>
      <abilityName>全半角检查</abilityName>
      <candidateList>
        <item>）</item>
      </candidateList>
      <explain>文本全半角错误。</explain>
      <paraID>3B94F785</paraID>
      <start>20</start>
      <end>21</end>
      <status>unmodified</status>
      <modifiedWord/>
      <trackRevisions>false</trackRevisions>
    </reviewItem>
    <reviewItem>
      <errorID>89bb9c21-480d-4ca4-8be5-4c6d4e860070</errorID>
      <errorWord>胶粘剂</errorWord>
      <group>L1_Word</group>
      <groupName>字词问题</groupName>
      <ability>L2_Typo</ability>
      <abilityName>字词错误</abilityName>
      <candidateList>
        <item>胶黏剂</item>
      </candidateList>
      <explain/>
      <paraID> 5617636</paraID>
      <start>7</start>
      <end>10</end>
      <status>unmodified</status>
      <modifiedWord/>
      <trackRevisions>false</trackRevisions>
    </reviewItem>
    <reviewItem>
      <errorID>f9b92d05-1605-4ea9-8fca-46c4624a3a1d</errorID>
      <errorWord>(</errorWord>
      <group>L1_Format</group>
      <groupName>格式问题</groupName>
      <ability>L2_HalfPunc</ability>
      <abilityName>全半角检查</abilityName>
      <candidateList>
        <item>（</item>
      </candidateList>
      <explain>文本全半角错误。</explain>
      <paraID>604B2B51</paraID>
      <start>25</start>
      <end>26</end>
      <status>unmodified</status>
      <modifiedWord/>
      <trackRevisions>false</trackRevisions>
    </reviewItem>
    <reviewItem>
      <errorID>aa5f7869-6ef2-4b20-8750-a514dced8821</errorID>
      <errorWord>)</errorWord>
      <group>L1_Format</group>
      <groupName>格式问题</groupName>
      <ability>L2_HalfPunc</ability>
      <abilityName>全半角检查</abilityName>
      <candidateList>
        <item>）</item>
      </candidateList>
      <explain>文本全半角错误。</explain>
      <paraID>604B2B51</paraID>
      <start>48</start>
      <end>49</end>
      <status>unmodified</status>
      <modifiedWord/>
      <trackRevisions>false</trackRevisions>
    </reviewItem>
    <reviewItem>
      <errorID>b4338eaf-fccf-43cf-8206-8017cc0022da</errorID>
      <errorWord>(</errorWord>
      <group>L1_Format</group>
      <groupName>格式问题</groupName>
      <ability>L2_HalfPunc</ability>
      <abilityName>全半角检查</abilityName>
      <candidateList>
        <item>（</item>
      </candidateList>
      <explain>文本全半角错误。</explain>
      <paraID>604B2B51</paraID>
      <start>58</start>
      <end>59</end>
      <status>unmodified</status>
      <modifiedWord/>
      <trackRevisions>false</trackRevisions>
    </reviewItem>
    <reviewItem>
      <errorID>7c00b394-b2df-467d-b7c9-b7d8bb4cef88</errorID>
      <errorWord>)</errorWord>
      <group>L1_Format</group>
      <groupName>格式问题</groupName>
      <ability>L2_HalfPunc</ability>
      <abilityName>全半角检查</abilityName>
      <candidateList>
        <item>）</item>
      </candidateList>
      <explain>文本全半角错误。</explain>
      <paraID>604B2B51</paraID>
      <start>74</start>
      <end>75</end>
      <status>unmodified</status>
      <modifiedWord/>
      <trackRevisions>false</trackRevisions>
    </reviewItem>
    <reviewItem>
      <errorID>0043b68c-aaf5-4d13-bb34-982d0378c0d5</errorID>
      <errorWord>(</errorWord>
      <group>L1_Format</group>
      <groupName>格式问题</groupName>
      <ability>L2_HalfPunc</ability>
      <abilityName>全半角检查</abilityName>
      <candidateList>
        <item>（</item>
      </candidateList>
      <explain>文本全半角错误。</explain>
      <paraID>77C7354A</paraID>
      <start>22</start>
      <end>23</end>
      <status>unmodified</status>
      <modifiedWord/>
      <trackRevisions>false</trackRevisions>
    </reviewItem>
    <reviewItem>
      <errorID>3897134a-e0ad-415c-bc7c-9ef4bd0f0a11</errorID>
      <errorWord>)</errorWord>
      <group>L1_Format</group>
      <groupName>格式问题</groupName>
      <ability>L2_HalfPunc</ability>
      <abilityName>全半角检查</abilityName>
      <candidateList>
        <item>）</item>
      </candidateList>
      <explain>文本全半角错误。</explain>
      <paraID>77C7354A</paraID>
      <start>45</start>
      <end>46</end>
      <status>unmodified</status>
      <modifiedWord/>
      <trackRevisions>false</trackRevisions>
    </reviewItem>
    <reviewItem>
      <errorID>4180971a-e7f7-459d-9b5a-cf80a21431f5</errorID>
      <errorWord>(</errorWord>
      <group>L1_Format</group>
      <groupName>格式问题</groupName>
      <ability>L2_HalfPunc</ability>
      <abilityName>全半角检查</abilityName>
      <candidateList>
        <item>（</item>
      </candidateList>
      <explain>文本全半角错误。</explain>
      <paraID>77C7354A</paraID>
      <start>55</start>
      <end>56</end>
      <status>unmodified</status>
      <modifiedWord/>
      <trackRevisions>false</trackRevisions>
    </reviewItem>
    <reviewItem>
      <errorID>071b5669-13a9-4857-8c9d-7e3210d39680</errorID>
      <errorWord>)</errorWord>
      <group>L1_Format</group>
      <groupName>格式问题</groupName>
      <ability>L2_HalfPunc</ability>
      <abilityName>全半角检查</abilityName>
      <candidateList>
        <item>）</item>
      </candidateList>
      <explain>文本全半角错误。</explain>
      <paraID>77C7354A</paraID>
      <start>71</start>
      <end>72</end>
      <status>unmodified</status>
      <modifiedWord/>
      <trackRevisions>false</trackRevisions>
    </reviewItem>
    <reviewItem>
      <errorID>8c6a199c-08fa-4513-8640-a805dcbcb7d2</errorID>
      <errorWord>&lt;</errorWord>
      <group>L1_Format</group>
      <groupName>格式问题</groupName>
      <ability>L2_HalfPunc</ability>
      <abilityName>全半角检查</abilityName>
      <candidateList>
        <item>〈</item>
      </candidateList>
      <explain>文本全半角错误。</explain>
      <paraID>76590446</paraID>
      <start>50</start>
      <end>51</end>
      <status>unmodified</status>
      <modifiedWord/>
      <trackRevisions>false</trackRevisions>
    </reviewItem>
    <reviewItem>
      <errorID>f5dcb389-4062-457a-83b1-fbfc49dc482b</errorID>
      <errorWord>&lt;</errorWord>
      <group>L1_Format</group>
      <groupName>格式问题</groupName>
      <ability>L2_HalfPunc</ability>
      <abilityName>全半角检查</abilityName>
      <candidateList>
        <item>〈</item>
      </candidateList>
      <explain>文本全半角错误。</explain>
      <paraID> F2A04F7</paraID>
      <start>50</start>
      <end>51</end>
      <status>unmodified</status>
      <modifiedWord/>
      <trackRevisions>false</trackRevisions>
    </reviewItem>
    <reviewItem>
      <errorID>0f29207b-d52d-4f3c-9c18-2c77291816de</errorID>
      <errorWord>&lt;</errorWord>
      <group>L1_Format</group>
      <groupName>格式问题</groupName>
      <ability>L2_HalfPunc</ability>
      <abilityName>全半角检查</abilityName>
      <candidateList>
        <item>〈</item>
      </candidateList>
      <explain>文本全半角错误。</explain>
      <paraID>339684C0</paraID>
      <start>35</start>
      <end>36</end>
      <status>unmodified</status>
      <modifiedWord/>
      <trackRevisions>false</trackRevisions>
    </reviewItem>
    <reviewItem>
      <errorID>ecb7314a-3a96-4f8b-9cbf-aaee9bbce676</errorID>
      <errorWord>&lt;</errorWord>
      <group>L1_Format</group>
      <groupName>格式问题</groupName>
      <ability>L2_HalfPunc</ability>
      <abilityName>全半角检查</abilityName>
      <candidateList>
        <item>〈</item>
      </candidateList>
      <explain>文本全半角错误。</explain>
      <paraID>3AC6CFD8</paraID>
      <start>53</start>
      <end>54</end>
      <status>unmodified</status>
      <modifiedWord/>
      <trackRevisions>false</trackRevisions>
    </reviewItem>
    <reviewItem>
      <errorID>dfbc514c-a9e2-43fd-a0c1-caefb125a1d7</errorID>
      <errorWord>&lt;</errorWord>
      <group>L1_Format</group>
      <groupName>格式问题</groupName>
      <ability>L2_HalfPunc</ability>
      <abilityName>全半角检查</abilityName>
      <candidateList>
        <item>〈</item>
      </candidateList>
      <explain>文本全半角错误。</explain>
      <paraID>1BE1FB9C</paraID>
      <start>56</start>
      <end>57</end>
      <status>unmodified</status>
      <modifiedWord/>
      <trackRevisions>false</trackRevisions>
    </reviewItem>
    <reviewItem>
      <errorID>1f53e202-6bc9-460b-82aa-f13f1ad721fa</errorID>
      <errorWord>&lt;</errorWord>
      <group>L1_Format</group>
      <groupName>格式问题</groupName>
      <ability>L2_HalfPunc</ability>
      <abilityName>全半角检查</abilityName>
      <candidateList>
        <item>〈</item>
      </candidateList>
      <explain>文本全半角错误。</explain>
      <paraID>43DC41CB</paraID>
      <start>39</start>
      <end>40</end>
      <status>unmodified</status>
      <modifiedWord/>
      <trackRevisions>false</trackRevisions>
    </reviewItem>
    <reviewItem>
      <errorID>a6e3bf3b-dd2c-4de7-9830-d910ec45e6b8</errorID>
      <errorWord>(</errorWord>
      <group>L1_Format</group>
      <groupName>格式问题</groupName>
      <ability>L2_HalfPunc</ability>
      <abilityName>全半角检查</abilityName>
      <candidateList>
        <item>（</item>
      </candidateList>
      <explain>文本全半角错误。</explain>
      <paraID>393E958A</paraID>
      <start>47</start>
      <end>48</end>
      <status>unmodified</status>
      <modifiedWord/>
      <trackRevisions>false</trackRevisions>
    </reviewItem>
    <reviewItem>
      <errorID>477bf918-ae54-4b90-bbf9-190d66ecd7c5</errorID>
      <errorWord>)</errorWord>
      <group>L1_Format</group>
      <groupName>格式问题</groupName>
      <ability>L2_HalfPunc</ability>
      <abilityName>全半角检查</abilityName>
      <candidateList>
        <item>）</item>
      </candidateList>
      <explain>文本全半角错误。</explain>
      <paraID>393E958A</paraID>
      <start>62</start>
      <end>63</end>
      <status>unmodified</status>
      <modifiedWord/>
      <trackRevisions>false</trackRevisions>
    </reviewItem>
    <reviewItem>
      <errorID>33daaa75-c1e9-4c53-a672-1401ed092f34</errorID>
      <errorWord>(</errorWord>
      <group>L1_Format</group>
      <groupName>格式问题</groupName>
      <ability>L2_HalfPunc</ability>
      <abilityName>全半角检查</abilityName>
      <candidateList>
        <item>（</item>
      </candidateList>
      <explain>文本全半角错误。</explain>
      <paraID>393E958A</paraID>
      <start>101</start>
      <end>102</end>
      <status>unmodified</status>
      <modifiedWord/>
      <trackRevisions>false</trackRevisions>
    </reviewItem>
    <reviewItem>
      <errorID>c3b76d8b-436c-4d3b-bf3d-27e3f9f1f783</errorID>
      <errorWord>)</errorWord>
      <group>L1_Format</group>
      <groupName>格式问题</groupName>
      <ability>L2_HalfPunc</ability>
      <abilityName>全半角检查</abilityName>
      <candidateList>
        <item>）</item>
      </candidateList>
      <explain>文本全半角错误。</explain>
      <paraID>393E958A</paraID>
      <start>116</start>
      <end>117</end>
      <status>unmodified</status>
      <modifiedWord/>
      <trackRevisions>false</trackRevisions>
    </reviewItem>
    <reviewItem>
      <errorID>0bae81a5-b9ad-4240-a9a6-ccdaf9820e0c</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344E1DA6</paraID>
      <start>6</start>
      <end>14</end>
      <status>unmodified</status>
      <modifiedWord/>
      <trackRevisions>false</trackRevisions>
    </reviewItem>
    <reviewItem>
      <errorID>2ba2edaa-2009-4911-9319-32047429604e</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24C744E3</paraID>
      <start>6</start>
      <end>15</end>
      <status>unmodified</status>
      <modifiedWord/>
      <trackRevisions>false</trackRevisions>
    </reviewItem>
    <reviewItem>
      <errorID>f086549b-7cd8-4b5d-9165-c67f378d7d92</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1BA99BFA</paraID>
      <start>6</start>
      <end>16</end>
      <status>unmodified</status>
      <modifiedWord/>
      <trackRevisions>false</trackRevisions>
    </reviewItem>
    <reviewItem>
      <errorID>55fb8fa3-6218-4d99-a2ac-b238dbe6196b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4C206A6D</paraID>
      <start>0</start>
      <end>2</end>
      <status>unmodified</status>
      <modifiedWord/>
      <trackRevisions>false</trackRevisions>
    </reviewItem>
    <reviewItem>
      <errorID>0dfd0543-7e81-47f0-a603-a20f2a9f64a0</errorID>
      <errorWord>，</errorWord>
      <group>L1_Word</group>
      <groupName>字词问题</groupName>
      <ability>L2_Typo</ability>
      <abilityName>字词错误</abilityName>
      <candidateList>
        <item>，使</item>
      </candidateList>
      <explain/>
      <paraID> 305EB32</paraID>
      <start>28</start>
      <end>29</end>
      <status>unmodified</status>
      <modifiedWord/>
      <trackRevisions>false</trackRevisions>
    </reviewItem>
    <reviewItem>
      <errorID>2ff41afa-d368-42ac-ac14-82d92bbfadea</errorID>
      <errorWord>[2020]46号</errorWord>
      <group>L1_Knowledge</group>
      <groupName>知识性问题</groupName>
      <ability>L2_Knowledge</ability>
      <abilityName>其他知识</abilityName>
      <candidateList>
        <item>〔2020〕46号</item>
      </candidateList>
      <explain>发文字号格式错误。</explain>
      <paraID> 97C5045</paraID>
      <start>23</start>
      <end>32</end>
      <status>unmodified</status>
      <modifiedWord/>
      <trackRevisions>false</trackRevisions>
    </reviewItem>
    <reviewItem>
      <errorID>b87e354d-f8f3-4b84-a4c4-c99763a5e6d4</errorID>
      <errorWord>[2021]70号</errorWord>
      <group>L1_Knowledge</group>
      <groupName>知识性问题</groupName>
      <ability>L2_Knowledge</ability>
      <abilityName>其他知识</abilityName>
      <candidateList>
        <item>〔2021〕70号</item>
      </candidateList>
      <explain>发文字号格式错误。</explain>
      <paraID> 97C5045</paraID>
      <start>101</start>
      <end>110</end>
      <status>unmodified</status>
      <modifiedWord/>
      <trackRevisions>false</trackRevisions>
    </reviewItem>
    <reviewItem>
      <errorID>c0afd4a8-9c73-4644-8c7f-3092a856c723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390DA3B1</paraID>
      <start>0</start>
      <end>2</end>
      <status>unmodified</status>
      <modifiedWord/>
      <trackRevisions>false</trackRevisions>
    </reviewItem>
    <reviewItem>
      <errorID>967ecaea-bab4-4d00-a977-634da82216b6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5E2F5C8B</paraID>
      <start>0</start>
      <end>2</end>
      <status>unmodified</status>
      <modifiedWord/>
      <trackRevisions>false</trackRevisions>
    </reviewItem>
    <reviewItem>
      <errorID>005b8f6a-07c8-467a-8557-ba21d4d2670e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8D4F83B</paraID>
      <start>0</start>
      <end>2</end>
      <status>unmodified</status>
      <modifiedWord/>
      <trackRevisions>false</trackRevisions>
    </reviewItem>
    <reviewItem>
      <errorID>af663d7b-4b2c-46e8-a343-fcccef199a4d</errorID>
      <errorWord>操作合</errorWord>
      <group>L1_Word</group>
      <groupName>字词问题</groupName>
      <ability>L2_Typo</ability>
      <abilityName>字词错误</abilityName>
      <candidateList>
        <item>操作台</item>
      </candidateList>
      <explain/>
      <paraID>35D5F64D</paraID>
      <start>10</start>
      <end>13</end>
      <status>unmodified</status>
      <modifiedWord/>
      <trackRevisions>false</trackRevisions>
    </reviewItem>
    <reviewItem>
      <errorID>d4a12ee4-593f-43b8-94e1-22ff08b82f02</errorID>
      <errorWord>间</errorWord>
      <group>L1_Word</group>
      <groupName>字词问题</groupName>
      <ability>L2_Typo</ability>
      <abilityName>字词错误</abilityName>
      <candidateList>
        <item>间之</item>
      </candidateList>
      <explain/>
      <paraID>2E612B4A</paraID>
      <start>11</start>
      <end>12</end>
      <status>unmodified</status>
      <modifiedWord/>
      <trackRevisions>false</trackRevisions>
    </reviewItem>
    <reviewItem>
      <errorID>129cc13f-5a53-49c1-9549-3e8c6c7155be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769DAC51</paraID>
      <start>0</start>
      <end>2</end>
      <status>unmodified</status>
      <modifiedWord/>
      <trackRevisions>false</trackRevisions>
    </reviewItem>
    <reviewItem>
      <errorID>aa3231a6-9526-4120-afd5-1dfc73f8a3f4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2181B147</paraID>
      <start>0</start>
      <end>2</end>
      <status>unmodified</status>
      <modifiedWord/>
      <trackRevisions>false</trackRevisions>
    </reviewItem>
    <reviewItem>
      <errorID>747ed30d-f9cf-41e8-83d3-6fc028fb0376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6C44D2D2</paraID>
      <start>0</start>
      <end>2</end>
      <status>unmodified</status>
      <modifiedWord/>
      <trackRevisions>false</trackRevisions>
    </reviewItem>
    <reviewItem>
      <errorID>514fcca9-4e11-44d5-999e-156066b72100</errorID>
      <errorWord>会</errorWord>
      <group>L1_Word</group>
      <groupName>字词问题</groupName>
      <ability>L2_Typo</ability>
      <abilityName>字词错误</abilityName>
      <candidateList>
        <item>会在</item>
      </candidateList>
      <explain/>
      <paraID>2DB4D9FF</paraID>
      <start>48</start>
      <end>49</end>
      <status>unmodified</status>
      <modifiedWord/>
      <trackRevisions>false</trackRevisions>
    </reviewItem>
    <reviewItem>
      <errorID>f7288791-16dd-407a-b876-e9f82798bf1f</errorID>
      <errorWord>年</errorWord>
      <group>L1_Word</group>
      <groupName>字词问题</groupName>
      <ability>L2_Typo</ability>
      <abilityName>字词错误</abilityName>
      <candidateList>
        <item>年第</item>
      </candidateList>
      <explain/>
      <paraID> 578C5AE</paraID>
      <start>69</start>
      <end>70</end>
      <status>unmodified</status>
      <modifiedWord/>
      <trackRevisions>false</trackRevisions>
    </reviewItem>
    <reviewItem>
      <errorID>cb8412fc-28bf-4996-836c-23558ebd6e34</errorID>
      <errorWord>，</errorWord>
      <group>L1_Word</group>
      <groupName>字词问题</groupName>
      <ability>L2_Typo</ability>
      <abilityName>字词错误</abilityName>
      <candidateList>
        <item>，并</item>
      </candidateList>
      <explain/>
      <paraID>662F2628</paraID>
      <start>61</start>
      <end>62</end>
      <status>unmodified</status>
      <modifiedWord/>
      <trackRevisions>false</trackRevisions>
    </reviewItem>
    <reviewItem>
      <errorID>b649952c-b39d-4ffb-a6ba-9cadb4600c4f</errorID>
      <errorWord>[2016]42号</errorWord>
      <group>L1_Knowledge</group>
      <groupName>知识性问题</groupName>
      <ability>L2_Knowledge</ability>
      <abilityName>其他知识</abilityName>
      <candidateList>
        <item>〔2016〕42号</item>
      </candidateList>
      <explain>发文字号格式错误。</explain>
      <paraID>1154FB63</paraID>
      <start>31</start>
      <end>40</end>
      <status>unmodified</status>
      <modifiedWord/>
      <trackRevisions>false</trackRevisions>
    </reviewItem>
    <reviewItem>
      <errorID>9006d6b2-f65b-466b-9b5d-d9a276c81e59</errorID>
      <errorWord>[2016]42号</errorWord>
      <group>L1_Knowledge</group>
      <groupName>知识性问题</groupName>
      <ability>L2_Knowledge</ability>
      <abilityName>其他知识</abilityName>
      <candidateList>
        <item>〔2016〕42号</item>
      </candidateList>
      <explain>发文字号格式错误。</explain>
      <paraID>6A55763E</paraID>
      <start>31</start>
      <end>40</end>
      <status>unmodified</status>
      <modifiedWord/>
      <trackRevisions>false</trackRevisions>
    </reviewItem>
    <reviewItem>
      <errorID>2d1eac4b-29fc-4bb7-8d2d-9a4909a24d69</errorID>
      <errorWord>[2016]42号</errorWord>
      <group>L1_Knowledge</group>
      <groupName>知识性问题</groupName>
      <ability>L2_Knowledge</ability>
      <abilityName>其他知识</abilityName>
      <candidateList>
        <item>〔2016〕42号</item>
      </candidateList>
      <explain>发文字号格式错误。</explain>
      <paraID>28FE6AC0</paraID>
      <start>31</start>
      <end>40</end>
      <status>unmodified</status>
      <modifiedWord/>
      <trackRevisions>false</trackRevisions>
    </reviewItem>
    <reviewItem>
      <errorID>bd058a86-7232-4963-af07-a6cf68432128</errorID>
      <errorWord>法律、法规</errorWord>
      <group>L1_Word</group>
      <groupName>字词问题</groupName>
      <ability>L2_Typo</ability>
      <abilityName>字词错误</abilityName>
      <candidateList>
        <item>法律法规</item>
      </candidateList>
      <explain/>
      <paraID>25A64DB1</paraID>
      <start>7</start>
      <end>12</end>
      <status>unmodified</status>
      <modifiedWord/>
      <trackRevisions>false</trackRevisions>
    </reviewItem>
    <reviewItem>
      <errorID>8a58cd87-52b4-4193-b64a-52d31bdc3479</errorID>
      <errorWord>，</errorWord>
      <group>L1_Word</group>
      <groupName>字词问题</groupName>
      <ability>L2_Typo</ability>
      <abilityName>字词错误</abilityName>
      <candidateList>
        <item>，在</item>
      </candidateList>
      <explain/>
      <paraID> D1CF113</paraID>
      <start>61</start>
      <end>62</end>
      <status>unmodified</status>
      <modifiedWord/>
      <trackRevisions>false</trackRevisions>
    </reviewItem>
    <reviewItem>
      <errorID>b7e031c3-83d4-43da-b6ac-b614761f8790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39F081FB</paraID>
      <start>0</start>
      <end>2</end>
      <status>unmodified</status>
      <modifiedWord/>
      <trackRevisions>false</trackRevisions>
    </reviewItem>
    <reviewItem>
      <errorID>d232bba5-438e-4ebd-bcb4-d209bbb66379</errorID>
      <errorWord>报由</errorWord>
      <group>L1_Word</group>
      <groupName>字词问题</groupName>
      <ability>L2_Typo</ability>
      <abilityName>字词错误</abilityName>
      <candidateList>
        <item>报</item>
      </candidateList>
      <explain/>
      <paraID>3E5A9CD1</paraID>
      <start>39</start>
      <end>41</end>
      <status>unmodified</status>
      <modifiedWord/>
      <trackRevisions>false</trackRevisions>
    </reviewItem>
    <reviewItem>
      <errorID>c4d3eb63-9433-4c99-86ce-5dc08ee76f15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3FF699F8</paraID>
      <start>0</start>
      <end>2</end>
      <status>unmodified</status>
      <modifiedWord/>
      <trackRevisions>false</trackRevisions>
    </reviewItem>
    <reviewItem>
      <errorID>ebf16901-2ad4-4428-a748-500de67b6d0c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2BBDC6A</paraID>
      <start>0</start>
      <end>2</end>
      <status>unmodified</status>
      <modifiedWord/>
      <trackRevisions>false</trackRevisions>
    </reviewItem>
    <reviewItem>
      <errorID>cada0870-727b-46d3-a58e-28165ba405fd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18164CE3</paraID>
      <start>0</start>
      <end>3</end>
      <status>unmodified</status>
      <modifiedWord/>
      <trackRevisions>false</trackRevisions>
    </reviewItem>
    <reviewItem>
      <errorID>4d61fc18-6817-422b-a74b-580271edc03b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7AF40562</paraID>
      <start>24</start>
      <end>27</end>
      <status>unmodified</status>
      <modifiedWord/>
      <trackRevisions>false</trackRevisions>
    </reviewItem>
    <reviewItem>
      <errorID>eb42dc03-dc27-461f-a2ba-fd49d8658e5f</errorID>
      <errorWord>解释权属采购</errorWord>
      <group>L1_Word</group>
      <groupName>字词问题</groupName>
      <ability>L2_Typo</ability>
      <abilityName>字词错误</abilityName>
      <candidateList>
        <item>解释权属于采购</item>
      </candidateList>
      <explain/>
      <paraID> 8C470B6</paraID>
      <start>36</start>
      <end>42</end>
      <status>unmodified</status>
      <modifiedWord/>
      <trackRevisions>false</trackRevisions>
    </reviewItem>
    <reviewItem>
      <errorID>37cded7a-4308-4393-b55b-95a3955b4a7d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3565D8AF</paraID>
      <start>27</start>
      <end>28</end>
      <status>unmodified</status>
      <modifiedWord/>
      <trackRevisions>false</trackRevisions>
    </reviewItem>
    <reviewItem>
      <errorID>9a8941bd-89f1-4cbf-9f62-5cf25b46a077</errorID>
      <errorWord>、有</errorWord>
      <group>L1_Word</group>
      <groupName>字词问题</groupName>
      <ability>L2_Typo</ability>
      <abilityName>字词错误</abilityName>
      <candidateList>
        <item>、</item>
      </candidateList>
      <explain/>
      <paraID>3F4C5DF4</paraID>
      <start>35</start>
      <end>37</end>
      <status>unmodified</status>
      <modifiedWord/>
      <trackRevisions>false</trackRevisions>
    </reviewItem>
    <reviewItem>
      <errorID>3eae9f13-4630-483e-9155-5d470b493aa9</errorID>
      <errorWord>仅是</errorWord>
      <group>L1_Word</group>
      <groupName>字词问题</groupName>
      <ability>L2_Typo</ability>
      <abilityName>字词错误</abilityName>
      <candidateList>
        <item>仅</item>
      </candidateList>
      <explain/>
      <paraID>312764C7</paraID>
      <start>16</start>
      <end>18</end>
      <status>unmodified</status>
      <modifiedWord/>
      <trackRevisions>false</trackRevisions>
    </reviewItem>
    <reviewItem>
      <errorID>8754d61d-424a-44e8-afea-7038bd86f0cb</errorID>
      <errorWord>，</errorWord>
      <group>L1_Word</group>
      <groupName>字词问题</groupName>
      <ability>L2_Typo</ability>
      <abilityName>字词错误</abilityName>
      <candidateList>
        <item>，具</item>
      </candidateList>
      <explain/>
      <paraID> 8B28D98</paraID>
      <start>52</start>
      <end>53</end>
      <status>unmodified</status>
      <modifiedWord/>
      <trackRevisions>false</trackRevisions>
    </reviewItem>
    <reviewItem>
      <errorID>0a3d3931-a35e-4252-8a76-5fcc57e52715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76DAC1B5</paraID>
      <start>27</start>
      <end>28</end>
      <status>unmodified</status>
      <modifiedWord/>
      <trackRevisions>false</trackRevisions>
    </reviewItem>
    <reviewItem>
      <errorID>3ce9ae79-82bf-48f8-b9a5-3369194d75dd</errorID>
      <errorWord>、有</errorWord>
      <group>L1_Word</group>
      <groupName>字词问题</groupName>
      <ability>L2_Typo</ability>
      <abilityName>字词错误</abilityName>
      <candidateList>
        <item>、</item>
      </candidateList>
      <explain/>
      <paraID>40095E06</paraID>
      <start>35</start>
      <end>37</end>
      <status>unmodified</status>
      <modifiedWord/>
      <trackRevisions>false</trackRevisions>
    </reviewItem>
    <reviewItem>
      <errorID>e88c15ab-309e-494e-9771-75d030985952</errorID>
      <errorWord>(</errorWord>
      <group>L1_Format</group>
      <groupName>格式问题</groupName>
      <ability>L2_HalfPunc</ability>
      <abilityName>全半角检查</abilityName>
      <candidateList>
        <item>（</item>
      </candidateList>
      <explain>文本全半角错误。</explain>
      <paraID>62C51B34</paraID>
      <start>42</start>
      <end>43</end>
      <status>unmodified</status>
      <modifiedWord/>
      <trackRevisions>false</trackRevisions>
    </reviewItem>
    <reviewItem>
      <errorID>139384e0-e3ea-43d8-9001-19fd360cb776</errorID>
      <errorWord>)</errorWord>
      <group>L1_Format</group>
      <groupName>格式问题</groupName>
      <ability>L2_HalfPunc</ability>
      <abilityName>全半角检查</abilityName>
      <candidateList>
        <item>）</item>
      </candidateList>
      <explain>文本全半角错误。</explain>
      <paraID>62C51B34</paraID>
      <start>59</start>
      <end>60</end>
      <status>unmodified</status>
      <modifiedWord/>
      <trackRevisions>false</trackRevisions>
    </reviewItem>
    <reviewItem>
      <errorID>b1acabcb-1e97-41eb-a3b7-07b7a240cbc8</errorID>
      <errorWord>其它</errorWord>
      <group>L1_Word</group>
      <groupName>字词问题</groupName>
      <ability>L2_Alias</ability>
      <abilityName>也作/曾用词</abilityName>
      <candidateList>
        <item>其他</item>
      </candidateList>
      <explain>词汇[其它]为不规范表述或旧称，其规范书面表述为[其他]。</explain>
      <paraID>62C51B34</paraID>
      <start>128</start>
      <end>130</end>
      <status>unmodified</status>
      <modifiedWord/>
      <trackRevisions>false</trackRevisions>
    </reviewItem>
    <reviewItem>
      <errorID>176b5164-6286-479d-ba20-2ff93e2dda4c</errorID>
      <errorWord>至少有两项及以上</errorWord>
      <group>L1_Grammar</group>
      <groupName>语法问题</groupName>
      <ability>L2_Grammar</ability>
      <abilityName>语法错误</abilityName>
      <candidateList>
        <item>至少有两项及</item>
      </candidateList>
      <explain>该表达中的“至少有两项及以上”存在语义重复。</explain>
      <paraID>62C51B34</paraID>
      <start>143</start>
      <end>151</end>
      <status>unmodified</status>
      <modifiedWord/>
      <trackRevisions>false</trackRevisions>
    </reviewItem>
    <reviewItem>
      <errorID>cc1bbf53-a85a-4610-a52f-de43e9089703</errorID>
      <errorWord>:</errorWord>
      <group>L1_Format</group>
      <groupName>格式问题</groupName>
      <ability>L2_HalfPunc</ability>
      <abilityName>全半角检查</abilityName>
      <candidateList>
        <item>：</item>
      </candidateList>
      <explain>文本全半角错误。</explain>
      <paraID> 3D51F78</paraID>
      <start>13</start>
      <end>14</end>
      <status>unmodified</status>
      <modifiedWord/>
      <trackRevisions>false</trackRevisions>
    </reviewItem>
    <reviewItem>
      <errorID>e7ee1314-6867-414a-bde2-34d41cb6e91d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270301AC</paraID>
      <start>13</start>
      <end>16</end>
      <status>unmodified</status>
      <modifiedWord/>
      <trackRevisions>false</trackRevisions>
    </reviewItem>
    <reviewItem>
      <errorID>6547958a-cc8b-47b3-b5c8-c55d085bf89a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5B9C1E03</paraID>
      <start>20</start>
      <end>23</end>
      <status>unmodified</status>
      <modifiedWord/>
      <trackRevisions>false</trackRevisions>
    </reviewItem>
    <reviewItem>
      <errorID>4f5112f7-a9cb-45ab-a9c6-6db5adfbea0b</errorID>
      <errorWord>-</errorWord>
      <group>L1_Format</group>
      <groupName>格式问题</groupName>
      <ability>L2_HalfPunc</ability>
      <abilityName>全半角检查</abilityName>
      <candidateList>
        <item>－</item>
      </candidateList>
      <explain>文本全半角错误。</explain>
      <paraID>74727A55</paraID>
      <start>20</start>
      <end>21</end>
      <status>unmodified</status>
      <modifiedWord/>
      <trackRevisions>false</trackRevisions>
    </reviewItem>
    <reviewItem>
      <errorID>4b67837a-2ac7-43a9-846b-7398de739e65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5DB17AC2</paraID>
      <start>24</start>
      <end>25</end>
      <status>unmodified</status>
      <modifiedWord/>
      <trackRevisions>false</trackRevisions>
    </reviewItem>
    <reviewItem>
      <errorID>dceeeab6-0aa3-49d4-be0e-46356ed334c1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5DB17AC2</paraID>
      <start>63</start>
      <end>64</end>
      <status>unmodified</status>
      <modifiedWord/>
      <trackRevisions>false</trackRevisions>
    </reviewItem>
    <reviewItem>
      <errorID>46840c8f-b14f-4921-aa32-6cb32b44538f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5DB17AC2</paraID>
      <start>103</start>
      <end>104</end>
      <status>unmodified</status>
      <modifiedWord/>
      <trackRevisions>false</trackRevisions>
    </reviewItem>
    <reviewItem>
      <errorID>154537b8-17a8-4bbe-b84a-57830c896944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1D0CA515</paraID>
      <start>52</start>
      <end>53</end>
      <status>unmodified</status>
      <modifiedWord/>
      <trackRevisions>false</trackRevisions>
    </reviewItem>
    <reviewItem>
      <errorID>96d3e7b9-64d3-4769-a90b-413c69b86188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1D0CA515</paraID>
      <start>94</start>
      <end>97</end>
      <status>unmodified</status>
      <modifiedWord/>
      <trackRevisions>false</trackRevisions>
    </reviewItem>
    <reviewItem>
      <errorID>7767f47e-0d5c-403c-87ca-37cac932d4c8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1D0CA515</paraID>
      <start>102</start>
      <end>105</end>
      <status>unmodified</status>
      <modifiedWord/>
      <trackRevisions>false</trackRevisions>
    </reviewItem>
    <reviewItem>
      <errorID>70d884ed-228e-4bd4-9de4-091f05524e04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1D0CA515</paraID>
      <start>136</start>
      <end>139</end>
      <status>unmodified</status>
      <modifiedWord/>
      <trackRevisions>false</trackRevisions>
    </reviewItem>
    <reviewItem>
      <errorID>326b957d-4284-4fa5-8a15-d2d5d8232d9c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1D0CA515</paraID>
      <start>144</start>
      <end>147</end>
      <status>unmodified</status>
      <modifiedWord/>
      <trackRevisions>false</trackRevisions>
    </reviewItem>
    <reviewItem>
      <errorID>a703385c-084a-4261-9087-7c556763c46b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1D0CA515</paraID>
      <start>148</start>
      <end>149</end>
      <status>unmodified</status>
      <modifiedWord/>
      <trackRevisions>false</trackRevisions>
    </reviewItem>
    <reviewItem>
      <errorID>98f5cac3-21ff-45e6-9ee4-ee96108587e1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1D0CA515</paraID>
      <start>153</start>
      <end>156</end>
      <status>unmodified</status>
      <modifiedWord/>
      <trackRevisions>false</trackRevisions>
    </reviewItem>
    <reviewItem>
      <errorID>c303762b-83c6-4e90-a202-cdbb561e8f2f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72FF1BF</paraID>
      <start>13</start>
      <end>16</end>
      <status>unmodified</status>
      <modifiedWord/>
      <trackRevisions>false</trackRevisions>
    </reviewItem>
    <reviewItem>
      <errorID>04ca374a-f6ab-4878-85fd-691b85a5aeae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23F444B7</paraID>
      <start>38</start>
      <end>41</end>
      <status>unmodified</status>
      <modifiedWord/>
      <trackRevisions>false</trackRevisions>
    </reviewItem>
    <reviewItem>
      <errorID>5b84ff96-325c-417b-a704-7e3f1a0ff290</errorID>
      <errorWord>)</errorWord>
      <group>L1_Format</group>
      <groupName>格式问题</groupName>
      <ability>L2_HalfPunc</ability>
      <abilityName>全半角检查</abilityName>
      <candidateList>
        <item>）</item>
      </candidateList>
      <explain>文本全半角错误。</explain>
      <paraID>6DF0F0DC</paraID>
      <start>9</start>
      <end>10</end>
      <status>unmodified</status>
      <modifiedWord/>
      <trackRevisions>false</trackRevisions>
    </reviewItem>
    <reviewItem>
      <errorID>b39a2dbe-1886-4967-8f88-00e82c9c2972</errorID>
      <errorWord>:</errorWord>
      <group>L1_Format</group>
      <groupName>格式问题</groupName>
      <ability>L2_HalfPunc</ability>
      <abilityName>全半角检查</abilityName>
      <candidateList>
        <item>：</item>
      </candidateList>
      <explain>文本全半角错误。</explain>
      <paraID>6DF0F0DC</paraID>
      <start>13</start>
      <end>14</end>
      <status>unmodified</status>
      <modifiedWord/>
      <trackRevisions>false</trackRevisions>
    </reviewItem>
    <reviewItem>
      <errorID>85173e9c-c227-431e-a813-d9fa7a7a4b66</errorID>
      <errorWord>:</errorWord>
      <group>L1_Format</group>
      <groupName>格式问题</groupName>
      <ability>L2_HalfPunc</ability>
      <abilityName>全半角检查</abilityName>
      <candidateList>
        <item>：</item>
      </candidateList>
      <explain>文本全半角错误。</explain>
      <paraID>6DF0F0DC</paraID>
      <start>52</start>
      <end>53</end>
      <status>unmodified</status>
      <modifiedWord/>
      <trackRevisions>false</trackRevisions>
    </reviewItem>
    <reviewItem>
      <errorID>b757ecab-2eaf-4043-899e-bf019ca2474b</errorID>
      <errorWord>)</errorWord>
      <group>L1_Format</group>
      <groupName>格式问题</groupName>
      <ability>L2_HalfPunc</ability>
      <abilityName>全半角检查</abilityName>
      <candidateList>
        <item>）</item>
      </candidateList>
      <explain>文本全半角错误。</explain>
      <paraID>6DF0F0DC</paraID>
      <start>55</start>
      <end>56</end>
      <status>unmodified</status>
      <modifiedWord/>
      <trackRevisions>false</trackRevisions>
    </reviewItem>
    <reviewItem>
      <errorID>2dc4ccc5-cfae-4fae-9356-3aa242c070fe</errorID>
      <errorWord>:</errorWord>
      <group>L1_Format</group>
      <groupName>格式问题</groupName>
      <ability>L2_HalfPunc</ability>
      <abilityName>全半角检查</abilityName>
      <candidateList>
        <item>：</item>
      </candidateList>
      <explain>文本全半角错误。</explain>
      <paraID>6DF0F0DC</paraID>
      <start>59</start>
      <end>60</end>
      <status>unmodified</status>
      <modifiedWord/>
      <trackRevisions>false</trackRevisions>
    </reviewItem>
    <reviewItem>
      <errorID>01799375-358d-431c-9a2e-21fc04bfbb05</errorID>
      <errorWord>)</errorWord>
      <group>L1_Format</group>
      <groupName>格式问题</groupName>
      <ability>L2_HalfPunc</ability>
      <abilityName>全半角检查</abilityName>
      <candidateList>
        <item>）</item>
      </candidateList>
      <explain>文本全半角错误。</explain>
      <paraID>6DF0F0DC</paraID>
      <start>124</start>
      <end>125</end>
      <status>unmodified</status>
      <modifiedWord/>
      <trackRevisions>false</trackRevisions>
    </reviewItem>
    <reviewItem>
      <errorID>1640f18f-05b0-4908-b405-2962751a4586</errorID>
      <errorWord>人员到</errorWord>
      <group>L1_Word</group>
      <groupName>字词问题</groupName>
      <ability>L2_Typo</ability>
      <abilityName>字词错误</abilityName>
      <candidateList>
        <item>人员</item>
      </candidateList>
      <explain/>
      <paraID>331B9DAB</paraID>
      <start>37</start>
      <end>40</end>
      <status>unmodified</status>
      <modifiedWord/>
      <trackRevisions>false</trackRevisions>
    </reviewItem>
    <reviewItem>
      <errorID>9e031c84-09cf-4d93-9114-022bafe1da0b</errorID>
      <errorWord>其它</errorWord>
      <group>L1_Word</group>
      <groupName>字词问题</groupName>
      <ability>L2_Alias</ability>
      <abilityName>也作/曾用词</abilityName>
      <candidateList>
        <item>其他</item>
      </candidateList>
      <explain>词汇[其它]为不规范表述或旧称，其规范书面表述为[其他]。</explain>
      <paraID>549F1339</paraID>
      <start>172</start>
      <end>174</end>
      <status>unmodified</status>
      <modifiedWord/>
      <trackRevisions>false</trackRevisions>
    </reviewItem>
    <reviewItem>
      <errorID>db7e86fe-47d2-469a-91b1-eafe9c5b52cc</errorID>
      <errorWord>日</errorWord>
      <group>L1_Word</group>
      <groupName>字词问题</groupName>
      <ability>L2_Typo</ability>
      <abilityName>字词错误</abilityName>
      <candidateList>
        <item>日起</item>
      </candidateList>
      <explain/>
      <paraID> AB79F13</paraID>
      <start>41</start>
      <end>42</end>
      <status>unmodified</status>
      <modifiedWord/>
      <trackRevisions>false</trackRevisions>
    </reviewItem>
    <reviewItem>
      <errorID>ad35379a-cbd7-4d13-b698-3b1bdb06753f</errorID>
      <errorWord>(</errorWord>
      <group>L1_Format</group>
      <groupName>格式问题</groupName>
      <ability>L2_HalfPunc</ability>
      <abilityName>全半角检查</abilityName>
      <candidateList>
        <item>（</item>
      </candidateList>
      <explain>文本全半角错误。</explain>
      <paraID> AB79F13</paraID>
      <start>47</start>
      <end>48</end>
      <status>unmodified</status>
      <modifiedWord/>
      <trackRevisions>false</trackRevisions>
    </reviewItem>
    <reviewItem>
      <errorID>42b7aff8-ae42-42c5-8463-438e1a3a7a35</errorID>
      <errorWord>）</errorWord>
      <group>L1_Word</group>
      <groupName>字词问题</groupName>
      <ability>L2_Typo</ability>
      <abilityName>字词错误</abilityName>
      <candidateList>
        <item>）在</item>
      </candidateList>
      <explain/>
      <paraID>1264405C</paraID>
      <start>2</start>
      <end>3</end>
      <status>unmodified</status>
      <modifiedWord/>
      <trackRevisions>false</trackRevisions>
    </reviewItem>
    <reviewItem>
      <errorID>36b5568e-d3a8-42bc-a936-ccaf8d7f98fa</errorID>
      <errorWord>下</errorWord>
      <group>L1_Word</group>
      <groupName>字词问题</groupName>
      <ability>L2_Typo</ability>
      <abilityName>字词错误</abilityName>
      <candidateList>
        <item>下简</item>
      </candidateList>
      <explain/>
      <paraID>3837CF21</paraID>
      <start>8</start>
      <end>9</end>
      <status>unmodified</status>
      <modifiedWord/>
      <trackRevisions>false</trackRevisions>
    </reviewItem>
    <reviewItem>
      <errorID>33d47f3c-88b7-4c07-81b4-af7122a7580d</errorID>
      <errorWord>下</errorWord>
      <group>L1_Word</group>
      <groupName>字词问题</groupName>
      <ability>L2_Typo</ability>
      <abilityName>字词错误</abilityName>
      <candidateList>
        <item>下简</item>
      </candidateList>
      <explain/>
      <paraID>711511AC</paraID>
      <start>8</start>
      <end>9</end>
      <status>unmodified</status>
      <modifiedWord/>
      <trackRevisions>false</trackRevisions>
    </reviewItem>
    <reviewItem>
      <errorID>d5140c9d-3623-441c-ae85-830d771ebe92</errorID>
      <errorWord>其</errorWord>
      <group>L1_Word</group>
      <groupName>字词问题</groupName>
      <ability>L2_Typo</ability>
      <abilityName>字词错误</abilityName>
      <candidateList>
        <item>其他</item>
      </candidateList>
      <explain/>
      <paraID>39A36EA4</paraID>
      <start>57</start>
      <end>58</end>
      <status>unmodified</status>
      <modifiedWord/>
      <trackRevisions>false</trackRevisions>
    </reviewItem>
    <reviewItem>
      <errorID>281b1038-c57a-4d45-ae47-f54683af0b08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15546FA4</paraID>
      <start>40</start>
      <end>43</end>
      <status>unmodified</status>
      <modifiedWord/>
      <trackRevisions>false</trackRevisions>
    </reviewItem>
    <reviewItem>
      <errorID>8dd094b5-6f61-406e-96bd-0c8f1b357481</errorID>
      <errorWord>应</errorWord>
      <group>L1_Word</group>
      <groupName>字词问题</groupName>
      <ability>L2_Typo</ability>
      <abilityName>字词错误</abilityName>
      <candidateList>
        <item>应当</item>
      </candidateList>
      <explain/>
      <paraID> BD440AA</paraID>
      <start>34</start>
      <end>35</end>
      <status>unmodified</status>
      <modifiedWord/>
      <trackRevisions>false</trackRevisions>
    </reviewItem>
    <reviewItem>
      <errorID>8c339327-23ce-4887-b73b-0349f1fd34fb</errorID>
      <errorWord>作</errorWord>
      <group>L1_Word</group>
      <groupName>字词问题</groupName>
      <ability>L2_Typo</ability>
      <abilityName>字词错误</abilityName>
      <candidateList>
        <item>做</item>
      </candidateList>
      <explain>存在发音相同字词的误用。</explain>
      <paraID>550A494F</paraID>
      <start>4</start>
      <end>5</end>
      <status>unmodified</status>
      <modifiedWord/>
      <trackRevisions>false</trackRevisions>
    </reviewItem>
    <reviewItem>
      <errorID>d962db30-328d-4e49-ad08-e414160ff877</errorID>
      <errorWord>计</errorWord>
      <group>L1_Word</group>
      <groupName>字词问题</groupName>
      <ability>L2_Typo</ability>
      <abilityName>字词错误</abilityName>
      <candidateList>
        <item>计算</item>
      </candidateList>
      <explain/>
      <paraID>245CC9F0</paraID>
      <start>62</start>
      <end>63</end>
      <status>unmodified</status>
      <modifiedWord/>
      <trackRevisions>false</trackRevisions>
    </reviewItem>
    <reviewItem>
      <errorID>8aef3aac-a151-4732-9417-6e5d7664fa69</errorID>
      <errorWord>其它</errorWord>
      <group>L1_Word</group>
      <groupName>字词问题</groupName>
      <ability>L2_Alias</ability>
      <abilityName>也作/曾用词</abilityName>
      <candidateList>
        <item>其他</item>
      </candidateList>
      <explain>词汇[其它]为不规范表述或旧称，其规范书面表述为[其他]。</explain>
      <paraID>  46638C</paraID>
      <start>30</start>
      <end>32</end>
      <status>unmodified</status>
      <modifiedWord/>
      <trackRevisions>false</trackRevisions>
    </reviewItem>
    <reviewItem>
      <errorID>7341aee6-4c53-4ad3-ae04-4e704e8c615e</errorID>
      <errorWord>其它</errorWord>
      <group>L1_Word</group>
      <groupName>字词问题</groupName>
      <ability>L2_Alias</ability>
      <abilityName>也作/曾用词</abilityName>
      <candidateList>
        <item>其他</item>
      </candidateList>
      <explain>词汇[其它]为不规范表述或旧称，其规范书面表述为[其他]。</explain>
      <paraID>42CABC9D</paraID>
      <start>2</start>
      <end>4</end>
      <status>unmodified</status>
      <modifiedWord/>
      <trackRevisions>false</trackRevisions>
    </reviewItem>
    <reviewItem>
      <errorID>4c9ff5db-8468-41d6-8dc7-e37c7d478f8b</errorID>
      <errorWord>到货（安装、调试完</errorWord>
      <group>L1_Word</group>
      <groupName>字词问题</groupName>
      <ability>L2_Typo</ability>
      <abilityName>字词错误</abilityName>
      <candidateList>
        <item>到货（安装、调试完成</item>
      </candidateList>
      <explain/>
      <paraID>2B33805A</paraID>
      <start>92</start>
      <end>101</end>
      <status>unmodified</status>
      <modifiedWord/>
      <trackRevisions>false</trackRevisions>
    </reviewItem>
    <reviewItem>
      <errorID>da9e4a7e-e7ec-4f30-a98c-f6e7f52f116a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744D4EDE</paraID>
      <start>0</start>
      <end>2</end>
      <status>unmodified</status>
      <modifiedWord/>
      <trackRevisions>false</trackRevisions>
    </reviewItem>
    <reviewItem>
      <errorID>24f9cb9c-5ce9-4143-b5bf-6981bbf9d130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684E8539</paraID>
      <start>0</start>
      <end>2</end>
      <status>unmodified</status>
      <modifiedWord/>
      <trackRevisions>false</trackRevisions>
    </reviewItem>
    <reviewItem>
      <errorID>47a7261b-458b-43ee-8948-d0999bca712a</errorID>
      <errorWord>(</errorWord>
      <group>L1_Format</group>
      <groupName>格式问题</groupName>
      <ability>L2_HalfPunc</ability>
      <abilityName>全半角检查</abilityName>
      <candidateList>
        <item>（</item>
      </candidateList>
      <explain>文本全半角错误。</explain>
      <paraID> D4407DF</paraID>
      <start>11</start>
      <end>12</end>
      <status>unmodified</status>
      <modifiedWord/>
      <trackRevisions>false</trackRevisions>
    </reviewItem>
    <reviewItem>
      <errorID>474a0415-6454-4413-ab9d-d94c710c623e</errorID>
      <errorWord>)</errorWord>
      <group>L1_Format</group>
      <groupName>格式问题</groupName>
      <ability>L2_HalfPunc</ability>
      <abilityName>全半角检查</abilityName>
      <candidateList>
        <item>）</item>
      </candidateList>
      <explain>文本全半角错误。</explain>
      <paraID> D4407DF</paraID>
      <start>14</start>
      <end>15</end>
      <status>unmodified</status>
      <modifiedWord/>
      <trackRevisions>false</trackRevisions>
    </reviewItem>
    <reviewItem>
      <errorID>a30a06d2-0476-4d61-afdc-ed9ffb041a57</errorID>
      <errorWord>《政府采购法》</errorWord>
      <group>L1_Word</group>
      <groupName>字词问题</groupName>
      <ability>L2_Typo</ability>
      <abilityName>字词错误</abilityName>
      <candidateList>
        <item>《中华人民共和国政府采购法》</item>
      </candidateList>
      <explain/>
      <paraID> 91A1B8E</paraID>
      <start>111</start>
      <end>118</end>
      <status>unmodified</status>
      <modifiedWord/>
      <trackRevisions>false</trackRevisions>
    </reviewItem>
    <reviewItem>
      <errorID>2e97248f-013b-4a6e-b98b-25875bfd0c4d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28F31080</paraID>
      <start>0</start>
      <end>2</end>
      <status>unmodified</status>
      <modifiedWord/>
      <trackRevisions>false</trackRevisions>
    </reviewItem>
    <reviewItem>
      <errorID>b30205b5-f039-48b8-8108-eeced9760904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5C0B747</paraID>
      <start>0</start>
      <end>2</end>
      <status>unmodified</status>
      <modifiedWord/>
      <trackRevisions>false</trackRevisions>
    </reviewItem>
    <reviewItem>
      <errorID>55508c53-4e07-46d8-9291-555930be01c5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3398F65D</paraID>
      <start>0</start>
      <end>2</end>
      <status>unmodified</status>
      <modifiedWord/>
      <trackRevisions>false</trackRevisions>
    </reviewItem>
    <reviewItem>
      <errorID>de49729b-009b-4af1-847a-d19768f95766</errorID>
      <errorWord>股东大会</errorWord>
      <group>L1_Word</group>
      <groupName>字词问题</groupName>
      <ability>L2_Typo</ability>
      <abilityName>字词错误</abilityName>
      <candidateList>
        <item>股东会</item>
      </candidateList>
      <explain/>
      <paraID> B5333A0</paraID>
      <start>113</start>
      <end>117</end>
      <status>unmodified</status>
      <modifiedWord/>
      <trackRevisions>false</trackRevisions>
    </reviewItem>
    <reviewItem>
      <errorID>a1858a4d-4b59-464b-b996-e864ef6a1f01</errorID>
      <errorWord>(</errorWord>
      <group>L1_Format</group>
      <groupName>格式问题</groupName>
      <ability>L2_HalfPunc</ability>
      <abilityName>全半角检查</abilityName>
      <candidateList>
        <item>（</item>
      </candidateList>
      <explain>文本全半角错误。</explain>
      <paraID>177D9658</paraID>
      <start>5</start>
      <end>6</end>
      <status>unmodified</status>
      <modifiedWord/>
      <trackRevisions>false</trackRevisions>
    </reviewItem>
    <reviewItem>
      <errorID>e09d0c77-3d19-4e72-941f-7c9d185f5d42</errorID>
      <errorWord>)</errorWord>
      <group>L1_Format</group>
      <groupName>格式问题</groupName>
      <ability>L2_HalfPunc</ability>
      <abilityName>全半角检查</abilityName>
      <candidateList>
        <item>）</item>
      </candidateList>
      <explain>文本全半角错误。</explain>
      <paraID>177D9658</paraID>
      <start>10</start>
      <end>11</end>
      <status>unmodified</status>
      <modifiedWord/>
      <trackRevisions>false</trackRevisions>
    </reviewItem>
    <reviewItem>
      <errorID>3e4378cc-e17e-46a0-98bb-c76b240eb342</errorID>
      <errorWord>(</errorWord>
      <group>L1_Format</group>
      <groupName>格式问题</groupName>
      <ability>L2_HalfPunc</ability>
      <abilityName>全半角检查</abilityName>
      <candidateList>
        <item>（</item>
      </candidateList>
      <explain>文本全半角错误。</explain>
      <paraID>6863BE8D</paraID>
      <start>5</start>
      <end>6</end>
      <status>unmodified</status>
      <modifiedWord/>
      <trackRevisions>false</trackRevisions>
    </reviewItem>
    <reviewItem>
      <errorID>19a4bee0-0dcd-4252-bd4c-74efdff5d378</errorID>
      <errorWord>)</errorWord>
      <group>L1_Format</group>
      <groupName>格式问题</groupName>
      <ability>L2_HalfPunc</ability>
      <abilityName>全半角检查</abilityName>
      <candidateList>
        <item>）</item>
      </candidateList>
      <explain>文本全半角错误。</explain>
      <paraID>6863BE8D</paraID>
      <start>10</start>
      <end>11</end>
      <status>unmodified</status>
      <modifiedWord/>
      <trackRevisions>false</trackRevisions>
    </reviewItem>
    <reviewItem>
      <errorID>ca2a9f7a-21fd-4bcb-9abe-78c19bda1057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52F24042</paraID>
      <start>0</start>
      <end>2</end>
      <status>unmodified</status>
      <modifiedWord/>
      <trackRevisions>false</trackRevisions>
    </reviewItem>
    <reviewItem>
      <errorID>7fc77353-d52a-402c-8cb8-a8220af68584</errorID>
      <errorWord>应当要</errorWord>
      <group>L1_Word</group>
      <groupName>字词问题</groupName>
      <ability>L2_Typo</ability>
      <abilityName>字词错误</abilityName>
      <candidateList>
        <item>应当</item>
      </candidateList>
      <explain/>
      <paraID>52F24042</paraID>
      <start>7</start>
      <end>10</end>
      <status>unmodified</status>
      <modifiedWord/>
      <trackRevisions>false</trackRevisions>
    </reviewItem>
    <reviewItem>
      <errorID>ce75063a-cbdf-4b51-8123-a40df14a7b26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3180151E</paraID>
      <start>0</start>
      <end>2</end>
      <status>unmodified</status>
      <modifiedWord/>
      <trackRevisions>false</trackRevisions>
    </reviewItem>
    <reviewItem>
      <errorID>3baea5f1-4d8d-40e5-9df0-e1b4723d6d8c</errorID>
      <errorWord>“/</errorWord>
      <group>L1_Punc</group>
      <groupName>标点问题</groupName>
      <ability>L2_Punc</ability>
      <abilityName>标点符号检查</abilityName>
      <candidateList>
        <item>“</item>
      </candidateList>
      <explain/>
      <paraID>461E4040</paraID>
      <start>11</start>
      <end>13</end>
      <status>unmodified</status>
      <modifiedWord/>
      <trackRevisions>false</trackRevisions>
    </reviewItem>
    <reviewItem>
      <errorID>9c7c403b-4f36-4a69-b919-5f3e32ff8534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780BB923</paraID>
      <start>1</start>
      <end>3</end>
      <status>unmodified</status>
      <modifiedWord/>
      <trackRevisions>false</trackRevisions>
    </reviewItem>
    <reviewItem>
      <errorID>cf5da3ac-b802-4117-8e83-97a1b315c36e</errorID>
      <errorWord>(</errorWord>
      <group>L1_Format</group>
      <groupName>格式问题</groupName>
      <ability>L2_HalfPunc</ability>
      <abilityName>全半角检查</abilityName>
      <candidateList>
        <item>（</item>
      </candidateList>
      <explain>文本全半角错误。</explain>
      <paraID>3731BB6B</paraID>
      <start>5</start>
      <end>6</end>
      <status>unmodified</status>
      <modifiedWord/>
      <trackRevisions>false</trackRevisions>
    </reviewItem>
    <reviewItem>
      <errorID>ec2624dc-8188-4754-b72e-5d6b9ff270d0</errorID>
      <errorWord>)</errorWord>
      <group>L1_Format</group>
      <groupName>格式问题</groupName>
      <ability>L2_HalfPunc</ability>
      <abilityName>全半角检查</abilityName>
      <candidateList>
        <item>）</item>
      </candidateList>
      <explain>文本全半角错误。</explain>
      <paraID>3731BB6B</paraID>
      <start>10</start>
      <end>11</end>
      <status>unmodified</status>
      <modifiedWord/>
      <trackRevisions>false</trackRevisions>
    </reviewItem>
    <reviewItem>
      <errorID>0a5a7a72-652f-4f70-963c-2d5c7a8719ea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5A94C870</paraID>
      <start>1</start>
      <end>3</end>
      <status>unmodified</status>
      <modifiedWord/>
      <trackRevisions>false</trackRevisions>
    </reviewItem>
    <reviewItem>
      <errorID>796eb878-c7e5-47f6-9897-c553939de2b4</errorID>
      <errorWord>(</errorWord>
      <group>L1_Format</group>
      <groupName>格式问题</groupName>
      <ability>L2_HalfPunc</ability>
      <abilityName>全半角检查</abilityName>
      <candidateList>
        <item>（</item>
      </candidateList>
      <explain>文本全半角错误。</explain>
      <paraID>2CD85D49</paraID>
      <start>5</start>
      <end>6</end>
      <status>unmodified</status>
      <modifiedWord/>
      <trackRevisions>false</trackRevisions>
    </reviewItem>
    <reviewItem>
      <errorID>a9798ea3-0f3b-4db2-879e-e1a45860a84d</errorID>
      <errorWord>)</errorWord>
      <group>L1_Format</group>
      <groupName>格式问题</groupName>
      <ability>L2_HalfPunc</ability>
      <abilityName>全半角检查</abilityName>
      <candidateList>
        <item>）</item>
      </candidateList>
      <explain>文本全半角错误。</explain>
      <paraID>2CD85D49</paraID>
      <start>10</start>
      <end>11</end>
      <status>unmodified</status>
      <modifiedWord/>
      <trackRevisions>false</trackRevisions>
    </reviewItem>
    <reviewItem>
      <errorID>91ead6c6-2ccc-4eda-8e70-23a9a80d3cfc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67BB507</paraID>
      <start>0</start>
      <end>2</end>
      <status>unmodified</status>
      <modifiedWord/>
      <trackRevisions>false</trackRevisions>
    </reviewItem>
    <reviewItem>
      <errorID>3f40953b-5f0a-4dc5-8676-58c5efa45717</errorID>
      <errorWord>(</errorWord>
      <group>L1_Format</group>
      <groupName>格式问题</groupName>
      <ability>L2_HalfPunc</ability>
      <abilityName>全半角检查</abilityName>
      <candidateList>
        <item>（</item>
      </candidateList>
      <explain>文本全半角错误。</explain>
      <paraID> 50BBF06</paraID>
      <start>5</start>
      <end>6</end>
      <status>unmodified</status>
      <modifiedWord/>
      <trackRevisions>false</trackRevisions>
    </reviewItem>
    <reviewItem>
      <errorID>d4780a7a-520c-4b77-b850-c385c25da58c</errorID>
      <errorWord>)</errorWord>
      <group>L1_Format</group>
      <groupName>格式问题</groupName>
      <ability>L2_HalfPunc</ability>
      <abilityName>全半角检查</abilityName>
      <candidateList>
        <item>）</item>
      </candidateList>
      <explain>文本全半角错误。</explain>
      <paraID> 50BBF06</paraID>
      <start>10</start>
      <end>11</end>
      <status>unmodified</status>
      <modifiedWord/>
      <trackRevisions>false</trackRevisions>
    </reviewItem>
    <reviewItem>
      <errorID>eafe5792-ca5e-4f69-80aa-a952b9c09541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1D3F4D96</paraID>
      <start>0</start>
      <end>2</end>
      <status>unmodified</status>
      <modifiedWord/>
      <trackRevisions>false</trackRevisions>
    </reviewItem>
    <reviewItem>
      <errorID>39f17da3-e86e-426d-a5c9-d928dee868a4</errorID>
      <errorWord>(</errorWord>
      <group>L1_Format</group>
      <groupName>格式问题</groupName>
      <ability>L2_HalfPunc</ability>
      <abilityName>全半角检查</abilityName>
      <candidateList>
        <item>（</item>
      </candidateList>
      <explain>文本全半角错误。</explain>
      <paraID>13FB2E94</paraID>
      <start>5</start>
      <end>6</end>
      <status>unmodified</status>
      <modifiedWord/>
      <trackRevisions>false</trackRevisions>
    </reviewItem>
    <reviewItem>
      <errorID>5d6a07bd-5503-4917-a846-3aa40e0859c6</errorID>
      <errorWord>)</errorWord>
      <group>L1_Format</group>
      <groupName>格式问题</groupName>
      <ability>L2_HalfPunc</ability>
      <abilityName>全半角检查</abilityName>
      <candidateList>
        <item>）</item>
      </candidateList>
      <explain>文本全半角错误。</explain>
      <paraID>13FB2E94</paraID>
      <start>10</start>
      <end>11</end>
      <status>unmodified</status>
      <modifiedWord/>
      <trackRevisions>false</trackRevisions>
    </reviewItem>
    <reviewItem>
      <errorID>9683dc5c-fee7-4daf-b335-2d12e58c79a8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697DEC30</paraID>
      <start>0</start>
      <end>2</end>
      <status>unmodified</status>
      <modifiedWord/>
      <trackRevisions>false</trackRevisions>
    </reviewItem>
    <reviewItem>
      <errorID>79aa73a5-b2b4-4ce6-aba8-e5213bcbb88c</errorID>
      <errorWord>(</errorWord>
      <group>L1_Format</group>
      <groupName>格式问题</groupName>
      <ability>L2_HalfPunc</ability>
      <abilityName>全半角检查</abilityName>
      <candidateList>
        <item>（</item>
      </candidateList>
      <explain>文本全半角错误。</explain>
      <paraID>70C7FD8A</paraID>
      <start>5</start>
      <end>6</end>
      <status>unmodified</status>
      <modifiedWord/>
      <trackRevisions>false</trackRevisions>
    </reviewItem>
    <reviewItem>
      <errorID>ec115df6-a21d-4dc3-a711-fded4bd70ea7</errorID>
      <errorWord>)</errorWord>
      <group>L1_Format</group>
      <groupName>格式问题</groupName>
      <ability>L2_HalfPunc</ability>
      <abilityName>全半角检查</abilityName>
      <candidateList>
        <item>）</item>
      </candidateList>
      <explain>文本全半角错误。</explain>
      <paraID>70C7FD8A</paraID>
      <start>10</start>
      <end>11</end>
      <status>unmodified</status>
      <modifiedWord/>
      <trackRevisions>false</trackRevisions>
    </reviewItem>
    <reviewItem>
      <errorID>b5159102-690e-447a-896f-4733210065cc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2382884C</paraID>
      <start>0</start>
      <end>2</end>
      <status>unmodified</status>
      <modifiedWord/>
      <trackRevisions>false</trackRevisions>
    </reviewItem>
    <reviewItem>
      <errorID>537a98c9-3df9-4e0f-a406-99c503161fb9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278C9A45</paraID>
      <start>0</start>
      <end>2</end>
      <status>unmodified</status>
      <modifiedWord/>
      <trackRevisions>false</trackRevisions>
    </reviewItem>
    <reviewItem>
      <errorID>2bb7476c-d4d8-412f-859b-62c655b05338</errorID>
      <errorWord>(</errorWord>
      <group>L1_Format</group>
      <groupName>格式问题</groupName>
      <ability>L2_HalfPunc</ability>
      <abilityName>全半角检查</abilityName>
      <candidateList>
        <item>（</item>
      </candidateList>
      <explain>文本全半角错误。</explain>
      <paraID>6D89399F</paraID>
      <start>5</start>
      <end>6</end>
      <status>unmodified</status>
      <modifiedWord/>
      <trackRevisions>false</trackRevisions>
    </reviewItem>
    <reviewItem>
      <errorID>36dfd10e-5a4a-441c-824a-e176c1ecd9a8</errorID>
      <errorWord>)</errorWord>
      <group>L1_Format</group>
      <groupName>格式问题</groupName>
      <ability>L2_HalfPunc</ability>
      <abilityName>全半角检查</abilityName>
      <candidateList>
        <item>）</item>
      </candidateList>
      <explain>文本全半角错误。</explain>
      <paraID>6D89399F</paraID>
      <start>10</start>
      <end>11</end>
      <status>unmodified</status>
      <modifiedWord/>
      <trackRevisions>false</trackRevisions>
    </reviewItem>
    <reviewItem>
      <errorID>058999ae-e9a2-44c3-a65e-51cdb52c689a</errorID>
      <errorWord>“/</errorWord>
      <group>L1_Punc</group>
      <groupName>标点问题</groupName>
      <ability>L2_Punc</ability>
      <abilityName>标点符号检查</abilityName>
      <candidateList>
        <item>“</item>
      </candidateList>
      <explain/>
      <paraID>3EB91033</paraID>
      <start>34</start>
      <end>36</end>
      <status>unmodified</status>
      <modifiedWord/>
      <trackRevisions>false</trackRevisions>
    </reviewItem>
    <reviewItem>
      <errorID>35ef1c16-a17a-4ddf-9738-038871f6a19c</errorID>
      <errorWord>《民法典》</errorWord>
      <group>L1_Word</group>
      <groupName>字词问题</groupName>
      <ability>L2_Typo</ability>
      <abilityName>字词错误</abilityName>
      <candidateList>
        <item>《中华人民共和国民法典》</item>
      </candidateList>
      <explain/>
      <paraID> BFEDAD5</paraID>
      <start>25</start>
      <end>30</end>
      <status>unmodified</status>
      <modifiedWord/>
      <trackRevisions>false</trackRevisions>
    </reviewItem>
    <reviewItem>
      <errorID>23201274-f387-4bf3-b2f5-896f850c9218</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 BFEDAD5</paraID>
      <start>32</start>
      <end>35</end>
      <status>unmodified</status>
      <modifiedWord/>
      <trackRevisions>false</trackRevisions>
    </reviewItem>
    <reviewItem>
      <errorID>7a8e527b-3bbe-42ac-8466-852ec2dfeb0c</errorID>
      <errorWord>（</errorWord>
      <group>L1_Punc</group>
      <groupName>标点问题</groupName>
      <ability>L2_Punc</ability>
      <abilityName>标点符号检查</abilityName>
      <candidateList/>
      <explain>同一形式括号套用。</explain>
      <paraID>4148D00C</paraID>
      <start>78</start>
      <end>79</end>
      <status>unmodified</status>
      <modifiedWord/>
      <trackRevisions>false</trackRevisions>
    </reviewItem>
    <reviewItem>
      <errorID>fb099c47-bb31-4099-9f11-378c2ca2793f</errorID>
      <errorWord>）</errorWord>
      <group>L1_Punc</group>
      <groupName>标点问题</groupName>
      <ability>L2_Punc</ability>
      <abilityName>标点符号检查</abilityName>
      <candidateList/>
      <explain>同一形式括号套用。</explain>
      <paraID>4148D00C</paraID>
      <start>91</start>
      <end>92</end>
      <status>unmodified</status>
      <modifiedWord/>
      <trackRevisions>false</trackRevisions>
    </reviewItem>
    <reviewItem>
      <errorID>5cfccf8f-43b3-43d9-8246-4be4d87f8d24</errorID>
      <errorWord>(</errorWord>
      <group>L1_Format</group>
      <groupName>格式问题</groupName>
      <ability>L2_HalfPunc</ability>
      <abilityName>全半角检查</abilityName>
      <candidateList>
        <item>（</item>
      </candidateList>
      <explain>文本全半角错误。</explain>
      <paraID>48FA2F1D</paraID>
      <start>50</start>
      <end>51</end>
      <status>unmodified</status>
      <modifiedWord/>
      <trackRevisions>false</trackRevisions>
    </reviewItem>
    <reviewItem>
      <errorID>056deb4c-5bab-4f04-a0a4-92d1fd9ccab0</errorID>
      <errorWord>)</errorWord>
      <group>L1_Format</group>
      <groupName>格式问题</groupName>
      <ability>L2_HalfPunc</ability>
      <abilityName>全半角检查</abilityName>
      <candidateList>
        <item>）</item>
      </candidateList>
      <explain>文本全半角错误。</explain>
      <paraID>48FA2F1D</paraID>
      <start>55</start>
      <end>56</end>
      <status>unmodified</status>
      <modifiedWord/>
      <trackRevisions>false</trackRevisions>
    </reviewItem>
    <reviewItem>
      <errorID>7add51c0-83ce-417f-adb5-461efa59617c</errorID>
      <errorWord>(</errorWord>
      <group>L1_Format</group>
      <groupName>格式问题</groupName>
      <ability>L2_HalfPunc</ability>
      <abilityName>全半角检查</abilityName>
      <candidateList>
        <item>（</item>
      </candidateList>
      <explain>文本全半角错误。</explain>
      <paraID>3FADA916</paraID>
      <start>5</start>
      <end>6</end>
      <status>unmodified</status>
      <modifiedWord/>
      <trackRevisions>false</trackRevisions>
    </reviewItem>
    <reviewItem>
      <errorID>1d538cc5-3d43-4abd-9ed7-07f0375192fe</errorID>
      <errorWord>)</errorWord>
      <group>L1_Format</group>
      <groupName>格式问题</groupName>
      <ability>L2_HalfPunc</ability>
      <abilityName>全半角检查</abilityName>
      <candidateList>
        <item>）</item>
      </candidateList>
      <explain>文本全半角错误。</explain>
      <paraID>3FADA916</paraID>
      <start>10</start>
      <end>11</end>
      <status>unmodified</status>
      <modifiedWord/>
      <trackRevisions>false</trackRevisions>
    </reviewItem>
    <reviewItem>
      <errorID>cb827795-5366-48ab-9422-eadf192494fa</errorID>
      <errorWord>)</errorWord>
      <group>L1_Format</group>
      <groupName>格式问题</groupName>
      <ability>L2_HalfPunc</ability>
      <abilityName>全半角检查</abilityName>
      <candidateList>
        <item>）</item>
      </candidateList>
      <explain>文本全半角错误。</explain>
      <paraID>3789D642</paraID>
      <start>39</start>
      <end>40</end>
      <status>unmodified</status>
      <modifiedWord/>
      <trackRevisions>false</trackRevisions>
    </reviewItem>
    <reviewItem>
      <errorID>e7def9d7-e8d9-4110-98ce-5c2b8e7e360b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26BCF760</paraID>
      <start>0</start>
      <end>2</end>
      <status>unmodified</status>
      <modifiedWord/>
      <trackRevisions>false</trackRevisions>
    </reviewItem>
    <reviewItem>
      <errorID>a5eafae7-9f32-480d-9052-5264ddb7de05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455F7F9E</paraID>
      <start>0</start>
      <end>2</end>
      <status>unmodified</status>
      <modifiedWord/>
      <trackRevisions>false</trackRevisions>
    </reviewItem>
    <reviewItem>
      <errorID>58f59535-e410-4942-8a0d-0cfde5250e11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134FF99E</paraID>
      <start>0</start>
      <end>2</end>
      <status>unmodified</status>
      <modifiedWord/>
      <trackRevisions>false</trackRevisions>
    </reviewItem>
    <reviewItem>
      <errorID>39d2d69a-9471-44a4-9cde-85d01bb987d4</errorID>
      <errorWord>(</errorWord>
      <group>L1_Format</group>
      <groupName>格式问题</groupName>
      <ability>L2_HalfPunc</ability>
      <abilityName>全半角检查</abilityName>
      <candidateList>
        <item>（</item>
      </candidateList>
      <explain>文本全半角错误。</explain>
      <paraID>3FB46B6B</paraID>
      <start>5</start>
      <end>6</end>
      <status>unmodified</status>
      <modifiedWord/>
      <trackRevisions>false</trackRevisions>
    </reviewItem>
    <reviewItem>
      <errorID>e69c5571-b15e-4df0-81da-da1d4d9ca6f1</errorID>
      <errorWord>)</errorWord>
      <group>L1_Format</group>
      <groupName>格式问题</groupName>
      <ability>L2_HalfPunc</ability>
      <abilityName>全半角检查</abilityName>
      <candidateList>
        <item>）</item>
      </candidateList>
      <explain>文本全半角错误。</explain>
      <paraID>3FB46B6B</paraID>
      <start>10</start>
      <end>11</end>
      <status>unmodified</status>
      <modifiedWord/>
      <trackRevisions>false</trackRevisions>
    </reviewItem>
    <reviewItem>
      <errorID>dfa585cb-a7db-4838-a318-8f755c115585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30639472</paraID>
      <start>0</start>
      <end>3</end>
      <status>unmodified</status>
      <modifiedWord/>
      <trackRevisions>false</trackRevisions>
    </reviewItem>
    <reviewItem>
      <errorID>27e75cde-8987-4b47-bcfa-a6b657bc685b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9AB3BAB</paraID>
      <start>0</start>
      <end>2</end>
      <status>unmodified</status>
      <modifiedWord/>
      <trackRevisions>false</trackRevisions>
    </reviewItem>
    <reviewItem>
      <errorID>c0b4c3f0-1e29-4253-920a-b5f3ae3bfbda</errorID>
      <errorWord>(</errorWord>
      <group>L1_Format</group>
      <groupName>格式问题</groupName>
      <ability>L2_HalfPunc</ability>
      <abilityName>全半角检查</abilityName>
      <candidateList>
        <item>（</item>
      </candidateList>
      <explain>文本全半角错误。</explain>
      <paraID>2D4C60C7</paraID>
      <start>5</start>
      <end>6</end>
      <status>unmodified</status>
      <modifiedWord/>
      <trackRevisions>false</trackRevisions>
    </reviewItem>
    <reviewItem>
      <errorID>1f285af2-af36-4b1e-97d4-6aaecfe77e94</errorID>
      <errorWord>)</errorWord>
      <group>L1_Format</group>
      <groupName>格式问题</groupName>
      <ability>L2_HalfPunc</ability>
      <abilityName>全半角检查</abilityName>
      <candidateList>
        <item>）</item>
      </candidateList>
      <explain>文本全半角错误。</explain>
      <paraID>2D4C60C7</paraID>
      <start>10</start>
      <end>11</end>
      <status>unmodified</status>
      <modifiedWord/>
      <trackRevisions>false</trackRevisions>
    </reviewItem>
    <reviewItem>
      <errorID>6d6e992c-1f49-44e7-b015-e00281b7b5fc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4B2DE933</paraID>
      <start>0</start>
      <end>2</end>
      <status>unmodified</status>
      <modifiedWord/>
      <trackRevisions>false</trackRevisions>
    </reviewItem>
    <reviewItem>
      <errorID>76b31959-97be-4a14-946d-d1e343d6e1cb</errorID>
      <errorWord>(</errorWord>
      <group>L1_Format</group>
      <groupName>格式问题</groupName>
      <ability>L2_HalfPunc</ability>
      <abilityName>全半角检查</abilityName>
      <candidateList>
        <item>（</item>
      </candidateList>
      <explain>文本全半角错误。</explain>
      <paraID>68B81E9D</paraID>
      <start>5</start>
      <end>6</end>
      <status>unmodified</status>
      <modifiedWord/>
      <trackRevisions>false</trackRevisions>
    </reviewItem>
    <reviewItem>
      <errorID>6209e005-b180-45bc-8292-90746f884feb</errorID>
      <errorWord>)</errorWord>
      <group>L1_Format</group>
      <groupName>格式问题</groupName>
      <ability>L2_HalfPunc</ability>
      <abilityName>全半角检查</abilityName>
      <candidateList>
        <item>）</item>
      </candidateList>
      <explain>文本全半角错误。</explain>
      <paraID>68B81E9D</paraID>
      <start>10</start>
      <end>11</end>
      <status>unmodified</status>
      <modifiedWord/>
      <trackRevisions>false</trackRevisions>
    </reviewItem>
    <reviewItem>
      <errorID>8ac6ef8e-1175-4e03-a6c7-607a65f9885b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2CD9386E</paraID>
      <start>0</start>
      <end>2</end>
      <status>unmodified</status>
      <modifiedWord/>
      <trackRevisions>false</trackRevisions>
    </reviewItem>
    <reviewItem>
      <errorID>a24fe2cb-c3d9-4ce6-b961-d07669fd2cf9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18A968EE</paraID>
      <start>0</start>
      <end>2</end>
      <status>unmodified</status>
      <modifiedWord/>
      <trackRevisions>false</trackRevisions>
    </reviewItem>
    <reviewItem>
      <errorID>f16f5d75-22fc-495a-9613-6f7acc0cada3</errorID>
      <errorWord>(</errorWord>
      <group>L1_Format</group>
      <groupName>格式问题</groupName>
      <ability>L2_HalfPunc</ability>
      <abilityName>全半角检查</abilityName>
      <candidateList>
        <item>（</item>
      </candidateList>
      <explain>文本全半角错误。</explain>
      <paraID>6B06EF2B</paraID>
      <start>5</start>
      <end>6</end>
      <status>unmodified</status>
      <modifiedWord/>
      <trackRevisions>false</trackRevisions>
    </reviewItem>
    <reviewItem>
      <errorID>628d5cf0-d91c-4e70-8651-0b5108d46f28</errorID>
      <errorWord>)</errorWord>
      <group>L1_Format</group>
      <groupName>格式问题</groupName>
      <ability>L2_HalfPunc</ability>
      <abilityName>全半角检查</abilityName>
      <candidateList>
        <item>）</item>
      </candidateList>
      <explain>文本全半角错误。</explain>
      <paraID>6B06EF2B</paraID>
      <start>10</start>
      <end>11</end>
      <status>unmodified</status>
      <modifiedWord/>
      <trackRevisions>false</trackRevisions>
    </reviewItem>
    <reviewItem>
      <errorID>6303c557-3574-463d-8ad3-4d6cda068912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7C8D80DE</paraID>
      <start>0</start>
      <end>2</end>
      <status>unmodified</status>
      <modifiedWord/>
      <trackRevisions>false</trackRevisions>
    </reviewItem>
    <reviewItem>
      <errorID>283ce899-bd04-4a9a-af12-e1ee5a17b5bb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512DC36E</paraID>
      <start>0</start>
      <end>2</end>
      <status>unmodified</status>
      <modifiedWord/>
      <trackRevisions>false</trackRevisions>
    </reviewItem>
    <reviewItem>
      <errorID>a28b147d-67f1-4614-a319-c51dd1ad6e8e</errorID>
      <errorWord>(</errorWord>
      <group>L1_Format</group>
      <groupName>格式问题</groupName>
      <ability>L2_HalfPunc</ability>
      <abilityName>全半角检查</abilityName>
      <candidateList>
        <item>（</item>
      </candidateList>
      <explain>文本全半角错误。</explain>
      <paraID>38DD4916</paraID>
      <start>5</start>
      <end>6</end>
      <status>unmodified</status>
      <modifiedWord/>
      <trackRevisions>false</trackRevisions>
    </reviewItem>
    <reviewItem>
      <errorID>076c9c30-9f28-4fa1-82ee-57116fc34da1</errorID>
      <errorWord>)</errorWord>
      <group>L1_Format</group>
      <groupName>格式问题</groupName>
      <ability>L2_HalfPunc</ability>
      <abilityName>全半角检查</abilityName>
      <candidateList>
        <item>）</item>
      </candidateList>
      <explain>文本全半角错误。</explain>
      <paraID>38DD4916</paraID>
      <start>10</start>
      <end>11</end>
      <status>unmodified</status>
      <modifiedWord/>
      <trackRevisions>false</trackRevisions>
    </reviewItem>
    <reviewItem>
      <errorID>5069cd39-8aa8-42f8-a4f4-312521471237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37F18774</paraID>
      <start>0</start>
      <end>2</end>
      <status>unmodified</status>
      <modifiedWord/>
      <trackRevisions>false</trackRevisions>
    </reviewItem>
    <reviewItem>
      <errorID>a06c4696-998e-4da0-9160-2721ee86e531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29E2FE05</paraID>
      <start>0</start>
      <end>2</end>
      <status>unmodified</status>
      <modifiedWord/>
      <trackRevisions>false</trackRevisions>
    </reviewItem>
    <reviewItem>
      <errorID>286484b9-aac9-48ec-92ae-2abd1191239a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4EF18001</paraID>
      <start>0</start>
      <end>2</end>
      <status>unmodified</status>
      <modifiedWord/>
      <trackRevisions>false</trackRevisions>
    </reviewItem>
    <reviewItem>
      <errorID>537cb5f2-4c53-4abd-aac1-bbad2b5a04c2</errorID>
      <errorWord>“/</errorWord>
      <group>L1_Punc</group>
      <groupName>标点问题</groupName>
      <ability>L2_Punc</ability>
      <abilityName>标点符号检查</abilityName>
      <candidateList>
        <item>“</item>
      </candidateList>
      <explain/>
      <paraID> 15ECE9C</paraID>
      <start>11</start>
      <end>13</end>
      <status>unmodified</status>
      <modifiedWord/>
      <trackRevisions>false</trackRevisions>
    </reviewItem>
    <reviewItem>
      <errorID>91780908-eff2-402a-b360-234d2d10a72b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73DE9BF6</paraID>
      <start>0</start>
      <end>2</end>
      <status>unmodified</status>
      <modifiedWord/>
      <trackRevisions>false</trackRevisions>
    </reviewItem>
    <reviewItem>
      <errorID>5b44cd9f-a81c-4da6-8841-92fbff8d5e72</errorID>
      <errorWord>法律、法规</errorWord>
      <group>L1_Word</group>
      <groupName>字词问题</groupName>
      <ability>L2_Typo</ability>
      <abilityName>字词错误</abilityName>
      <candidateList>
        <item>法律法规</item>
      </candidateList>
      <explain/>
      <paraID>7DC03009</paraID>
      <start>44</start>
      <end>49</end>
      <status>unmodified</status>
      <modifiedWord/>
      <trackRevisions>false</trackRevisions>
    </reviewItem>
    <reviewItem>
      <errorID>efecbdeb-19f2-44db-96a4-952707242cba</errorID>
      <errorWord>(</errorWord>
      <group>L1_Format</group>
      <groupName>格式问题</groupName>
      <ability>L2_HalfPunc</ability>
      <abilityName>全半角检查</abilityName>
      <candidateList>
        <item>（</item>
      </candidateList>
      <explain>文本全半角错误。</explain>
      <paraID>3F61C779</paraID>
      <start>5</start>
      <end>6</end>
      <status>unmodified</status>
      <modifiedWord/>
      <trackRevisions>false</trackRevisions>
    </reviewItem>
    <reviewItem>
      <errorID>8a0f5ff6-7857-474a-b444-cef57b8fe7f7</errorID>
      <errorWord>)</errorWord>
      <group>L1_Format</group>
      <groupName>格式问题</groupName>
      <ability>L2_HalfPunc</ability>
      <abilityName>全半角检查</abilityName>
      <candidateList>
        <item>）</item>
      </candidateList>
      <explain>文本全半角错误。</explain>
      <paraID>3F61C779</paraID>
      <start>10</start>
      <end>11</end>
      <status>unmodified</status>
      <modifiedWord/>
      <trackRevisions>false</trackRevisions>
    </reviewItem>
    <reviewItem>
      <errorID>658e9b5b-5ca1-4988-8ec5-0b0e64b7005e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14CB22B5</paraID>
      <start>0</start>
      <end>2</end>
      <status>unmodified</status>
      <modifiedWord/>
      <trackRevisions>false</trackRevisions>
    </reviewItem>
    <reviewItem>
      <errorID>b125b981-5109-4f25-b3b1-1fb5036599cc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22BA0C34</paraID>
      <start>0</start>
      <end>2</end>
      <status>unmodified</status>
      <modifiedWord/>
      <trackRevisions>false</trackRevisions>
    </reviewItem>
    <reviewItem>
      <errorID>f0d94072-5e13-4845-b132-8be51092e9df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6E393BEB</paraID>
      <start>0</start>
      <end>2</end>
      <status>unmodified</status>
      <modifiedWord/>
      <trackRevisions>false</trackRevisions>
    </reviewItem>
    <reviewItem>
      <errorID>5d9564c0-0a38-488a-ae0d-a07c93096870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40CC5133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f90a6f-a717-4dc4-a29d-ae4c775c24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173</Pages>
  <Words>14156</Words>
  <Characters>15972</Characters>
  <TotalTime>85</TotalTime>
  <ScaleCrop>false</ScaleCrop>
  <LinksUpToDate>false</LinksUpToDate>
  <CharactersWithSpaces>16139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2021-03-04T03:51:00Z</dcterms:created>
  <dc:creator>微软用户</dc:creator>
  <cp:lastModifiedBy>JDZBzheng</cp:lastModifiedBy>
  <dcterms:modified xsi:type="dcterms:W3CDTF">2026-07-27T08:30:41Z</dcterms:modified>
  <dc:title>桂财采〔2009〕 号</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3A35752ABB9141D5BBE93A2D79CD81CF_13</vt:lpwstr>
  </property>
  <property fmtid="{D5CDD505-2E9C-101B-9397-08002B2CF9AE}" pid="14" name="KSOTemplateDocerSaveRecord">
    <vt:lpwstr>eyJoZGlkIjoiZWUyOTI0NWQwNjUzMjIwZDNlMDRhYzE2YTQwZGI2NjIiLCJ1c2VySWQiOiIxNjg1MjA3OCJ9</vt:lpwstr>
  </property>
</Properties>
</file>